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1. ------IND- 2018 0086 F-- PT- ------ 20200420 --- --- FINAL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 de novembro de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JORF n.º 0267 de 17 de novembro de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Texto n.º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Decreto n.º 2019-1186, de 15 de novembro de 2019, relativo à afixação da taxa de absorção específica dos equipamentos de rádio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Ou: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Público abrangido: Fabricantes, importadores e distribuidores de equipamentos de rádio.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Objeto: Prestação de informação ao consumidor sobre o valor da taxa de absorção específica dos equipamentos de rádio objeto de uma obrigação de medição (telemóveis, «tablets», brinquedos com radiocontrolo, etc.).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Entrada em vigor: O decreto entra em vigor em 1 de julho de 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Nota explicativa: O artigo 4.º da Lei 2015-136, de 9 de fevereiro de 2015, relativa à sobriedade, à transparência, à informação e à concertação em matéria de exposição às ondas eletromagnéticas alterou o artigo 184.º da Lei 2010-788, de 12 de julho de 2010, relativa ao compromisso nacional para o ambiente para alargar a obrigação de afixação da taxa de absorção específica, aplicável apenas aos aparelhos de telefonia móvel, aos equipamentos de rádio objeto de uma obrigação de medição. O decreto adotado com base no artigo L. 412-1 do Código do Consumo uniformiza as disposições regulamentares com as disposições legislativas mencionadas anteriormente para que sejam aplicáveis a todos os equipamentos de rádio sujeitos a uma obrigação de medição.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Referências: O decreto pode ser consultado no sítio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 primeiro-ministro,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Relativamente ao relatório da ministra da Solidariedade e da Saúde,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Diretiva 2014/53/UE do Parlamento Europeu e do Conselho, de 16 de abril de 2014, relativa à harmonização da legislação dos Estados-Membros respeitante à disponibilização de equipamentos de rádio no mercado e que revoga a Diretiva 1999/5/CE, nomeadamente o artigo 7.º,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Tendo em conta a Diretiva (UE) 2015/1535 do Parlamento Europeu e do Conselho, de 9 </w:t>
      </w:r>
      <w:r>
        <w:rPr>
          <w:rFonts w:ascii="Arial" w:hAnsi="Arial"/>
          <w:sz w:val="24"/>
          <w:szCs w:val="24"/>
        </w:rPr>
        <w:lastRenderedPageBreak/>
        <w:t>de setembro de 2015, relativa a um procedimento de informação no domínio das regulamentações técnicas e das regras relativas aos serviços da sociedade da informação,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Código do Consumo, nomeadamente o artigo L. 412-1,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Código dos Correios e das Comunicações Eletrónicas, designadamente os artigos L. 32, L. 36-5, R. 9 e R. 20-11,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Lei 2010-788, de 12 de julho de 2010, relativa ao compromisso nacional para o ambiente, com a redação que lhe foi dada, nomeadamente o artigo 184.º,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Decreto 2010-1207, de 12 de outubro de 2010, relativo à afixação da taxa de absorção específica dos equipamentos terminais de rádio,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notificação n.º 2018/0086/F dirigida à Comissão Europeia em aplicação da Diretiva (UE) 2015/1535,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as observações formuladas aquando da consulta pública realizada entre 16 de abril e 13 de maio de 2018, em aplicação do artigo L. 123-19-1 do Código do Ambiente,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parecer n.º 2019-0964 da Autoridade Reguladora das Comunicações Eletrónicas e dos Correios com data de 4 de julho de 2019,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Ouvido o Conselho de Estado (secção social),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Decreta: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1.º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 título do Decreto de 12 de outubro de 2010 supracitado, o termo «terminais» é suprimido.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2.º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 artigo 1.º do Decreto de 12 de outubro de 2010 supracitado, os termos «equipamentos terminais de rádio mencionados no artigo 32.º, pontos 10 e 11, do referido código» são substituídos pelos termos «equipamentos de rádio com uma potência de emissão superior a 20 mW e que se prevê razoavelmente que serão utilizados a uma distância não superior a 20 cm da cabeça ou de outra parte do corpo humano,».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3.º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 presente decreto entra em vigor no dia 1 de julho de 2020.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Artigo 4.º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ministra da Solidariedade e da Saúde e o ministro da Economia e das Finanças são responsáveis, no âmbito das respetivas competências, pela execução do presente decreto, que será publicado no Jornal Oficial da República Francesa.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Feito em 15 de novembro de 2019.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Pelo primeiro-ministro: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ministra da Solidariedade e da Saúde,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 ministro da Economia e das Finanças,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AD698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pt-PT" w:eastAsia="en-US"/>
    </w:rPr>
  </w:style>
  <w:style w:type="paragraph" w:styleId="Revision">
    <w:name w:val="Revision"/>
    <w:hidden/>
    <w:uiPriority w:val="99"/>
    <w:semiHidden/>
    <w:rsid w:val="00AD6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SANTOS, Susana</cp:lastModifiedBy>
  <cp:revision>6</cp:revision>
  <dcterms:created xsi:type="dcterms:W3CDTF">2019-11-18T09:24:00Z</dcterms:created>
  <dcterms:modified xsi:type="dcterms:W3CDTF">2020-04-20T10:13:00Z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