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ESTATUTOS DE FINLANDIA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Publicado en Helsinki el 31 de diciembre de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Ley</w:t>
      </w:r>
    </w:p>
    <w:p w14:paraId="3582A5CE" w14:textId="77777777" w:rsidR="00C50A56" w:rsidRDefault="00BC30A1">
      <w:pPr>
        <w:pStyle w:val="Heading1"/>
        <w:spacing w:before="34"/>
      </w:pPr>
      <w:r>
        <w:t>por la que se modifican los artículos 89 y 91 de la Ley sobre circulación vial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De conformidad con la decisión del Parlamento,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el artículo 89, apartado 1, punto 4, y el artículo 91 de la Ley sobre circulación vial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tal y como figuran en el artículo 89, apartado 1, punto 4 de la Ley n.º 1610/2015 y el artículo 91 de la Ley n.º 1091/2002 se </w:t>
      </w:r>
      <w:r>
        <w:rPr>
          <w:i/>
        </w:rPr>
        <w:t>modifican</w:t>
      </w:r>
      <w:r>
        <w:t xml:space="preserve"> como sigue: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Artículo 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Uso de cascos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El conductor y el pasajero deberán llevar un casco homologado, a menos que se lo impidan una enfermedad o lesión u otra razón particular, cuando conduzcan: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motos de nieve y motos de nieve pesadas;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Artículo 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Uso de vehículos todoterreno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Los vehículos todoterreno no podrán usarse en las carreteras. La Ley (1710/1995) sobre el tráfico campo a través regula el uso de motos de nieve y motos de nieve pesadas en vías para motos de nieve. Un decreto del Gobierno podrá regular el uso menor de trineos motorizados y otros vehículos todoterreno equipados con ruedas en zonas distintas a las vías para motos de nieve.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La presente Ley entrará en vigor el 31 de diciembre de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En Helsinki, a 28 de diciembre de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B96EDE">
      <w:pPr>
        <w:pStyle w:val="Heading1"/>
        <w:spacing w:line="369" w:lineRule="auto"/>
        <w:ind w:left="3295" w:right="2454"/>
      </w:pPr>
      <w:r>
        <w:t xml:space="preserve">Presidente de la República, </w:t>
      </w:r>
      <w:proofErr w:type="spellStart"/>
      <w:r>
        <w:t>Sauli</w:t>
      </w:r>
      <w:proofErr w:type="spellEnd"/>
      <w:r>
        <w:t xml:space="preserve"> </w:t>
      </w:r>
      <w:proofErr w:type="spellStart"/>
      <w:r>
        <w:t>Niinistö</w:t>
      </w:r>
      <w:proofErr w:type="spellEnd"/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 xml:space="preserve">Ministra de Transportes y Comunicaciones, Anne </w:t>
      </w:r>
      <w:proofErr w:type="spellStart"/>
      <w:r>
        <w:t>Berner</w:t>
      </w:r>
      <w:proofErr w:type="spellEnd"/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B96EDE">
      <w:pPr>
        <w:spacing w:before="113" w:line="208" w:lineRule="auto"/>
        <w:ind w:left="445" w:right="4722"/>
        <w:rPr>
          <w:sz w:val="20"/>
        </w:rPr>
      </w:pPr>
      <w:r>
        <w:rPr>
          <w:sz w:val="17"/>
        </w:rPr>
        <w:t xml:space="preserve">HE 185/2018, </w:t>
      </w:r>
      <w:proofErr w:type="spellStart"/>
      <w:r>
        <w:rPr>
          <w:sz w:val="17"/>
        </w:rPr>
        <w:t>LiVM</w:t>
      </w:r>
      <w:proofErr w:type="spellEnd"/>
      <w:r>
        <w:rPr>
          <w:sz w:val="17"/>
        </w:rPr>
        <w:t xml:space="preserve"> 31/2018, EV 172/2018</w:t>
      </w:r>
    </w:p>
    <w:p w14:paraId="58C87867" w14:textId="77777777" w:rsidR="00C50A56" w:rsidRDefault="00B96EDE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EDITOR: MINISTERIO DE JUSTICIA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96EDE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