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76" w:rsidRPr="00401CDB" w:rsidRDefault="00810B76" w:rsidP="00810B76">
      <w:pPr>
        <w:pStyle w:val="NurText"/>
        <w:rPr>
          <w:rFonts w:ascii="Courier New" w:hAnsi="Courier New" w:cs="Courier New"/>
          <w:sz w:val="20"/>
          <w:szCs w:val="20"/>
        </w:rPr>
      </w:pPr>
      <w:bookmarkStart w:id="0" w:name="_GoBack"/>
      <w:r w:rsidRPr="00401CDB">
        <w:rPr>
          <w:rFonts w:ascii="Courier New" w:hAnsi="Courier New"/>
          <w:sz w:val="20"/>
          <w:szCs w:val="20"/>
          <w:lang w:val="da-DK"/>
        </w:rPr>
        <w:t xml:space="preserve">1. ------IND- 2017 0322 SK- DE- ------ 20190416 --- --- FINAL </w:t>
      </w:r>
    </w:p>
    <w:bookmarkEnd w:id="0"/>
    <w:p w:rsidR="00810B76" w:rsidRDefault="00810B76" w:rsidP="00B3535A">
      <w:pPr>
        <w:widowControl/>
        <w:shd w:val="clear" w:color="auto" w:fill="FFFFFF"/>
        <w:spacing w:before="120"/>
        <w:jc w:val="center"/>
        <w:rPr>
          <w:color w:val="000000"/>
          <w:sz w:val="44"/>
          <w:szCs w:val="44"/>
        </w:rPr>
      </w:pPr>
    </w:p>
    <w:p w:rsidR="00E16F77" w:rsidRPr="00D06F2A" w:rsidRDefault="00E16F77" w:rsidP="00B3535A">
      <w:pPr>
        <w:widowControl/>
        <w:shd w:val="clear" w:color="auto" w:fill="FFFFFF"/>
        <w:spacing w:before="120"/>
        <w:jc w:val="center"/>
        <w:rPr>
          <w:color w:val="000000"/>
          <w:sz w:val="44"/>
          <w:szCs w:val="44"/>
        </w:rPr>
      </w:pPr>
      <w:r>
        <w:rPr>
          <w:color w:val="000000"/>
          <w:sz w:val="44"/>
          <w:szCs w:val="44"/>
        </w:rPr>
        <w:t xml:space="preserve">GESETZ- </w:t>
      </w:r>
      <w:r>
        <w:rPr>
          <w:noProof/>
          <w:lang w:eastAsia="zh-CN"/>
        </w:rPr>
        <w:drawing>
          <wp:inline distT="0" distB="0" distL="0" distR="0">
            <wp:extent cx="590550" cy="685800"/>
            <wp:effectExtent l="0" t="0" r="0" b="0"/>
            <wp:docPr id="1" name="Bild 1" descr="ciernobi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ernobiele"/>
                    <pic:cNvPicPr>
                      <a:picLocks noChangeAspect="1" noChangeArrowheads="1"/>
                    </pic:cNvPicPr>
                  </pic:nvPicPr>
                  <pic:blipFill>
                    <a:blip r:embed="rId9">
                      <a:extLst>
                        <a:ext uri="{28A0092B-C50C-407E-A947-70E740481C1C}">
                          <a14:useLocalDpi xmlns:a14="http://schemas.microsoft.com/office/drawing/2010/main" val="0"/>
                        </a:ext>
                      </a:extLst>
                    </a:blip>
                    <a:srcRect l="2061" t="9798" r="82469" b="29356"/>
                    <a:stretch>
                      <a:fillRect/>
                    </a:stretch>
                  </pic:blipFill>
                  <pic:spPr bwMode="auto">
                    <a:xfrm>
                      <a:off x="0" y="0"/>
                      <a:ext cx="590550" cy="685800"/>
                    </a:xfrm>
                    <a:prstGeom prst="rect">
                      <a:avLst/>
                    </a:prstGeom>
                    <a:noFill/>
                    <a:ln>
                      <a:noFill/>
                    </a:ln>
                  </pic:spPr>
                </pic:pic>
              </a:graphicData>
            </a:graphic>
          </wp:inline>
        </w:drawing>
      </w:r>
      <w:r>
        <w:rPr>
          <w:color w:val="000000"/>
          <w:sz w:val="44"/>
          <w:szCs w:val="44"/>
        </w:rPr>
        <w:t xml:space="preserve"> BLATT</w:t>
      </w:r>
    </w:p>
    <w:p w:rsidR="00E16F77" w:rsidRPr="00D06F2A" w:rsidRDefault="00E16F77" w:rsidP="00B3535A">
      <w:pPr>
        <w:widowControl/>
        <w:shd w:val="clear" w:color="auto" w:fill="FFFFFF"/>
        <w:spacing w:before="120"/>
        <w:jc w:val="center"/>
        <w:rPr>
          <w:color w:val="000000"/>
        </w:rPr>
      </w:pPr>
      <w:r>
        <w:rPr>
          <w:color w:val="000000"/>
          <w:sz w:val="32"/>
          <w:szCs w:val="32"/>
        </w:rPr>
        <w:t>DER SLOWAKISCHEN REPUBLIK</w:t>
      </w:r>
    </w:p>
    <w:p w:rsidR="00E16F77" w:rsidRPr="00D06F2A" w:rsidRDefault="00E16F77" w:rsidP="00B3535A">
      <w:pPr>
        <w:widowControl/>
        <w:shd w:val="clear" w:color="auto" w:fill="FFFFFF"/>
        <w:spacing w:before="120"/>
        <w:jc w:val="center"/>
        <w:rPr>
          <w:color w:val="000000"/>
          <w:sz w:val="28"/>
          <w:szCs w:val="28"/>
        </w:rPr>
      </w:pPr>
      <w:r>
        <w:rPr>
          <w:color w:val="000000"/>
          <w:sz w:val="28"/>
          <w:szCs w:val="28"/>
        </w:rPr>
        <w:t>Jahrgang 2018</w:t>
      </w:r>
    </w:p>
    <w:p w:rsidR="00E16F77" w:rsidRPr="00D06F2A" w:rsidRDefault="00E16F77" w:rsidP="00B3535A">
      <w:pPr>
        <w:widowControl/>
        <w:pBdr>
          <w:top w:val="single" w:sz="4" w:space="1" w:color="auto"/>
        </w:pBdr>
        <w:shd w:val="clear" w:color="auto" w:fill="FFFFFF"/>
        <w:tabs>
          <w:tab w:val="right" w:pos="9072"/>
        </w:tabs>
        <w:spacing w:before="120"/>
        <w:rPr>
          <w:color w:val="000000"/>
        </w:rPr>
      </w:pPr>
      <w:r>
        <w:rPr>
          <w:color w:val="000000"/>
        </w:rPr>
        <w:t>Verkündet: 7.3.2018</w:t>
      </w:r>
      <w:r>
        <w:rPr>
          <w:color w:val="000000"/>
        </w:rPr>
        <w:tab/>
        <w:t>Zeitversion der Vorschrift in Kraft vom: 1.4.2018 bis: 31.3.2020</w:t>
      </w:r>
    </w:p>
    <w:p w:rsidR="00E16F77" w:rsidRPr="00D06F2A" w:rsidRDefault="00E16F77" w:rsidP="00B3535A">
      <w:pPr>
        <w:widowControl/>
        <w:shd w:val="clear" w:color="auto" w:fill="FFFFFF"/>
        <w:spacing w:before="480" w:after="240"/>
        <w:jc w:val="center"/>
        <w:rPr>
          <w:b/>
          <w:bCs/>
          <w:color w:val="000000"/>
        </w:rPr>
      </w:pPr>
      <w:r>
        <w:rPr>
          <w:b/>
          <w:bCs/>
          <w:color w:val="000000"/>
        </w:rPr>
        <w:t>Der Inhalt des Dokuments ist rechtsverbindlich.</w:t>
      </w:r>
    </w:p>
    <w:p w:rsidR="00E16F77" w:rsidRPr="00D06F2A" w:rsidRDefault="00E16F77" w:rsidP="00B3535A">
      <w:pPr>
        <w:widowControl/>
        <w:shd w:val="clear" w:color="auto" w:fill="FFFFFF"/>
        <w:spacing w:before="120"/>
        <w:jc w:val="center"/>
        <w:rPr>
          <w:color w:val="000000"/>
        </w:rPr>
      </w:pPr>
      <w:r>
        <w:rPr>
          <w:b/>
          <w:bCs/>
          <w:color w:val="000000"/>
        </w:rPr>
        <w:t>60</w:t>
      </w:r>
    </w:p>
    <w:p w:rsidR="00E16F77" w:rsidRPr="00E35FA4" w:rsidRDefault="00E16F77" w:rsidP="00B3535A">
      <w:pPr>
        <w:widowControl/>
        <w:shd w:val="clear" w:color="auto" w:fill="FFFFFF"/>
        <w:spacing w:before="120"/>
        <w:jc w:val="center"/>
        <w:rPr>
          <w:b/>
          <w:bCs/>
          <w:color w:val="000000"/>
        </w:rPr>
      </w:pPr>
      <w:r>
        <w:rPr>
          <w:b/>
          <w:bCs/>
          <w:color w:val="000000"/>
        </w:rPr>
        <w:t>GESETZ</w:t>
      </w:r>
    </w:p>
    <w:p w:rsidR="00E16F77" w:rsidRPr="00D06F2A" w:rsidRDefault="00E16F77" w:rsidP="00B3535A">
      <w:pPr>
        <w:widowControl/>
        <w:shd w:val="clear" w:color="auto" w:fill="FFFFFF"/>
        <w:spacing w:before="120"/>
        <w:jc w:val="center"/>
        <w:rPr>
          <w:color w:val="000000"/>
        </w:rPr>
      </w:pPr>
      <w:r>
        <w:rPr>
          <w:color w:val="000000"/>
        </w:rPr>
        <w:t>vom 6. Februar 2018</w:t>
      </w:r>
    </w:p>
    <w:p w:rsidR="00E16F77" w:rsidRPr="00E35FA4" w:rsidRDefault="00E16F77" w:rsidP="00B3535A">
      <w:pPr>
        <w:widowControl/>
        <w:shd w:val="clear" w:color="auto" w:fill="FFFFFF"/>
        <w:spacing w:before="120"/>
        <w:jc w:val="center"/>
        <w:rPr>
          <w:b/>
          <w:bCs/>
          <w:color w:val="000000"/>
        </w:rPr>
      </w:pPr>
      <w:r>
        <w:rPr>
          <w:b/>
          <w:bCs/>
          <w:color w:val="000000"/>
        </w:rPr>
        <w:t>über die technische Normung</w:t>
      </w:r>
    </w:p>
    <w:p w:rsidR="00E16F77" w:rsidRPr="00D06F2A" w:rsidRDefault="00E16F77" w:rsidP="00B3535A">
      <w:pPr>
        <w:widowControl/>
        <w:shd w:val="clear" w:color="auto" w:fill="FFFFFF"/>
        <w:spacing w:before="480" w:after="240"/>
        <w:rPr>
          <w:color w:val="000000"/>
        </w:rPr>
      </w:pPr>
      <w:r>
        <w:rPr>
          <w:color w:val="000000"/>
        </w:rPr>
        <w:t>Der Nationalrat der Slowakischen Republik hat das folgende Gesetz verabschiedet:</w:t>
      </w:r>
    </w:p>
    <w:p w:rsidR="00B3535A" w:rsidRPr="00D06F2A" w:rsidRDefault="00E16F77" w:rsidP="00BB519B">
      <w:pPr>
        <w:keepNext/>
        <w:keepLines/>
        <w:widowControl/>
        <w:shd w:val="clear" w:color="auto" w:fill="FFFFFF"/>
        <w:spacing w:before="360"/>
        <w:jc w:val="center"/>
        <w:rPr>
          <w:b/>
          <w:bCs/>
          <w:color w:val="000000"/>
        </w:rPr>
      </w:pPr>
      <w:r>
        <w:rPr>
          <w:b/>
          <w:bCs/>
          <w:color w:val="000000"/>
        </w:rPr>
        <w:t>§ 1</w:t>
      </w:r>
    </w:p>
    <w:p w:rsidR="00E16F77" w:rsidRPr="00E35FA4" w:rsidRDefault="00E16F77" w:rsidP="00BB519B">
      <w:pPr>
        <w:keepNext/>
        <w:keepLines/>
        <w:widowControl/>
        <w:shd w:val="clear" w:color="auto" w:fill="FFFFFF"/>
        <w:jc w:val="center"/>
        <w:rPr>
          <w:b/>
          <w:bCs/>
          <w:color w:val="000000"/>
        </w:rPr>
      </w:pPr>
      <w:r>
        <w:rPr>
          <w:b/>
          <w:bCs/>
          <w:color w:val="000000"/>
        </w:rPr>
        <w:t>Gegenstand des Gesetzes</w:t>
      </w:r>
    </w:p>
    <w:p w:rsidR="00E16F77" w:rsidRPr="00D06F2A" w:rsidRDefault="00E16F77" w:rsidP="00D65D8D">
      <w:pPr>
        <w:keepNext/>
        <w:keepLines/>
        <w:widowControl/>
        <w:shd w:val="clear" w:color="auto" w:fill="FFFFFF"/>
        <w:spacing w:before="120"/>
        <w:rPr>
          <w:color w:val="000000"/>
        </w:rPr>
      </w:pPr>
      <w:r>
        <w:rPr>
          <w:color w:val="000000"/>
        </w:rPr>
        <w:t>Dieses Gesetz regelt</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a)</w:t>
      </w:r>
      <w:r>
        <w:rPr>
          <w:color w:val="000000"/>
        </w:rPr>
        <w:tab/>
        <w:t>die Zuständigkeit des Amtes für Normen, Mess- und Prüfwesen der Slowakischen Republik (nachstehend nur „Amt“ genannt) auf dem Gebiet der technischen Normung,</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b)</w:t>
      </w:r>
      <w:r>
        <w:rPr>
          <w:color w:val="000000"/>
        </w:rPr>
        <w:tab/>
        <w:t>die Rechte und Pflichten des Amtes als dem slowakischen nationalen Normungsorgan,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c)</w:t>
      </w:r>
      <w:r>
        <w:rPr>
          <w:color w:val="000000"/>
        </w:rPr>
        <w:tab/>
        <w:t>die Erstellung, Zurverfügungstellung, Erweiterung, Überprüfung und Aufhebung slowakischer technischer Normen und technischer Normungsinformationen,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d)</w:t>
      </w:r>
      <w:r>
        <w:rPr>
          <w:color w:val="000000"/>
        </w:rPr>
        <w:tab/>
        <w:t>die Ausgaben für die Erstellung slowakischer technischer Normen und technischer Normungsinformationen,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e)</w:t>
      </w:r>
      <w:r>
        <w:rPr>
          <w:color w:val="000000"/>
        </w:rPr>
        <w:tab/>
        <w:t>den Schutz der slowakischen technischen Normen und technischen Normungsinformationen,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f)</w:t>
      </w:r>
      <w:r>
        <w:rPr>
          <w:color w:val="000000"/>
        </w:rPr>
        <w:tab/>
        <w:t>die Zurverfügungstellung anderer technischer Normen und anderer technischer Normungsinformationen,</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g)</w:t>
      </w:r>
      <w:r>
        <w:rPr>
          <w:color w:val="000000"/>
        </w:rPr>
        <w:tab/>
        <w:t>die Aufsicht über die Einhaltung dieses Gesetzes,</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h)</w:t>
      </w:r>
      <w:r>
        <w:rPr>
          <w:color w:val="000000"/>
        </w:rPr>
        <w:tab/>
        <w:t>die Verhängung von Strafen.</w:t>
      </w:r>
    </w:p>
    <w:p w:rsidR="00B3535A" w:rsidRPr="00D06F2A" w:rsidRDefault="00E16F77" w:rsidP="00BB519B">
      <w:pPr>
        <w:keepNext/>
        <w:keepLines/>
        <w:widowControl/>
        <w:shd w:val="clear" w:color="auto" w:fill="FFFFFF"/>
        <w:spacing w:before="360"/>
        <w:jc w:val="center"/>
        <w:rPr>
          <w:b/>
          <w:bCs/>
          <w:color w:val="000000"/>
        </w:rPr>
      </w:pPr>
      <w:r>
        <w:rPr>
          <w:b/>
          <w:bCs/>
          <w:color w:val="000000"/>
        </w:rPr>
        <w:t>§ 2</w:t>
      </w:r>
    </w:p>
    <w:p w:rsidR="00E16F77" w:rsidRPr="008015BE" w:rsidRDefault="00E16F77" w:rsidP="00BB519B">
      <w:pPr>
        <w:keepNext/>
        <w:keepLines/>
        <w:widowControl/>
        <w:shd w:val="clear" w:color="auto" w:fill="FFFFFF"/>
        <w:jc w:val="center"/>
        <w:rPr>
          <w:b/>
          <w:bCs/>
          <w:color w:val="000000"/>
        </w:rPr>
      </w:pPr>
      <w:r>
        <w:rPr>
          <w:b/>
          <w:bCs/>
          <w:color w:val="000000"/>
        </w:rPr>
        <w:t>Begriffsbestimmungen</w:t>
      </w:r>
    </w:p>
    <w:p w:rsidR="00E16F77" w:rsidRPr="00D06F2A" w:rsidRDefault="00E16F77" w:rsidP="00D65D8D">
      <w:pPr>
        <w:keepNext/>
        <w:keepLines/>
        <w:widowControl/>
        <w:shd w:val="clear" w:color="auto" w:fill="FFFFFF"/>
        <w:spacing w:before="120"/>
        <w:rPr>
          <w:color w:val="000000"/>
        </w:rPr>
      </w:pPr>
      <w:r>
        <w:rPr>
          <w:color w:val="000000"/>
        </w:rPr>
        <w:t>Im Sinne dieses Gesetzes bezeichnen die Begriffe</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„andere technische Norm“: technische Norm gemäß der einschlägigen Vorschrift</w:t>
      </w:r>
      <w:r>
        <w:rPr>
          <w:color w:val="000000"/>
          <w:vertAlign w:val="superscript"/>
        </w:rPr>
        <w:t>1)</w:t>
      </w:r>
      <w:r>
        <w:rPr>
          <w:color w:val="000000"/>
        </w:rPr>
        <w:t xml:space="preserve"> außer ursprünglichen technischen Normen,</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„andere technische Normungsinformation“: von einem internationalen Normungsorgan erarbeitetes Normungsdokument, das nicht vom Amt als slowakischem nationalem Normungsorgan gemäß § 4 Absatz 1 Buchstabe g in das System der slowakischen technischen Normen übernommen wurde,</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„berechtigtes Interesse“: Sicherheit, Gesundheit, Leben und Vermögen von Personen und eine günstige Umwelt.</w:t>
      </w:r>
    </w:p>
    <w:p w:rsidR="00B3535A" w:rsidRPr="00D06F2A" w:rsidRDefault="00E16F77" w:rsidP="00BB519B">
      <w:pPr>
        <w:keepNext/>
        <w:keepLines/>
        <w:widowControl/>
        <w:shd w:val="clear" w:color="auto" w:fill="FFFFFF"/>
        <w:spacing w:before="360"/>
        <w:jc w:val="center"/>
        <w:rPr>
          <w:b/>
          <w:bCs/>
          <w:color w:val="000000"/>
        </w:rPr>
      </w:pPr>
      <w:r>
        <w:rPr>
          <w:b/>
          <w:bCs/>
          <w:color w:val="000000"/>
        </w:rPr>
        <w:lastRenderedPageBreak/>
        <w:t>§ 3</w:t>
      </w:r>
    </w:p>
    <w:p w:rsidR="00E16F77" w:rsidRPr="008015BE" w:rsidRDefault="00E16F77" w:rsidP="00BB519B">
      <w:pPr>
        <w:keepNext/>
        <w:keepLines/>
        <w:widowControl/>
        <w:shd w:val="clear" w:color="auto" w:fill="FFFFFF"/>
        <w:jc w:val="center"/>
        <w:rPr>
          <w:b/>
          <w:bCs/>
          <w:color w:val="000000"/>
        </w:rPr>
      </w:pPr>
      <w:r>
        <w:rPr>
          <w:b/>
          <w:bCs/>
          <w:color w:val="000000"/>
        </w:rPr>
        <w:t>Technische Norm und technische Normungsinformation</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technische Norm ist eine technische Norm gemäß der einschlägigen Vorschrift</w:t>
      </w:r>
      <w:r>
        <w:rPr>
          <w:color w:val="000000"/>
          <w:vertAlign w:val="superscript"/>
        </w:rPr>
        <w:t>2)</w:t>
      </w:r>
      <w:r>
        <w:rPr>
          <w:color w:val="000000"/>
        </w:rPr>
        <w:t>. Eine technische Norm ist keine technische Vorschrift</w:t>
      </w:r>
      <w:r>
        <w:rPr>
          <w:color w:val="000000"/>
          <w:vertAlign w:val="superscript"/>
        </w:rPr>
        <w:t>3)</w:t>
      </w:r>
      <w:r>
        <w:rPr>
          <w:color w:val="000000"/>
        </w:rPr>
        <w: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slowakische technische Norm ist eine technische Norm, die vom Amt als slowakischem nationalem Normungsorgan in das System der slowakischen technischen Normen nach diesem Gesetz übernommen wurde.</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vorläufige slowakische technische Norm ist eine slowakische technische Norm, deren Gültigkeit zeitlich begrenzt ist und deren Zweck in der Prüfung der Eignung und Zweckmäßigkeit ihres technischen Inhalts besteht.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ursprüngliche slowakische technische Norm ist eine slowakische technische Norm, durch die ein Gebiet geregelt wird, das nicht Gegenstand der Regelung durch eine europäische Norm</w:t>
      </w:r>
      <w:r>
        <w:rPr>
          <w:color w:val="000000"/>
          <w:vertAlign w:val="superscript"/>
        </w:rPr>
        <w:t>4)</w:t>
      </w:r>
      <w:r>
        <w:rPr>
          <w:color w:val="000000"/>
        </w:rPr>
        <w:t xml:space="preserve"> oder eine internationale Norm</w:t>
      </w:r>
      <w:r>
        <w:rPr>
          <w:color w:val="000000"/>
          <w:vertAlign w:val="superscript"/>
        </w:rPr>
        <w:t>5)</w:t>
      </w:r>
      <w:r>
        <w:rPr>
          <w:color w:val="000000"/>
        </w:rPr>
        <w:t xml:space="preserve"> ist und die auf Grundlage einer Forderung der Öffentlichkeit oder eines Organs der öffentlichen Hand erarbeitet wurde.</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technische Normungsinformation ist ein von einer europäischen Normungsorganisation,</w:t>
      </w:r>
      <w:r>
        <w:rPr>
          <w:color w:val="000000"/>
          <w:vertAlign w:val="superscript"/>
        </w:rPr>
        <w:t>6)</w:t>
      </w:r>
      <w:r>
        <w:rPr>
          <w:color w:val="000000"/>
        </w:rPr>
        <w:t xml:space="preserve"> einem internationalen Normungsorgan</w:t>
      </w:r>
      <w:r>
        <w:rPr>
          <w:color w:val="000000"/>
          <w:vertAlign w:val="superscript"/>
        </w:rPr>
        <w:t>7)</w:t>
      </w:r>
      <w:r>
        <w:rPr>
          <w:color w:val="000000"/>
        </w:rPr>
        <w:t xml:space="preserve"> oder dem Amt als slowakischem nationalem Normungsorgan erarbeitetes Normungsdokument, welches vom slowakischen nationalen Normungsorgan in das System der slowakischen technischen Normen übernommen wurde. Eine technische Normungsinformation wird nicht als slowakische technische Norm betrachtet.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ursprüngliche technische Normungsinformation ist eine technische Normungsinformation, durch die ein Gebiet geregelt wird, das nicht Gegenstand der Regelung durch ein von einer europäischen Normungsorganisation oder einem internationalen Normungsorgan erarbeiteten Normungsdokuments ist und die auf Grundlage einer Forderung der Öffentlichkeit oder eines Organs der öffentlichen Hand erarbeitet wurde.</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Änderung einer technischen Norm ist eine technische Norm, durch die eine technische Norm sachlich geändert oder ergänzt wird. Sie wird von einer europäischen Normungsorganisation, einem internationalen Normungsorgan oder vom Amt als slowakischem nationalem Normungsorgan als Änderung gekennzeichnet.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Eine Korrektur einer technischen Norm oder eine Korrektur einer technischen Normungsinformation ist ein Dokument, durch das ein formaler Fehler einer technischen Norm oder einer technischen Normungsinformation korrigiert wird. Sie wird von einer europäischen Normungsorganisation, einem internationalen Normungsorgan oder vom Amt als slowakischem nationalem Normungsorgan als Korrektur gekennzeichnet.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Das System der slowakischen technischen Normen ist eine Datei, welche die vollständige Fassung der slowakischen technischen Normen, der technischen Normungsinformationen und ihrer Korrekturen enthält.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Die Einhaltung der slowakischen technischen Normen und technischen Normungsinformationen ist freiwillig.</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Slowakische technische Normen haben das Zeichen „STN“ und vorläufige slowakische technische Normen das Zeichen „STN P“. Technische Normungsinformationen haben das Zeichen „TNI“. Ein Muster der Zeichen „STN“, „STN P“ und „TNI“ ist im Anhang abgebildet. Weitere Kennzeichnungen, mit denen die Zeichen „STN“ und „TNI“ ergänzt werden können, werden vom Amt als slowakischem nationalem Normungsorgan auf seiner Internetseite veröffentlicht.</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Slowakische technische Normen und technische Normungsinformationen werden nicht gemäß der einschlägigen Vorschrift</w:t>
      </w:r>
      <w:r>
        <w:rPr>
          <w:color w:val="000000"/>
          <w:vertAlign w:val="superscript"/>
        </w:rPr>
        <w:t>8)</w:t>
      </w:r>
      <w:r>
        <w:rPr>
          <w:color w:val="000000"/>
        </w:rPr>
        <w:t xml:space="preserve"> zugänglich gemacht, eine Ausnahme bilden slowakische technische Normen gemäß § 12 Absatz 2.</w:t>
      </w:r>
    </w:p>
    <w:p w:rsidR="00E16F77" w:rsidRPr="00D06F2A" w:rsidRDefault="00E16F77" w:rsidP="003E6A72">
      <w:pPr>
        <w:pStyle w:val="Listenabsatz"/>
        <w:widowControl/>
        <w:numPr>
          <w:ilvl w:val="0"/>
          <w:numId w:val="15"/>
        </w:numPr>
        <w:shd w:val="clear" w:color="auto" w:fill="FFFFFF"/>
        <w:tabs>
          <w:tab w:val="left" w:pos="567"/>
        </w:tabs>
        <w:spacing w:before="120"/>
        <w:ind w:left="567" w:hanging="567"/>
        <w:contextualSpacing w:val="0"/>
        <w:jc w:val="both"/>
        <w:rPr>
          <w:color w:val="000000"/>
        </w:rPr>
      </w:pPr>
      <w:r>
        <w:rPr>
          <w:color w:val="000000"/>
        </w:rPr>
        <w:t>Wird von einem Organ der staatlichen Verwaltung die Angabe eines Verweises auf eine slowakische technische Norm im Text eines Entwurfs einer allgemein verbindlichen Rechtsvorschrift erwogen, so ist dieses verpflichtet, das Amt als slowakisches nationales Normungsorgan spätestens vor Verabschiedung der allgemein verbindlichen Rechtsvorschrift schriftlich auf diese Tatsache hinzuweisen; das Organ der staatlichen Verwaltung ist verpflichtet, nach der einschlägigen Vorschrift</w:t>
      </w:r>
      <w:r>
        <w:rPr>
          <w:color w:val="000000"/>
          <w:vertAlign w:val="superscript"/>
        </w:rPr>
        <w:t>9)</w:t>
      </w:r>
      <w:r>
        <w:rPr>
          <w:color w:val="000000"/>
        </w:rPr>
        <w:t xml:space="preserve"> zu verfahren.</w:t>
      </w:r>
    </w:p>
    <w:p w:rsidR="00B3535A" w:rsidRPr="00D06F2A" w:rsidRDefault="00E16F77" w:rsidP="00BB519B">
      <w:pPr>
        <w:keepNext/>
        <w:keepLines/>
        <w:widowControl/>
        <w:shd w:val="clear" w:color="auto" w:fill="FFFFFF"/>
        <w:spacing w:before="360"/>
        <w:jc w:val="center"/>
        <w:rPr>
          <w:b/>
          <w:bCs/>
          <w:color w:val="000000"/>
        </w:rPr>
      </w:pPr>
      <w:r>
        <w:rPr>
          <w:b/>
          <w:bCs/>
          <w:color w:val="000000"/>
        </w:rPr>
        <w:lastRenderedPageBreak/>
        <w:t>§ 4</w:t>
      </w:r>
    </w:p>
    <w:p w:rsidR="00E16F77" w:rsidRPr="008015BE" w:rsidRDefault="00E16F77" w:rsidP="00BB519B">
      <w:pPr>
        <w:keepNext/>
        <w:keepLines/>
        <w:widowControl/>
        <w:shd w:val="clear" w:color="auto" w:fill="FFFFFF"/>
        <w:jc w:val="center"/>
        <w:rPr>
          <w:b/>
          <w:bCs/>
          <w:color w:val="000000"/>
        </w:rPr>
      </w:pPr>
      <w:r>
        <w:rPr>
          <w:b/>
          <w:bCs/>
          <w:color w:val="000000"/>
        </w:rPr>
        <w:t>Das Amt</w:t>
      </w:r>
    </w:p>
    <w:p w:rsidR="00B3535A" w:rsidRPr="00D06F2A" w:rsidRDefault="00B3535A" w:rsidP="003E6A72">
      <w:pPr>
        <w:pStyle w:val="Listenabsatz"/>
        <w:keepNext/>
        <w:keepLines/>
        <w:widowControl/>
        <w:numPr>
          <w:ilvl w:val="0"/>
          <w:numId w:val="16"/>
        </w:numPr>
        <w:shd w:val="clear" w:color="auto" w:fill="FFFFFF"/>
        <w:spacing w:before="120" w:after="120"/>
        <w:ind w:left="284" w:hanging="284"/>
        <w:contextualSpacing w:val="0"/>
        <w:jc w:val="both"/>
        <w:rPr>
          <w:color w:val="000000"/>
        </w:rPr>
      </w:pPr>
      <w:r>
        <w:rPr>
          <w:color w:val="000000"/>
        </w:rPr>
        <w:t>Das Amt</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bestimmt slowakische technische Normen, die zur Konformitätsbewertung geeignet sind,</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veröffentlicht Mitteilungen über die Verabschiedung oder Aufhebung slowakischer technischer Normen und deren Korrekturen, über die Verabschiedung oder Aufhebung technischer Normungsinformationen und deren Korrekturen und über slowakische technische Normen, die zur Konformitätsbewertung geeignet sind, im Anzeiger des Amtes für Normen, Mess- und Prüfwesen der Slowakischen Republik (nachstehend nur „Anzeiger“ genannt) oder in begründeten Fällen auf seiner Internetseite,</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teilt der Europäischen Kommission das</w:t>
      </w:r>
      <w:r>
        <w:rPr>
          <w:color w:val="000000"/>
          <w:vertAlign w:val="superscript"/>
        </w:rPr>
        <w:t>10)</w:t>
      </w:r>
      <w:r>
        <w:rPr>
          <w:color w:val="000000"/>
        </w:rPr>
        <w:t xml:space="preserve"> slowakische nationale Normungsorgan mit,</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finanziert die Tätigkeit des slowakischen nationalen Normungsorgans und übernimmt die Gebühren für die Tätigkeit des slowakischen nationalen Normungsorgans in der europäischen Normungsorganisation und dem internationalen Normungsorgan,</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übt die Aufsicht über die Einhaltung dieses Gesetzes aus,</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behandelt Ordnungswidrigkeiten und andere Verwaltungsdelikte und verhängt Strafen gemäß den §§ 16 und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ist das slowakische nationale Normungsorgan</w:t>
      </w:r>
      <w:r>
        <w:rPr>
          <w:color w:val="000000"/>
          <w:vertAlign w:val="superscript"/>
        </w:rPr>
        <w:t>11)</w:t>
      </w:r>
      <w:r>
        <w:rPr>
          <w:color w:val="000000"/>
        </w:rPr>
        <w:t>.</w:t>
      </w:r>
    </w:p>
    <w:p w:rsidR="00B3535A" w:rsidRPr="00D06F2A" w:rsidRDefault="00B3535A" w:rsidP="003E6A72">
      <w:pPr>
        <w:pStyle w:val="Listenabsatz"/>
        <w:keepNext/>
        <w:keepLines/>
        <w:widowControl/>
        <w:numPr>
          <w:ilvl w:val="0"/>
          <w:numId w:val="16"/>
        </w:numPr>
        <w:shd w:val="clear" w:color="auto" w:fill="FFFFFF"/>
        <w:spacing w:before="120" w:after="120"/>
        <w:ind w:left="284" w:hanging="284"/>
        <w:contextualSpacing w:val="0"/>
        <w:jc w:val="both"/>
        <w:rPr>
          <w:color w:val="000000"/>
        </w:rPr>
      </w:pPr>
      <w:r>
        <w:rPr>
          <w:color w:val="000000"/>
        </w:rPr>
        <w:t>Das Amt als slowakisches nationales Normungsorgan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erfüllt die Verpflichtungen, die sich für dieses aus der Mitgliedschaft in der europäischen Normungsorganisation und dem internationalen Normungsorgan ergeben,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ermöglicht die Beteiligung an der Erstellung und Aufhebung von europäischen Normen, Dokumenten der europäischen Normung</w:t>
      </w:r>
      <w:r>
        <w:rPr>
          <w:color w:val="000000"/>
          <w:vertAlign w:val="superscript"/>
        </w:rPr>
        <w:t>12)</w:t>
      </w:r>
      <w:r>
        <w:rPr>
          <w:color w:val="000000"/>
        </w:rPr>
        <w:t>, internationalen Normen und anderen technischen Normungsinformationen für jeden, der die Anforderungen und Regeln der europäischen Normungsorganisation, des internationalen Normungsorgans oder die auf der Internetseite des Amtes als slowakischem nationalem Normungsorgan veröffentlichten Anforderungen des Amtes als slowakischem nationalem Normungsorgan so erfüllt, dass</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 xml:space="preserve">er auf seiner Internetseite die </w:t>
      </w:r>
      <w:proofErr w:type="spellStart"/>
      <w:r>
        <w:rPr>
          <w:color w:val="000000"/>
        </w:rPr>
        <w:t>Notifizierung</w:t>
      </w:r>
      <w:proofErr w:type="spellEnd"/>
      <w:r>
        <w:rPr>
          <w:color w:val="000000"/>
        </w:rPr>
        <w:t xml:space="preserve"> von Entwürfen europäischer Normen, Entwürfen von Dokumenten der europäischen Normung, Entwürfen internationaler Normen und Entwürfen anderer technischer Normungsinformationen zur öffentlichen Erörterung spätestens einen Monat vor Ablauf der in der </w:t>
      </w:r>
      <w:proofErr w:type="spellStart"/>
      <w:r>
        <w:rPr>
          <w:color w:val="000000"/>
        </w:rPr>
        <w:t>Notifizierung</w:t>
      </w:r>
      <w:proofErr w:type="spellEnd"/>
      <w:r>
        <w:rPr>
          <w:color w:val="000000"/>
        </w:rPr>
        <w:t xml:space="preserve"> bestimmten Frist veröffentlicht,</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 xml:space="preserve">er die öffentliche Erörterung von Entwürfen europäischer Normen, Entwürfen von Dokumenten der europäischen Normung, Entwürfen internationaler Normen und Entwürfen anderer technischer Normungsinformationen mit jedem sicherstellt, der dies innerhalb der Frist, die in der auf seiner Internetseite veröffentlichten </w:t>
      </w:r>
      <w:proofErr w:type="spellStart"/>
      <w:r>
        <w:rPr>
          <w:color w:val="000000"/>
        </w:rPr>
        <w:t>Notifizierung</w:t>
      </w:r>
      <w:proofErr w:type="spellEnd"/>
      <w:r>
        <w:rPr>
          <w:color w:val="000000"/>
        </w:rPr>
        <w:t xml:space="preserve"> festgelegt ist, beantragt,</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 xml:space="preserve">er erlassene europäische Normen, erlassene Dokumente der europäischen Normung, erlassene internationale Normen und erlassene andere technische Normungsinformationen auf seiner Internetseite </w:t>
      </w:r>
      <w:proofErr w:type="spellStart"/>
      <w:r>
        <w:rPr>
          <w:color w:val="000000"/>
        </w:rPr>
        <w:t>notifiziert</w:t>
      </w:r>
      <w:proofErr w:type="spellEnd"/>
      <w:r>
        <w:rPr>
          <w:color w:val="000000"/>
        </w:rPr>
        <w:t>,</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veröffentlicht auf seiner Internetseite Kriterien für die Erstellung slowakischer technischer Normen und technischer Normungsinformationen in der Staatssprache nach ihrer Bestätigung durch den Rat für technische Normung (nachstehend nur „Rat“ genannt) wie in § 5 festgelegt,</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stellt die Erstellung und Aufhebung slowakischer technischer Normen und technischer Normungsinformationen gemäß den durch eine europäische Normungsorganisation oder eine internationale Normungsorganisation festgelegten Regeln oder gemäß den vom Amt als slowakischem nationalen Normungsorgan festgelegten Regeln sicher,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kennzeichnet slowakische technische Normen, vorläufige slowakische technische Normen und technische Normungsinformationen gemäß § 3 Absatz 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erprobt in Zusammenarbeit mit Interessenträgern</w:t>
      </w:r>
      <w:r>
        <w:rPr>
          <w:color w:val="000000"/>
          <w:vertAlign w:val="superscript"/>
        </w:rPr>
        <w:t>13)</w:t>
      </w:r>
      <w:r>
        <w:rPr>
          <w:color w:val="000000"/>
        </w:rPr>
        <w:t>, ob der Inhalt ursprünglicher slowakischer technischer Normen und ursprünglicher technischer Normungsinformationen in Übereinstimmung mit dem erreichten Grad der Entwicklung von Wissenschaft und Technik steht,</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lastRenderedPageBreak/>
        <w:t>teilt einer europäischen Normungsorganisation die Absicht der Verabschiedung einer ursprünglichen slowakischen technischen Norm mit,</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stellt gemäß § 15 slowakische technische Normen und ihre Korrekturen, technische Normungsinformationen und ihre Korrekturen und andere technische Normen und ihre Änderungen und Korrekturen zur Verfügung,</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erhebt für die Zurverfügungstellung slowakischer technischer Normen, technischer Normungsinformationen und anderer technischer Normen und ihrer Änderungen Gebühren,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veröffentlicht monatlich auf seiner Internetseite ein Verzeichnis der nicht gemäß § 10 Absatz 2 veröffentlichten slowakischen technischen Normen und technischen Normungsinformationen und ihrer Änderungen, die in das Verzeichnis der slowakischen technischen Normen aufgenommen wurden,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schützt slowakische technische Normen, technische Normungsinformationen und andere technische Normen und deren Änderungen gemäß diesem Gesetz,</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lenkt die Erstellung und Zurverfügungstellung slowakischer technischer Normen und ihrer Korrekturen, technischer Normungsinformationen und ihrer Korrekturen und anderer technischer Normen und ihrer Änderungen und Korrekturen methodisch; veröffentlicht die methodische Lenkung auf seiner Internetseite,</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betreibt auf seiner Internetseite ein öffentlich zugängliches Portal der slowakischen technischen Normen und technischen Normungsinformationen und ihrer Änderungen (nachstehend nur „Portal“ genannt),</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ist für die sprachliche und terminologische Richtigkeit der verabschiedeten slowakischen technischen Normen und technischen Normungsinformationen in der Staatssprache verantwortlich.</w:t>
      </w:r>
    </w:p>
    <w:p w:rsidR="00B3535A" w:rsidRPr="00D06F2A" w:rsidRDefault="00E16F77" w:rsidP="00BB519B">
      <w:pPr>
        <w:keepNext/>
        <w:keepLines/>
        <w:widowControl/>
        <w:shd w:val="clear" w:color="auto" w:fill="FFFFFF"/>
        <w:spacing w:before="360"/>
        <w:jc w:val="center"/>
        <w:rPr>
          <w:b/>
          <w:bCs/>
          <w:color w:val="000000"/>
        </w:rPr>
      </w:pPr>
      <w:r>
        <w:rPr>
          <w:b/>
          <w:bCs/>
          <w:color w:val="000000"/>
        </w:rPr>
        <w:t>§ 5</w:t>
      </w:r>
    </w:p>
    <w:p w:rsidR="00E16F77" w:rsidRPr="008015BE" w:rsidRDefault="00E16F77" w:rsidP="00BB519B">
      <w:pPr>
        <w:keepNext/>
        <w:keepLines/>
        <w:widowControl/>
        <w:shd w:val="clear" w:color="auto" w:fill="FFFFFF"/>
        <w:jc w:val="center"/>
        <w:rPr>
          <w:b/>
          <w:bCs/>
          <w:color w:val="000000"/>
        </w:rPr>
      </w:pPr>
      <w:r>
        <w:rPr>
          <w:b/>
          <w:bCs/>
          <w:color w:val="000000"/>
        </w:rPr>
        <w:t>Der Rat</w:t>
      </w:r>
    </w:p>
    <w:p w:rsidR="00E16F77" w:rsidRPr="00D06F2A" w:rsidRDefault="00E16F77" w:rsidP="003E6A72">
      <w:pPr>
        <w:pStyle w:val="Listenabsatz"/>
        <w:keepNext/>
        <w:keepLines/>
        <w:widowControl/>
        <w:numPr>
          <w:ilvl w:val="0"/>
          <w:numId w:val="21"/>
        </w:numPr>
        <w:shd w:val="clear" w:color="auto" w:fill="FFFFFF"/>
        <w:spacing w:before="120" w:after="120"/>
        <w:ind w:left="284" w:hanging="284"/>
        <w:contextualSpacing w:val="0"/>
        <w:jc w:val="both"/>
        <w:rPr>
          <w:color w:val="000000"/>
        </w:rPr>
      </w:pPr>
      <w:r>
        <w:rPr>
          <w:color w:val="000000"/>
        </w:rPr>
        <w:t>Der Rat als Fach- und Beratungsorgan des Vorsitzenden des Amtes</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stellt die Unabhängigkeit des Amtes als slowakisches nationales Normungsorgan sicher,</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beaufsichtigt die Tätigkeit des Amtes als slowakisches nationales Normungsorgan bei der Erfüllung der Aufgaben gemäß § 4 Absatz 2 Buchstabe a,</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beurteilt die konzeptionellen Obliegenheiten, welche für die technische Normung auf nationaler, europäischer und internationaler Ebene gelten,</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legt dem Vorsitzenden des Amtes strategische Empfehlungen zur Konzeption der staatlichen Politik auf dem Gebiet der technischen Normung in der Slowakischen Republik unter Berücksichtigung der aktuellen Anforderungen der nationalen, europäischen und internationalen Normung und Anforderungen der nationalen Wirtschaft vor,</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beurteilt, ob das Amt als slowakisches nationales Normungsorgan die Kriterien der Mitgliedschaft in der europäischen Normungsorganisation erfüllt,</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bestätigt die Kriterien zur Erstellung von slowakischen technischen Normen in der Staatssprache,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bewertet regelmäßig die Tätigkeit des Amtes als slowakischem nationalem Normungsorgan einschließlich der Erfüllung der monatlichen Aufstellung der Normungsaufgaben (nachstehend nur „Plan der technischen Normung“ genannt),</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überwacht die Verfahren des Amtes als slowakischem nationalen Normungsorgan im Zusammenhang mit der Tätigkeit der technischen Kommission,</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äußert sich zum Statut der technischen Kommission und der Geschäftsordnung der technischen Kommission,</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äußert sich zu Forderungen der Öffentlichkeit oder eines Organs der öffentlichen Hand bezüglich der Ausarbeitung von Entwürfen ursprünglicher slowakischer technischer Normen und deren Aufnahme in den Plan der technischen Normung,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bestätigt das Statut des Rates und die Geschäftsordnung des Rates,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lastRenderedPageBreak/>
        <w:t xml:space="preserve">erfüllt die anderen, in der Satzung des Rates festgelegten Pflichten. </w:t>
      </w:r>
    </w:p>
    <w:p w:rsidR="00E16F77" w:rsidRPr="00D06F2A" w:rsidRDefault="00E16F77" w:rsidP="003E6A72">
      <w:pPr>
        <w:pStyle w:val="Listenabsatz"/>
        <w:widowControl/>
        <w:numPr>
          <w:ilvl w:val="0"/>
          <w:numId w:val="21"/>
        </w:numPr>
        <w:shd w:val="clear" w:color="auto" w:fill="FFFFFF"/>
        <w:spacing w:before="120" w:after="120"/>
        <w:ind w:left="284" w:hanging="284"/>
        <w:contextualSpacing w:val="0"/>
        <w:jc w:val="both"/>
        <w:rPr>
          <w:color w:val="000000"/>
        </w:rPr>
      </w:pPr>
      <w:r>
        <w:rPr>
          <w:color w:val="000000"/>
        </w:rPr>
        <w:t>Der Rat hat höchstens 15 Mitglieder. Mitglieder des Rates sind die Vertreter der Interessenträger und die Vertreter der Organe der öffentlichen Hand. Die Anzahl der Vertreter der Organe der öffentlichen Hand beträgt höchstens ein Drittel der Gesamtanzahl der Mitglieder des Rates.</w:t>
      </w:r>
    </w:p>
    <w:p w:rsidR="00D0380A" w:rsidRPr="00D06F2A" w:rsidRDefault="00E16F77" w:rsidP="003E6A72">
      <w:pPr>
        <w:pStyle w:val="Listenabsatz"/>
        <w:widowControl/>
        <w:numPr>
          <w:ilvl w:val="0"/>
          <w:numId w:val="21"/>
        </w:numPr>
        <w:shd w:val="clear" w:color="auto" w:fill="FFFFFF"/>
        <w:spacing w:before="120" w:after="120"/>
        <w:ind w:left="284" w:hanging="284"/>
        <w:contextualSpacing w:val="0"/>
        <w:jc w:val="both"/>
        <w:rPr>
          <w:color w:val="000000"/>
        </w:rPr>
      </w:pPr>
      <w:r>
        <w:rPr>
          <w:color w:val="000000"/>
        </w:rPr>
        <w:t>Die Mitglieder des Rates werden vom Vorsitzenden des Amtes ernannt und abberufen.</w:t>
      </w:r>
    </w:p>
    <w:p w:rsidR="00E16F77" w:rsidRPr="00D06F2A" w:rsidRDefault="00E16F77" w:rsidP="003E6A72">
      <w:pPr>
        <w:pStyle w:val="Listenabsatz"/>
        <w:widowControl/>
        <w:numPr>
          <w:ilvl w:val="0"/>
          <w:numId w:val="21"/>
        </w:numPr>
        <w:shd w:val="clear" w:color="auto" w:fill="FFFFFF"/>
        <w:spacing w:before="120" w:after="120"/>
        <w:ind w:left="284" w:hanging="284"/>
        <w:contextualSpacing w:val="0"/>
        <w:jc w:val="both"/>
        <w:rPr>
          <w:color w:val="000000"/>
        </w:rPr>
      </w:pPr>
      <w:r>
        <w:rPr>
          <w:color w:val="000000"/>
        </w:rPr>
        <w:t>Die Funktion eines Mitglieds des Rats ist ehrenamtlich und nicht vertretbar.</w:t>
      </w:r>
    </w:p>
    <w:p w:rsidR="00E16F77" w:rsidRPr="00D06F2A" w:rsidRDefault="00E16F77" w:rsidP="003E6A72">
      <w:pPr>
        <w:pStyle w:val="Listenabsatz"/>
        <w:widowControl/>
        <w:numPr>
          <w:ilvl w:val="0"/>
          <w:numId w:val="21"/>
        </w:numPr>
        <w:shd w:val="clear" w:color="auto" w:fill="FFFFFF"/>
        <w:spacing w:before="120" w:after="120"/>
        <w:ind w:left="284" w:hanging="284"/>
        <w:contextualSpacing w:val="0"/>
        <w:jc w:val="both"/>
        <w:rPr>
          <w:color w:val="000000"/>
        </w:rPr>
      </w:pPr>
      <w:r>
        <w:rPr>
          <w:color w:val="000000"/>
        </w:rPr>
        <w:t>Zusammensetzung, Aufgaben, organisatorische Absicherung und Verhandlungsverfahren des Rates sind in der Satzung und in der Geschäftsordnung des Rates, die vom Amt herausgegeben werden, geregelt.</w:t>
      </w:r>
    </w:p>
    <w:p w:rsidR="00B3535A" w:rsidRPr="00D06F2A" w:rsidRDefault="00E16F77" w:rsidP="00BB519B">
      <w:pPr>
        <w:keepNext/>
        <w:keepLines/>
        <w:widowControl/>
        <w:shd w:val="clear" w:color="auto" w:fill="FFFFFF"/>
        <w:spacing w:before="360"/>
        <w:jc w:val="center"/>
        <w:rPr>
          <w:b/>
          <w:bCs/>
          <w:color w:val="000000"/>
        </w:rPr>
      </w:pPr>
      <w:r>
        <w:rPr>
          <w:b/>
          <w:bCs/>
          <w:color w:val="000000"/>
        </w:rPr>
        <w:t>§ 6</w:t>
      </w:r>
    </w:p>
    <w:p w:rsidR="00E16F77" w:rsidRPr="008015BE" w:rsidRDefault="00E16F77" w:rsidP="00BB519B">
      <w:pPr>
        <w:keepNext/>
        <w:keepLines/>
        <w:widowControl/>
        <w:shd w:val="clear" w:color="auto" w:fill="FFFFFF"/>
        <w:jc w:val="center"/>
        <w:rPr>
          <w:b/>
          <w:bCs/>
          <w:color w:val="000000"/>
        </w:rPr>
      </w:pPr>
      <w:r>
        <w:rPr>
          <w:b/>
          <w:bCs/>
          <w:color w:val="000000"/>
        </w:rPr>
        <w:t>Die Technische Kommission</w:t>
      </w:r>
    </w:p>
    <w:p w:rsidR="00E16F77" w:rsidRPr="00D06F2A" w:rsidRDefault="00E16F77" w:rsidP="00B3535A">
      <w:pPr>
        <w:widowControl/>
        <w:shd w:val="clear" w:color="auto" w:fill="FFFFFF"/>
        <w:spacing w:before="120"/>
        <w:jc w:val="both"/>
        <w:rPr>
          <w:color w:val="000000"/>
        </w:rPr>
      </w:pPr>
      <w:r>
        <w:rPr>
          <w:color w:val="000000"/>
        </w:rPr>
        <w:t>Die technische Kommission ist ein fachliches Beratungsorgan des Amtes als slowakisches nationales Normungsorgan und beteiligt sich an der Erstellung slowakischer technischer Normen, technischer Normungsinformationen, am Vorbringen von Bemerkungen gemäß § 9 Absatz 2 Buchstabe b und Absatz 3 Buchstabe c sowie an weiteren Tätigkeiten, die mit der technischen Normung zusammenhängen. Zusammensetzung, Aufgaben, organisatorische Absicherung und Verhandlungsverfahren der technischen Kommission sowie die Geschäftsordnung der technischen Kommission sind in der Satzung, die vom Amt herausgegeben wird, geregelt.</w:t>
      </w:r>
    </w:p>
    <w:p w:rsidR="00E16F77" w:rsidRPr="008015BE" w:rsidRDefault="00E16F77" w:rsidP="00BB519B">
      <w:pPr>
        <w:keepNext/>
        <w:keepLines/>
        <w:widowControl/>
        <w:shd w:val="clear" w:color="auto" w:fill="FFFFFF"/>
        <w:spacing w:before="360"/>
        <w:jc w:val="center"/>
        <w:rPr>
          <w:b/>
          <w:bCs/>
          <w:color w:val="000000"/>
        </w:rPr>
      </w:pPr>
      <w:r>
        <w:rPr>
          <w:b/>
          <w:bCs/>
          <w:color w:val="000000"/>
        </w:rPr>
        <w:t>Erstellung slowakischer technischer Normen und technischer Normungsinformationen</w:t>
      </w:r>
    </w:p>
    <w:p w:rsidR="00E16F77" w:rsidRPr="008015BE" w:rsidRDefault="00E16F77" w:rsidP="00BB519B">
      <w:pPr>
        <w:keepNext/>
        <w:keepLines/>
        <w:widowControl/>
        <w:shd w:val="clear" w:color="auto" w:fill="FFFFFF"/>
        <w:jc w:val="center"/>
        <w:rPr>
          <w:b/>
          <w:bCs/>
          <w:color w:val="000000"/>
        </w:rPr>
      </w:pPr>
      <w:r>
        <w:rPr>
          <w:b/>
          <w:bCs/>
          <w:color w:val="000000"/>
        </w:rPr>
        <w:t>§ 7</w:t>
      </w:r>
    </w:p>
    <w:p w:rsidR="00E16F77" w:rsidRPr="00D06F2A" w:rsidRDefault="00E16F77" w:rsidP="003E6A72">
      <w:pPr>
        <w:pStyle w:val="Listenabsatz"/>
        <w:widowControl/>
        <w:numPr>
          <w:ilvl w:val="0"/>
          <w:numId w:val="17"/>
        </w:numPr>
        <w:shd w:val="clear" w:color="auto" w:fill="FFFFFF"/>
        <w:tabs>
          <w:tab w:val="left" w:pos="284"/>
        </w:tabs>
        <w:spacing w:before="120"/>
        <w:ind w:left="284" w:hanging="284"/>
        <w:contextualSpacing w:val="0"/>
        <w:jc w:val="both"/>
        <w:rPr>
          <w:color w:val="000000"/>
        </w:rPr>
      </w:pPr>
      <w:r>
        <w:rPr>
          <w:color w:val="000000"/>
        </w:rPr>
        <w:t>Das Amt als slowakisches nationales Normungsorgan arbeitet bei der Sicherstellung der Tätigkeiten gemäß § 4 Absatz 2 Buchstabe d mit der technischen Kommission und Interessenträgern einschließlich kleiner Unternehmen</w:t>
      </w:r>
      <w:r>
        <w:rPr>
          <w:color w:val="000000"/>
          <w:vertAlign w:val="superscript"/>
        </w:rPr>
        <w:t>14)</w:t>
      </w:r>
      <w:r>
        <w:rPr>
          <w:color w:val="000000"/>
        </w:rPr>
        <w:t xml:space="preserve"> und mittlerer Unternehmen</w:t>
      </w:r>
      <w:r>
        <w:rPr>
          <w:color w:val="000000"/>
          <w:vertAlign w:val="superscript"/>
        </w:rPr>
        <w:t>15)</w:t>
      </w:r>
      <w:r>
        <w:rPr>
          <w:color w:val="000000"/>
        </w:rPr>
        <w:t>, dem Organ der öffentlichen Hand und der juristischen oder natürlichen Person, die auf Grundlage eines Vertrags mit dem Amt als slowakisches nationales Normungsorgan für die Erstellung der Normungsaufgabe verantwortlich ist (nachstehend nur „</w:t>
      </w:r>
      <w:proofErr w:type="spellStart"/>
      <w:r>
        <w:rPr>
          <w:color w:val="000000"/>
        </w:rPr>
        <w:t>Erarbeiter</w:t>
      </w:r>
      <w:proofErr w:type="spellEnd"/>
      <w:r>
        <w:rPr>
          <w:color w:val="000000"/>
        </w:rPr>
        <w:t>“ genannt), zusammen.</w:t>
      </w:r>
    </w:p>
    <w:p w:rsidR="00E16F77" w:rsidRPr="00D06F2A" w:rsidRDefault="00E16F77" w:rsidP="003E6A72">
      <w:pPr>
        <w:pStyle w:val="Listenabsatz"/>
        <w:widowControl/>
        <w:numPr>
          <w:ilvl w:val="0"/>
          <w:numId w:val="17"/>
        </w:numPr>
        <w:shd w:val="clear" w:color="auto" w:fill="FFFFFF"/>
        <w:tabs>
          <w:tab w:val="left" w:pos="284"/>
        </w:tabs>
        <w:spacing w:before="120"/>
        <w:ind w:left="284" w:hanging="284"/>
        <w:contextualSpacing w:val="0"/>
        <w:jc w:val="both"/>
        <w:rPr>
          <w:color w:val="000000"/>
        </w:rPr>
      </w:pPr>
      <w:r>
        <w:rPr>
          <w:color w:val="000000"/>
        </w:rPr>
        <w:t xml:space="preserve">Vom </w:t>
      </w:r>
      <w:proofErr w:type="spellStart"/>
      <w:r>
        <w:rPr>
          <w:color w:val="000000"/>
        </w:rPr>
        <w:t>Erarbeiter</w:t>
      </w:r>
      <w:proofErr w:type="spellEnd"/>
      <w:r>
        <w:rPr>
          <w:color w:val="000000"/>
        </w:rPr>
        <w:t xml:space="preserve"> und vom Amt als slowakischem nationalem Normungsorgan wird bei der Erstellung slowakischer technischer Normen und technischer Normungsinformationen gemäß den §§ 8 bis 10, den Regeln der europäischen Normungsorganisation, den Regeln des internationalen Normungsorgans und des methodischen Verfahrens des Amtes als slowakischem Normungsorgan, die auf der Internetseite des Amtes als slowakischem Normungsorgan veröffentlicht sind, verfahren.</w:t>
      </w:r>
    </w:p>
    <w:p w:rsidR="00E16F77" w:rsidRPr="00D06F2A" w:rsidRDefault="00E16F77" w:rsidP="003E6A72">
      <w:pPr>
        <w:pStyle w:val="Listenabsatz"/>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Die Erstellung von slowakischen technischen Normen und technischen Normungsinformationen beinhaltet Folgendes:</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die Aufstellung des Plans der technischen Normung,</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die Erstellung von Entwürfen slowakischer technischer Normen und Entwürfen technischer Normungsinformationen,</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 xml:space="preserve">die Verabschiedung und </w:t>
      </w:r>
      <w:proofErr w:type="spellStart"/>
      <w:r>
        <w:rPr>
          <w:color w:val="000000"/>
        </w:rPr>
        <w:t>Notifizierung</w:t>
      </w:r>
      <w:proofErr w:type="spellEnd"/>
      <w:r>
        <w:rPr>
          <w:color w:val="000000"/>
        </w:rPr>
        <w:t xml:space="preserve"> slowakischer technischer Normen und technischer Normungsinformationen.</w:t>
      </w:r>
    </w:p>
    <w:p w:rsidR="00B3535A" w:rsidRPr="00D06F2A" w:rsidRDefault="00E16F77" w:rsidP="00BB519B">
      <w:pPr>
        <w:keepNext/>
        <w:keepLines/>
        <w:widowControl/>
        <w:shd w:val="clear" w:color="auto" w:fill="FFFFFF"/>
        <w:spacing w:before="360"/>
        <w:jc w:val="center"/>
        <w:rPr>
          <w:b/>
          <w:bCs/>
          <w:color w:val="000000"/>
        </w:rPr>
      </w:pPr>
      <w:r>
        <w:rPr>
          <w:b/>
          <w:bCs/>
          <w:color w:val="000000"/>
        </w:rPr>
        <w:t>§ 8</w:t>
      </w:r>
    </w:p>
    <w:p w:rsidR="00E16F77" w:rsidRPr="008015BE" w:rsidRDefault="00E16F77" w:rsidP="00BB519B">
      <w:pPr>
        <w:keepNext/>
        <w:keepLines/>
        <w:widowControl/>
        <w:shd w:val="clear" w:color="auto" w:fill="FFFFFF"/>
        <w:jc w:val="center"/>
        <w:rPr>
          <w:b/>
          <w:bCs/>
          <w:color w:val="000000"/>
        </w:rPr>
      </w:pPr>
      <w:r>
        <w:rPr>
          <w:b/>
          <w:bCs/>
          <w:color w:val="000000"/>
        </w:rPr>
        <w:t>Aufstellung des Plans der technischen Normung</w:t>
      </w:r>
    </w:p>
    <w:p w:rsidR="00D0380A" w:rsidRPr="00D06F2A" w:rsidRDefault="00E16F77" w:rsidP="003E6A72">
      <w:pPr>
        <w:pStyle w:val="Listenabsatz"/>
        <w:widowControl/>
        <w:numPr>
          <w:ilvl w:val="0"/>
          <w:numId w:val="18"/>
        </w:numPr>
        <w:shd w:val="clear" w:color="auto" w:fill="FFFFFF"/>
        <w:spacing w:before="120"/>
        <w:ind w:left="284" w:hanging="284"/>
        <w:contextualSpacing w:val="0"/>
        <w:jc w:val="both"/>
        <w:rPr>
          <w:color w:val="000000"/>
        </w:rPr>
      </w:pPr>
      <w:r>
        <w:rPr>
          <w:color w:val="000000"/>
        </w:rPr>
        <w:t>Vom Amt als slowakischem nationalem Normungsorgan wird der Plan der technischen Normung aufgestellt und spätestens am zehnten Tag des Kalendermonats, der auf den Monat folgt, in dem der Plan der technischen Normung aufgestellt wurde, auf seiner Internetseite veröffentlicht.</w:t>
      </w:r>
    </w:p>
    <w:p w:rsidR="00E16F77" w:rsidRPr="00D06F2A" w:rsidRDefault="00E16F77" w:rsidP="003E6A72">
      <w:pPr>
        <w:pStyle w:val="Listenabsatz"/>
        <w:widowControl/>
        <w:numPr>
          <w:ilvl w:val="0"/>
          <w:numId w:val="18"/>
        </w:numPr>
        <w:shd w:val="clear" w:color="auto" w:fill="FFFFFF"/>
        <w:spacing w:before="120"/>
        <w:ind w:left="284" w:hanging="284"/>
        <w:contextualSpacing w:val="0"/>
        <w:jc w:val="both"/>
        <w:rPr>
          <w:color w:val="000000"/>
        </w:rPr>
      </w:pPr>
      <w:r>
        <w:rPr>
          <w:color w:val="000000"/>
        </w:rPr>
        <w:t>Das Amt als slowakisches nationales Normungsorgan bestimmt im Plan der technischen Normung bei europäischen Normen, Dokumenten der europäischen Normung, internationalen Normen und anderen technischen Normungsinformationen das Verfahren ihrer Verabschiedung und ihre Aufnahme in das System der slowakischen technischen Normen wie folgt:</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mit Übersetzung in die Staatssprache,</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ohne Übersetzung in die Staatssprache oder</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lastRenderedPageBreak/>
        <w:t>ohne Übersetzung in die Staatssprache mit Annotation in der Staatssprache.</w:t>
      </w:r>
    </w:p>
    <w:p w:rsidR="00E16F77" w:rsidRPr="00D06F2A" w:rsidRDefault="00E16F77" w:rsidP="003E6A72">
      <w:pPr>
        <w:pStyle w:val="Listenabsatz"/>
        <w:widowControl/>
        <w:numPr>
          <w:ilvl w:val="0"/>
          <w:numId w:val="18"/>
        </w:numPr>
        <w:shd w:val="clear" w:color="auto" w:fill="FFFFFF"/>
        <w:spacing w:before="120"/>
        <w:ind w:left="284" w:hanging="284"/>
        <w:contextualSpacing w:val="0"/>
        <w:jc w:val="both"/>
        <w:rPr>
          <w:color w:val="000000"/>
        </w:rPr>
      </w:pPr>
      <w:r>
        <w:rPr>
          <w:color w:val="000000"/>
        </w:rPr>
        <w:t>Vom Amt als slowakischem nationalem Normungsorgan wird im Plan der technischen Normung die Absicht zur Erarbeitung einer ursprünglichen slowakischen technischen Norm oder die Absicht zur Erarbeitung einer ursprünglichen technischen Normungsinformation angegeben, über deren Erarbeitung und Aufnahme in das System der slowakischen technischen Normen von diesem entschieden wurde.</w:t>
      </w:r>
    </w:p>
    <w:p w:rsidR="00B3535A" w:rsidRPr="00D06F2A" w:rsidRDefault="00E16F77" w:rsidP="00BB519B">
      <w:pPr>
        <w:keepNext/>
        <w:keepLines/>
        <w:widowControl/>
        <w:shd w:val="clear" w:color="auto" w:fill="FFFFFF"/>
        <w:spacing w:before="360"/>
        <w:jc w:val="center"/>
        <w:rPr>
          <w:b/>
          <w:bCs/>
          <w:color w:val="000000"/>
        </w:rPr>
      </w:pPr>
      <w:r>
        <w:rPr>
          <w:b/>
          <w:bCs/>
          <w:color w:val="000000"/>
        </w:rPr>
        <w:t>§ 9</w:t>
      </w:r>
    </w:p>
    <w:p w:rsidR="00E16F77" w:rsidRPr="008015BE" w:rsidRDefault="00E16F77" w:rsidP="00BB519B">
      <w:pPr>
        <w:keepNext/>
        <w:keepLines/>
        <w:widowControl/>
        <w:shd w:val="clear" w:color="auto" w:fill="FFFFFF"/>
        <w:jc w:val="center"/>
        <w:rPr>
          <w:b/>
          <w:bCs/>
          <w:color w:val="000000"/>
        </w:rPr>
      </w:pPr>
      <w:r>
        <w:rPr>
          <w:b/>
          <w:bCs/>
          <w:color w:val="000000"/>
        </w:rPr>
        <w:t>Erarbeitung slowakischer technischer Normen und technischer Normungsinformationen</w:t>
      </w:r>
    </w:p>
    <w:p w:rsidR="00E16F77" w:rsidRPr="00D06F2A" w:rsidRDefault="00E16F77" w:rsidP="003E6A72">
      <w:pPr>
        <w:pStyle w:val="Listenabsatz"/>
        <w:widowControl/>
        <w:numPr>
          <w:ilvl w:val="0"/>
          <w:numId w:val="22"/>
        </w:numPr>
        <w:shd w:val="clear" w:color="auto" w:fill="FFFFFF"/>
        <w:spacing w:before="120"/>
        <w:ind w:left="284" w:hanging="284"/>
        <w:contextualSpacing w:val="0"/>
        <w:jc w:val="both"/>
        <w:rPr>
          <w:color w:val="000000"/>
        </w:rPr>
      </w:pPr>
      <w:r>
        <w:rPr>
          <w:color w:val="000000"/>
        </w:rPr>
        <w:t xml:space="preserve">Das Amt als slowakisches nationales Normungsorgan wählt bei der Erarbeitung von Entwürfen ursprünglicher slowakischer technischer Normen oder Entwürfen ursprünglicher technischer Normungsinformationen oder bei der Erarbeitung von Entwürfen slowakischer technischer Normen oder Entwürfen ursprünglicher technischer Normungsinformationen nach dem Verfahren gemäß § 8 Absatz 2 Buchstaben a oder c einen </w:t>
      </w:r>
      <w:proofErr w:type="spellStart"/>
      <w:r>
        <w:rPr>
          <w:color w:val="000000"/>
        </w:rPr>
        <w:t>Erarbeiter</w:t>
      </w:r>
      <w:proofErr w:type="spellEnd"/>
      <w:r>
        <w:rPr>
          <w:color w:val="000000"/>
        </w:rPr>
        <w:t xml:space="preserve"> nach der einschlägigen Vorschrift</w:t>
      </w:r>
      <w:r>
        <w:rPr>
          <w:color w:val="000000"/>
          <w:vertAlign w:val="superscript"/>
        </w:rPr>
        <w:t>16)</w:t>
      </w:r>
      <w:r>
        <w:rPr>
          <w:color w:val="000000"/>
        </w:rPr>
        <w:t xml:space="preserve"> aus Dieses Verfahren wird nicht angewandt, wenn die Kosten für die Erarbeitung des Entwurfs einer slowakischen technischen Norm oder eines Entwurfs einer technischen Normungsinformation nicht vom Amt getragen werden.</w:t>
      </w:r>
    </w:p>
    <w:p w:rsidR="00E16F77" w:rsidRPr="00D06F2A" w:rsidRDefault="00E16F77" w:rsidP="003E6A72">
      <w:pPr>
        <w:pStyle w:val="Listenabsatz"/>
        <w:widowControl/>
        <w:numPr>
          <w:ilvl w:val="0"/>
          <w:numId w:val="22"/>
        </w:numPr>
        <w:shd w:val="clear" w:color="auto" w:fill="FFFFFF"/>
        <w:spacing w:before="120"/>
        <w:ind w:left="284" w:hanging="284"/>
        <w:contextualSpacing w:val="0"/>
        <w:jc w:val="both"/>
        <w:rPr>
          <w:color w:val="000000"/>
        </w:rPr>
      </w:pPr>
      <w:proofErr w:type="spellStart"/>
      <w:r>
        <w:rPr>
          <w:color w:val="000000"/>
        </w:rPr>
        <w:t>Erarbeiter</w:t>
      </w:r>
      <w:proofErr w:type="spellEnd"/>
      <w:r>
        <w:rPr>
          <w:color w:val="000000"/>
        </w:rPr>
        <w:t xml:space="preserve"> oder Amt als slowakisches nationales Normungsorgan übernimmt bei der Erarbeitung von Entwürfen ursprünglicher slowakischer technischer Normen oder Entwürfen ursprünglicher technischer Normungsinformationen folgende Aufgaben:</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Erstellung von Entwürfen ursprünglicher slowakischer technischer Normen oder Entwürfen ursprünglicher technischer Normungsinformationen,</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Vorlage von erarbeiteten Entwürfen ursprünglicher slowakischer technischer Normen oder erarbeiteten Entwürfen ursprünglicher technischer Normungsinformationen bei einem Mitglied der technischen Kommission oder einem Mitglied der dafür gebildeten Arbeitsgruppe zum Vorbringen von Bemerkungen,</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Abänderung von Entwürfen ursprünglicher slowakischer technischer Normen oder Entwürfen ursprünglicher technischer Normungsinformationen gemäß den vorgebrachten Bemerkungen der technischen Kommission oder der dafür gebildeten Arbeitsgruppe, welche vom Amt als slowakischem nationalem Normungsorgan innerhalb von 15 Arbeitstagen ab Zustellung des Entwurfs der ursprünglichen slowakischen technischen Norm oder des Entwurfs der ursprünglichen technischen Normungsinformation der Öffentlichkeit durch Mitteilung auf seiner Internetseite zur öffentlichen Beratung vorgelegt werden; wird ein Entwurf vom Amt als slowakischem nationalem Normungsorgan erarbeitet, wird dieser unverzüglich innerhalb von 15 Arbeitstagen ab Erarbeitung des Entwurfs der ursprünglichen slowakischen technischen Norm oder des Entwurfs der ursprünglichen technischen Normungsinformation der Öffentlichkeit durch Mitteilung auf seiner Internetseite zur Beratung vorgelegt, und</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Abänderung von Entwürfen ursprünglicher slowakischer technischer Normen oder Entwürfen ursprünglicher technischer Normungsinformationen entsprechend den geltend gemachten Bemerkungen aus dem öffentlichen Anhörungsverfahren.</w:t>
      </w:r>
    </w:p>
    <w:p w:rsidR="00E16F77" w:rsidRPr="00D06F2A" w:rsidRDefault="00E16F77" w:rsidP="003E6A72">
      <w:pPr>
        <w:pStyle w:val="Listenabsatz"/>
        <w:widowControl/>
        <w:numPr>
          <w:ilvl w:val="0"/>
          <w:numId w:val="22"/>
        </w:numPr>
        <w:shd w:val="clear" w:color="auto" w:fill="FFFFFF"/>
        <w:spacing w:before="120"/>
        <w:ind w:left="284" w:hanging="284"/>
        <w:contextualSpacing w:val="0"/>
        <w:jc w:val="both"/>
        <w:rPr>
          <w:color w:val="000000"/>
        </w:rPr>
      </w:pPr>
      <w:r>
        <w:rPr>
          <w:color w:val="000000"/>
        </w:rPr>
        <w:t xml:space="preserve">Der </w:t>
      </w:r>
      <w:proofErr w:type="spellStart"/>
      <w:r>
        <w:rPr>
          <w:color w:val="000000"/>
        </w:rPr>
        <w:t>Erarbeiter</w:t>
      </w:r>
      <w:proofErr w:type="spellEnd"/>
      <w:r>
        <w:rPr>
          <w:color w:val="000000"/>
        </w:rPr>
        <w:t xml:space="preserve"> oder das Amt als slowakisches nationales Normungsorgan übernimmt bei der Erarbeitung von Entwürfen slowakischer technischer Normen oder Entwürfen technischer Normungsinformationen nach dem Verfahren gemäß § 8 Absatz 2 Buchstaben a oder c Folgendes:</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Erstellung von Entwürfen slowakischer technischer Normen oder Entwürfen technischer Normungsinformationen,</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Vorlage der erarbeiteten Entwürfe der slowakischen technischen Normen oder der erarbeiteten Entwürfe der technischen Normungsinformationen zum Vorbringen von Bemerkungen bei einem Mitglied der technischen Kommission und jeder Person, die eine Teilnahme an den Erörterungen innerhalb der bestimmten Frist verlangt, die im auf der Internetseite des Amtes als slowakischem nationalem Normungsorgan veröffentlichten Plan der technischen Normung festgelegt ist,</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Abänderung von Entwürfen slowakischer technischer Normen oder Entwürfen technischer Normungsinformationen nach den vorgebrachten Bemerkungen der technischen Kommission oder einer Person, durch welche die Teilnahme an den Erörterungen beantragt wurde.</w:t>
      </w:r>
    </w:p>
    <w:p w:rsidR="00E16F77" w:rsidRPr="00D06F2A" w:rsidRDefault="00E16F77" w:rsidP="003E6A72">
      <w:pPr>
        <w:pStyle w:val="Listenabsatz"/>
        <w:widowControl/>
        <w:numPr>
          <w:ilvl w:val="0"/>
          <w:numId w:val="22"/>
        </w:numPr>
        <w:shd w:val="clear" w:color="auto" w:fill="FFFFFF"/>
        <w:spacing w:before="120"/>
        <w:ind w:left="284" w:hanging="284"/>
        <w:contextualSpacing w:val="0"/>
        <w:jc w:val="both"/>
        <w:rPr>
          <w:color w:val="000000"/>
        </w:rPr>
      </w:pPr>
      <w:r>
        <w:rPr>
          <w:color w:val="000000"/>
        </w:rPr>
        <w:lastRenderedPageBreak/>
        <w:t>Das Amt als slowakisches nationales Normungsorgan bei der Erarbeitung von Entwürfen slowakischer technischer Normen oder Entwürfen technischer Normungsinformationen gemäß § 8 Absatz 2 Buchstabe b erarbeitet die Bezeichnung der slowakischen technischen Norm oder der technischen Normungsinformation in der Staatssprache.</w:t>
      </w:r>
    </w:p>
    <w:p w:rsidR="00E16F77" w:rsidRPr="00D06F2A" w:rsidRDefault="00E16F77" w:rsidP="003E6A72">
      <w:pPr>
        <w:pStyle w:val="Listenabsatz"/>
        <w:widowControl/>
        <w:numPr>
          <w:ilvl w:val="0"/>
          <w:numId w:val="22"/>
        </w:numPr>
        <w:shd w:val="clear" w:color="auto" w:fill="FFFFFF"/>
        <w:spacing w:before="120"/>
        <w:ind w:left="284" w:hanging="284"/>
        <w:contextualSpacing w:val="0"/>
        <w:jc w:val="both"/>
        <w:rPr>
          <w:color w:val="000000"/>
        </w:rPr>
      </w:pPr>
      <w:r>
        <w:rPr>
          <w:color w:val="000000"/>
        </w:rPr>
        <w:t xml:space="preserve">Vom </w:t>
      </w:r>
      <w:proofErr w:type="spellStart"/>
      <w:r>
        <w:rPr>
          <w:color w:val="000000"/>
        </w:rPr>
        <w:t>Erarbeiter</w:t>
      </w:r>
      <w:proofErr w:type="spellEnd"/>
      <w:r>
        <w:rPr>
          <w:color w:val="000000"/>
        </w:rPr>
        <w:t xml:space="preserve"> oder vom Amt als slowakischem nationalem Normungsorgan bei der Erarbeitung von Entwürfen slowakischer technischer Normen oder Entwürfen technischer Normungsinformationen wird die Übereinstimmung der Entwürfe der slowakischen technischen Normen und der Entwürfe der technischen Normungsinformationen mit den verabschiedeten und </w:t>
      </w:r>
      <w:proofErr w:type="spellStart"/>
      <w:r>
        <w:rPr>
          <w:color w:val="000000"/>
        </w:rPr>
        <w:t>notifizierten</w:t>
      </w:r>
      <w:proofErr w:type="spellEnd"/>
      <w:r>
        <w:rPr>
          <w:color w:val="000000"/>
        </w:rPr>
        <w:t xml:space="preserve"> slowakischen technischen Normen und technischen Normungsinformationen und die Übereinstimmung der Entwürfe der slowakischen technischen Normen und der Entwürfe der technischen Normungsinformationen mit den allgemein verbindlichen Rechtsvorschriften und den rechtsverbindlichen Akten der Europäischen Union sichergestellt.</w:t>
      </w:r>
    </w:p>
    <w:p w:rsidR="00E16F77" w:rsidRPr="00D06F2A" w:rsidRDefault="00E16F77" w:rsidP="003E6A72">
      <w:pPr>
        <w:pStyle w:val="Listenabsatz"/>
        <w:widowControl/>
        <w:numPr>
          <w:ilvl w:val="0"/>
          <w:numId w:val="22"/>
        </w:numPr>
        <w:shd w:val="clear" w:color="auto" w:fill="FFFFFF"/>
        <w:spacing w:before="120"/>
        <w:ind w:left="284" w:hanging="284"/>
        <w:contextualSpacing w:val="0"/>
        <w:jc w:val="both"/>
        <w:rPr>
          <w:color w:val="000000"/>
        </w:rPr>
      </w:pPr>
      <w:r>
        <w:rPr>
          <w:color w:val="000000"/>
        </w:rPr>
        <w:t>Vom Amt als slowakischem nationalem Normungsorgan wird nach Abschluss des Verfahrens gemäß den Absätzen 2, 3 oder 4 eine sprachliche und terminologische Korrektur sichergestellt.</w:t>
      </w:r>
    </w:p>
    <w:p w:rsidR="00B3535A" w:rsidRPr="00D06F2A" w:rsidRDefault="00E16F77" w:rsidP="00BB519B">
      <w:pPr>
        <w:keepNext/>
        <w:keepLines/>
        <w:widowControl/>
        <w:shd w:val="clear" w:color="auto" w:fill="FFFFFF"/>
        <w:spacing w:before="360"/>
        <w:jc w:val="center"/>
        <w:rPr>
          <w:b/>
          <w:bCs/>
          <w:color w:val="000000"/>
        </w:rPr>
      </w:pPr>
      <w:r>
        <w:rPr>
          <w:b/>
          <w:bCs/>
          <w:color w:val="000000"/>
        </w:rPr>
        <w:t>§ 10</w:t>
      </w:r>
    </w:p>
    <w:p w:rsidR="00E16F77" w:rsidRPr="008015BE" w:rsidRDefault="00E16F77" w:rsidP="00BB519B">
      <w:pPr>
        <w:keepNext/>
        <w:keepLines/>
        <w:widowControl/>
        <w:shd w:val="clear" w:color="auto" w:fill="FFFFFF"/>
        <w:jc w:val="center"/>
        <w:rPr>
          <w:b/>
          <w:bCs/>
          <w:color w:val="000000"/>
        </w:rPr>
      </w:pPr>
      <w:r>
        <w:rPr>
          <w:b/>
          <w:bCs/>
          <w:color w:val="000000"/>
        </w:rPr>
        <w:t>Verabschiedung und Meldung über die Verabschiedung slowakischer technischer Normen und technischer Normungsinformationen</w:t>
      </w:r>
    </w:p>
    <w:p w:rsidR="00E16F77" w:rsidRPr="00D06F2A" w:rsidRDefault="00E16F77" w:rsidP="003E6A72">
      <w:pPr>
        <w:pStyle w:val="Listenabsatz"/>
        <w:widowControl/>
        <w:numPr>
          <w:ilvl w:val="0"/>
          <w:numId w:val="23"/>
        </w:numPr>
        <w:shd w:val="clear" w:color="auto" w:fill="FFFFFF"/>
        <w:spacing w:before="120"/>
        <w:ind w:left="284" w:hanging="284"/>
        <w:contextualSpacing w:val="0"/>
        <w:jc w:val="both"/>
        <w:rPr>
          <w:color w:val="000000"/>
        </w:rPr>
      </w:pPr>
      <w:r>
        <w:rPr>
          <w:color w:val="000000"/>
        </w:rPr>
        <w:t>Das Amt als slowakisches nationales Normungsorgan nimmt nach der Erarbeitung von Entwürfen slowakischer technischer Normen oder Entwürfen technischer Normungsinformationen gemäß § 9 die slowakischen technischen Normen oder technischen Normungsinformationen in das System der slowakischen technischen Normen auf.</w:t>
      </w:r>
    </w:p>
    <w:p w:rsidR="00E16F77" w:rsidRPr="00D06F2A" w:rsidRDefault="00E16F77" w:rsidP="003E6A72">
      <w:pPr>
        <w:pStyle w:val="Listenabsatz"/>
        <w:widowControl/>
        <w:numPr>
          <w:ilvl w:val="0"/>
          <w:numId w:val="23"/>
        </w:numPr>
        <w:shd w:val="clear" w:color="auto" w:fill="FFFFFF"/>
        <w:spacing w:before="120"/>
        <w:ind w:left="284" w:hanging="284"/>
        <w:contextualSpacing w:val="0"/>
        <w:jc w:val="both"/>
        <w:rPr>
          <w:color w:val="000000"/>
        </w:rPr>
      </w:pPr>
      <w:r>
        <w:rPr>
          <w:color w:val="000000"/>
        </w:rPr>
        <w:t xml:space="preserve">Vom Amt wird die Verabschiedung einer technischen Norm oder die Verabschiedung einer technischen Normungsinformation im Anzeiger oder in begründeten Fällen auf seiner Internetseite </w:t>
      </w:r>
      <w:proofErr w:type="spellStart"/>
      <w:r>
        <w:rPr>
          <w:color w:val="000000"/>
        </w:rPr>
        <w:t>notifiziert</w:t>
      </w:r>
      <w:proofErr w:type="spellEnd"/>
      <w:r>
        <w:rPr>
          <w:color w:val="000000"/>
        </w:rPr>
        <w:t>.</w:t>
      </w:r>
    </w:p>
    <w:p w:rsidR="00E16F77" w:rsidRPr="00D06F2A" w:rsidRDefault="00E16F77" w:rsidP="003E6A72">
      <w:pPr>
        <w:pStyle w:val="Listenabsatz"/>
        <w:widowControl/>
        <w:numPr>
          <w:ilvl w:val="0"/>
          <w:numId w:val="23"/>
        </w:numPr>
        <w:shd w:val="clear" w:color="auto" w:fill="FFFFFF"/>
        <w:spacing w:before="120"/>
        <w:ind w:left="284" w:hanging="284"/>
        <w:contextualSpacing w:val="0"/>
        <w:jc w:val="both"/>
        <w:rPr>
          <w:color w:val="000000"/>
        </w:rPr>
      </w:pPr>
      <w:r>
        <w:rPr>
          <w:color w:val="000000"/>
        </w:rPr>
        <w:t xml:space="preserve">Slowakische technische Normen und technische Normungsinformationen treten am ersten Tag des Kalendermonats, der auf den Monat der </w:t>
      </w:r>
      <w:proofErr w:type="spellStart"/>
      <w:r>
        <w:rPr>
          <w:color w:val="000000"/>
        </w:rPr>
        <w:t>Notifizierung</w:t>
      </w:r>
      <w:proofErr w:type="spellEnd"/>
      <w:r>
        <w:rPr>
          <w:color w:val="000000"/>
        </w:rPr>
        <w:t xml:space="preserve"> im Anzeiger folgt, in Kraft. Wurde eine Norm oder Normungsinformationen auf der Internetseite des Amtes </w:t>
      </w:r>
      <w:proofErr w:type="spellStart"/>
      <w:r>
        <w:rPr>
          <w:color w:val="000000"/>
        </w:rPr>
        <w:t>notifiziert</w:t>
      </w:r>
      <w:proofErr w:type="spellEnd"/>
      <w:r>
        <w:rPr>
          <w:color w:val="000000"/>
        </w:rPr>
        <w:t xml:space="preserve">, tritt sie am Tag ihrer </w:t>
      </w:r>
      <w:proofErr w:type="spellStart"/>
      <w:r>
        <w:rPr>
          <w:color w:val="000000"/>
        </w:rPr>
        <w:t>Notifizierung</w:t>
      </w:r>
      <w:proofErr w:type="spellEnd"/>
      <w:r>
        <w:rPr>
          <w:color w:val="000000"/>
        </w:rPr>
        <w:t xml:space="preserve"> auf der Internetseite des Amtes in Kraft.</w:t>
      </w:r>
    </w:p>
    <w:p w:rsidR="00B3535A" w:rsidRPr="00D06F2A" w:rsidRDefault="00E16F77" w:rsidP="00BB519B">
      <w:pPr>
        <w:keepNext/>
        <w:keepLines/>
        <w:widowControl/>
        <w:shd w:val="clear" w:color="auto" w:fill="FFFFFF"/>
        <w:spacing w:before="360"/>
        <w:jc w:val="center"/>
        <w:rPr>
          <w:b/>
          <w:bCs/>
          <w:color w:val="000000"/>
        </w:rPr>
      </w:pPr>
      <w:r>
        <w:rPr>
          <w:b/>
          <w:bCs/>
          <w:color w:val="000000"/>
        </w:rPr>
        <w:t>§ 11</w:t>
      </w:r>
    </w:p>
    <w:p w:rsidR="00E16F77" w:rsidRPr="008015BE" w:rsidRDefault="00E16F77" w:rsidP="00BB519B">
      <w:pPr>
        <w:keepNext/>
        <w:keepLines/>
        <w:widowControl/>
        <w:shd w:val="clear" w:color="auto" w:fill="FFFFFF"/>
        <w:jc w:val="center"/>
        <w:rPr>
          <w:b/>
          <w:bCs/>
          <w:color w:val="000000"/>
        </w:rPr>
      </w:pPr>
      <w:r>
        <w:rPr>
          <w:b/>
          <w:bCs/>
          <w:color w:val="000000"/>
        </w:rPr>
        <w:t>Änderung slowakischer technischer Normen, Korrektur und Aufhebung slowakischer technischer Normen und technischer Normungsinformationen</w:t>
      </w:r>
    </w:p>
    <w:p w:rsidR="00E16F77" w:rsidRPr="00D06F2A" w:rsidRDefault="00E16F77" w:rsidP="00B3535A">
      <w:pPr>
        <w:widowControl/>
        <w:shd w:val="clear" w:color="auto" w:fill="FFFFFF"/>
        <w:spacing w:before="120"/>
        <w:jc w:val="both"/>
        <w:rPr>
          <w:color w:val="000000"/>
        </w:rPr>
      </w:pPr>
      <w:r>
        <w:rPr>
          <w:color w:val="000000"/>
        </w:rPr>
        <w:t>Das Amt als slowakisches nationales Normungsorgan verfährt bei der Änderung, Korrektur oder Aufhebung slowakischer technischer Normen oder technischer Normungsinformationen gemäß den §§ 8 bis 10 entsprechend.</w:t>
      </w:r>
    </w:p>
    <w:p w:rsidR="00B3535A" w:rsidRPr="00D06F2A" w:rsidRDefault="00E16F77" w:rsidP="00BB519B">
      <w:pPr>
        <w:keepNext/>
        <w:keepLines/>
        <w:widowControl/>
        <w:shd w:val="clear" w:color="auto" w:fill="FFFFFF"/>
        <w:spacing w:before="360"/>
        <w:jc w:val="center"/>
        <w:rPr>
          <w:b/>
          <w:bCs/>
          <w:color w:val="000000"/>
        </w:rPr>
      </w:pPr>
      <w:r>
        <w:rPr>
          <w:b/>
          <w:bCs/>
          <w:color w:val="000000"/>
        </w:rPr>
        <w:t>§ 12</w:t>
      </w:r>
    </w:p>
    <w:p w:rsidR="00E16F77" w:rsidRPr="008015BE" w:rsidRDefault="00E16F77" w:rsidP="00BB519B">
      <w:pPr>
        <w:keepNext/>
        <w:keepLines/>
        <w:widowControl/>
        <w:shd w:val="clear" w:color="auto" w:fill="FFFFFF"/>
        <w:jc w:val="center"/>
        <w:rPr>
          <w:b/>
          <w:bCs/>
          <w:color w:val="000000"/>
        </w:rPr>
      </w:pPr>
      <w:r>
        <w:rPr>
          <w:b/>
          <w:bCs/>
          <w:color w:val="000000"/>
        </w:rPr>
        <w:t>Ausgaben für die Erstellung slowakischer technischer Normen und technischer Normungsinformationen</w:t>
      </w:r>
    </w:p>
    <w:p w:rsidR="00E16F77" w:rsidRPr="00D06F2A" w:rsidRDefault="00E16F77" w:rsidP="003E6A72">
      <w:pPr>
        <w:pStyle w:val="Listenabsatz"/>
        <w:widowControl/>
        <w:numPr>
          <w:ilvl w:val="0"/>
          <w:numId w:val="24"/>
        </w:numPr>
        <w:shd w:val="clear" w:color="auto" w:fill="FFFFFF"/>
        <w:spacing w:before="120"/>
        <w:ind w:left="284" w:hanging="284"/>
        <w:contextualSpacing w:val="0"/>
        <w:jc w:val="both"/>
        <w:rPr>
          <w:color w:val="000000"/>
        </w:rPr>
      </w:pPr>
      <w:r>
        <w:rPr>
          <w:color w:val="000000"/>
        </w:rPr>
        <w:t>Die Ausgaben für die Erstellung slowakischer technischer Normen und technischer Normungsinformationen und ihrer Korrekturen in der Staatssprache, welche den angenommenen und veröffentlichten Kriterien gemäß § 4 Absatz 2 Buchstabe c entsprechen, werden vom Amt getragen. Ansonsten werden die Ausgaben für die Erarbeitung slowakischer technischer Normen und technischer Normungsinformationen in der Staatssprache von der Person getragen, die ihre Erarbeitung verlangt.</w:t>
      </w:r>
    </w:p>
    <w:p w:rsidR="00E16F77" w:rsidRPr="00D06F2A" w:rsidRDefault="00E16F77" w:rsidP="003E6A72">
      <w:pPr>
        <w:pStyle w:val="Listenabsatz"/>
        <w:widowControl/>
        <w:numPr>
          <w:ilvl w:val="0"/>
          <w:numId w:val="24"/>
        </w:numPr>
        <w:shd w:val="clear" w:color="auto" w:fill="FFFFFF"/>
        <w:spacing w:before="120"/>
        <w:ind w:left="284" w:hanging="284"/>
        <w:contextualSpacing w:val="0"/>
        <w:jc w:val="both"/>
        <w:rPr>
          <w:color w:val="000000"/>
        </w:rPr>
      </w:pPr>
      <w:r>
        <w:rPr>
          <w:color w:val="000000"/>
        </w:rPr>
        <w:t>Die Ausgaben für die Erarbeitung einer unmittelbar im Text einer allgemein verbindlichen Rechtsvorschrift angegebenen slowakischen technischen Norm in der Staatssprache und die Ausgaben für jede Zurverfügungstellung einer unmittelbar im Text einer allgemein verbindlichen Rechtsvorschrift angegebenen slowakischen technischen Norm werden vom Organ der staatlichen Verwaltung getragen, welches die verantwortliche vorlegende Stelle derjenigen allgemein verbindlichen Rechtsvorschrift ist, in der sie unmittelbar im Text die slowakische technische Norm angeführt hat.</w:t>
      </w:r>
    </w:p>
    <w:p w:rsidR="00B3535A" w:rsidRPr="00D06F2A" w:rsidRDefault="00E16F77" w:rsidP="00BB519B">
      <w:pPr>
        <w:keepNext/>
        <w:keepLines/>
        <w:widowControl/>
        <w:shd w:val="clear" w:color="auto" w:fill="FFFFFF"/>
        <w:spacing w:before="360"/>
        <w:jc w:val="center"/>
        <w:rPr>
          <w:b/>
          <w:bCs/>
          <w:color w:val="000000"/>
        </w:rPr>
      </w:pPr>
      <w:r>
        <w:rPr>
          <w:b/>
          <w:bCs/>
          <w:color w:val="000000"/>
        </w:rPr>
        <w:lastRenderedPageBreak/>
        <w:t>§ 13</w:t>
      </w:r>
    </w:p>
    <w:p w:rsidR="00E16F77" w:rsidRPr="008015BE" w:rsidRDefault="00E16F77" w:rsidP="00BB519B">
      <w:pPr>
        <w:keepNext/>
        <w:keepLines/>
        <w:widowControl/>
        <w:shd w:val="clear" w:color="auto" w:fill="FFFFFF"/>
        <w:jc w:val="center"/>
        <w:rPr>
          <w:b/>
          <w:bCs/>
          <w:color w:val="000000"/>
        </w:rPr>
      </w:pPr>
      <w:r>
        <w:rPr>
          <w:b/>
          <w:bCs/>
          <w:color w:val="000000"/>
        </w:rPr>
        <w:t>Harmonisierte technische Normen und zur Konformitätsbewertung geeignete slowakische technische Normen</w:t>
      </w:r>
    </w:p>
    <w:p w:rsidR="00E16F77" w:rsidRPr="00D06F2A" w:rsidRDefault="00E16F77" w:rsidP="003E6A72">
      <w:pPr>
        <w:pStyle w:val="Listenabsatz"/>
        <w:widowControl/>
        <w:numPr>
          <w:ilvl w:val="0"/>
          <w:numId w:val="26"/>
        </w:numPr>
        <w:shd w:val="clear" w:color="auto" w:fill="FFFFFF"/>
        <w:spacing w:before="120"/>
        <w:ind w:left="284" w:hanging="284"/>
        <w:contextualSpacing w:val="0"/>
        <w:jc w:val="both"/>
        <w:rPr>
          <w:color w:val="000000"/>
        </w:rPr>
      </w:pPr>
      <w:r>
        <w:rPr>
          <w:color w:val="000000"/>
        </w:rPr>
        <w:t>Die Einhaltung einer harmonisierten technischen Norm</w:t>
      </w:r>
      <w:r>
        <w:rPr>
          <w:color w:val="000000"/>
          <w:vertAlign w:val="superscript"/>
        </w:rPr>
        <w:t>17)</w:t>
      </w:r>
      <w:r>
        <w:rPr>
          <w:color w:val="000000"/>
        </w:rPr>
        <w:t xml:space="preserve"> oder einer für die Konformitätsbewertung geeigneten slowakischen technischen Norm oder eines Teils davon wird als Erfüllung der in der technischen Vorschrift, auf die sich die harmonisierte technische Norm oder die für die Konformitätsbewertung geeignete slowakische technische Norm oder deren Teile beziehen, bestimmten technischen Anforderungen betrachtet.</w:t>
      </w:r>
    </w:p>
    <w:p w:rsidR="00E16F77" w:rsidRPr="00D06F2A" w:rsidRDefault="00E16F77" w:rsidP="003E6A72">
      <w:pPr>
        <w:pStyle w:val="Listenabsatz"/>
        <w:widowControl/>
        <w:numPr>
          <w:ilvl w:val="0"/>
          <w:numId w:val="26"/>
        </w:numPr>
        <w:shd w:val="clear" w:color="auto" w:fill="FFFFFF"/>
        <w:spacing w:before="120"/>
        <w:ind w:left="284" w:hanging="284"/>
        <w:contextualSpacing w:val="0"/>
        <w:jc w:val="both"/>
        <w:rPr>
          <w:color w:val="000000"/>
        </w:rPr>
      </w:pPr>
      <w:r>
        <w:rPr>
          <w:color w:val="000000"/>
        </w:rPr>
        <w:t xml:space="preserve">Gibt es keine harmonisierte technische Norm, wird vom Amt nach Beratung mit dem jeweiligen Ministerium oder anderem zentralen Organ der staatlichen Verwaltung eine für die Konformitätsbewertung geeignete slowakische technische Norm bestimmt. Die Bestimmung einer für die Konformitätsbewertung geeigneten slowakischen technischen Norm wird vom Amt im Anzeiger veröffentlicht. In der </w:t>
      </w:r>
      <w:proofErr w:type="spellStart"/>
      <w:r>
        <w:rPr>
          <w:color w:val="000000"/>
        </w:rPr>
        <w:t>Notifizierung</w:t>
      </w:r>
      <w:proofErr w:type="spellEnd"/>
      <w:r>
        <w:rPr>
          <w:color w:val="000000"/>
        </w:rPr>
        <w:t xml:space="preserve"> wird vom Amt die Bezeichnung der technischen Vorschrift, auf die sich die für die </w:t>
      </w:r>
      <w:proofErr w:type="spellStart"/>
      <w:r>
        <w:rPr>
          <w:color w:val="000000"/>
        </w:rPr>
        <w:t>Notifizierung</w:t>
      </w:r>
      <w:proofErr w:type="spellEnd"/>
      <w:r>
        <w:rPr>
          <w:color w:val="000000"/>
        </w:rPr>
        <w:t xml:space="preserve"> geeignete technische Norm bezieht, angegeben.</w:t>
      </w:r>
    </w:p>
    <w:p w:rsidR="00E16F77" w:rsidRPr="00D06F2A" w:rsidRDefault="00E16F77" w:rsidP="003E6A72">
      <w:pPr>
        <w:pStyle w:val="Listenabsatz"/>
        <w:widowControl/>
        <w:numPr>
          <w:ilvl w:val="0"/>
          <w:numId w:val="26"/>
        </w:numPr>
        <w:shd w:val="clear" w:color="auto" w:fill="FFFFFF"/>
        <w:spacing w:before="120"/>
        <w:ind w:left="284" w:hanging="284"/>
        <w:contextualSpacing w:val="0"/>
        <w:jc w:val="both"/>
        <w:rPr>
          <w:color w:val="000000"/>
        </w:rPr>
      </w:pPr>
      <w:r>
        <w:rPr>
          <w:color w:val="000000"/>
        </w:rPr>
        <w:t>Einwände gegen harmonisierte technische Normen nach der einschlägigen Vorschrift</w:t>
      </w:r>
      <w:r>
        <w:rPr>
          <w:color w:val="000000"/>
          <w:vertAlign w:val="superscript"/>
        </w:rPr>
        <w:t>18)</w:t>
      </w:r>
      <w:r>
        <w:rPr>
          <w:color w:val="000000"/>
        </w:rPr>
        <w:t xml:space="preserve"> werden vom Amt auf Veranlassung des jeweiligen Ministeriums, sonstigen Organs der staatlichen Verwaltung oder Aufsichtsorgans geltend gemacht.</w:t>
      </w:r>
    </w:p>
    <w:p w:rsidR="00E16F77" w:rsidRPr="00D06F2A" w:rsidRDefault="00E16F77" w:rsidP="003E6A72">
      <w:pPr>
        <w:pStyle w:val="Listenabsatz"/>
        <w:widowControl/>
        <w:numPr>
          <w:ilvl w:val="0"/>
          <w:numId w:val="26"/>
        </w:numPr>
        <w:shd w:val="clear" w:color="auto" w:fill="FFFFFF"/>
        <w:spacing w:before="120"/>
        <w:ind w:left="284" w:hanging="284"/>
        <w:contextualSpacing w:val="0"/>
        <w:jc w:val="both"/>
        <w:rPr>
          <w:color w:val="000000"/>
        </w:rPr>
      </w:pPr>
      <w:r>
        <w:rPr>
          <w:color w:val="000000"/>
        </w:rPr>
        <w:t xml:space="preserve">Ein Antrag auf Aufhebung der Bestimmung einer für die Konformitätsbewertung geeigneten slowakischen technischen Norm wird vom jeweiligen Ministerium oder anderen zentralen Organ der staatlichen Verwaltung an das Amt gestellt, durch welches die Aufhebung der Bestimmung der für die Konformitätsbewertung geeigneten slowakischen technischen Norm im Anzeiger </w:t>
      </w:r>
      <w:proofErr w:type="spellStart"/>
      <w:r>
        <w:rPr>
          <w:color w:val="000000"/>
        </w:rPr>
        <w:t>notifiziert</w:t>
      </w:r>
      <w:proofErr w:type="spellEnd"/>
      <w:r>
        <w:rPr>
          <w:color w:val="000000"/>
        </w:rPr>
        <w:t xml:space="preserve"> wurde.</w:t>
      </w:r>
    </w:p>
    <w:p w:rsidR="00B3535A" w:rsidRPr="00D06F2A" w:rsidRDefault="00E16F77" w:rsidP="00BB519B">
      <w:pPr>
        <w:keepNext/>
        <w:keepLines/>
        <w:widowControl/>
        <w:shd w:val="clear" w:color="auto" w:fill="FFFFFF"/>
        <w:spacing w:before="360"/>
        <w:jc w:val="center"/>
        <w:rPr>
          <w:b/>
          <w:bCs/>
          <w:color w:val="000000"/>
        </w:rPr>
      </w:pPr>
      <w:r>
        <w:rPr>
          <w:b/>
          <w:bCs/>
          <w:color w:val="000000"/>
        </w:rPr>
        <w:t>§ 14</w:t>
      </w:r>
    </w:p>
    <w:p w:rsidR="00E16F77" w:rsidRPr="008015BE" w:rsidRDefault="00E16F77" w:rsidP="00BB519B">
      <w:pPr>
        <w:keepNext/>
        <w:keepLines/>
        <w:widowControl/>
        <w:shd w:val="clear" w:color="auto" w:fill="FFFFFF"/>
        <w:jc w:val="center"/>
        <w:rPr>
          <w:b/>
          <w:bCs/>
          <w:color w:val="000000"/>
        </w:rPr>
      </w:pPr>
      <w:r>
        <w:rPr>
          <w:b/>
          <w:bCs/>
          <w:color w:val="000000"/>
        </w:rPr>
        <w:t>Verfahren des Schutzes der slowakischen technischen Normen und technischen Normungsinformationen</w:t>
      </w:r>
    </w:p>
    <w:p w:rsidR="00E16F77" w:rsidRPr="00D06F2A" w:rsidRDefault="00E16F77" w:rsidP="003E6A72">
      <w:pPr>
        <w:pStyle w:val="Listenabsatz"/>
        <w:widowControl/>
        <w:numPr>
          <w:ilvl w:val="0"/>
          <w:numId w:val="25"/>
        </w:numPr>
        <w:shd w:val="clear" w:color="auto" w:fill="FFFFFF"/>
        <w:spacing w:before="120"/>
        <w:ind w:left="284" w:hanging="284"/>
        <w:contextualSpacing w:val="0"/>
        <w:jc w:val="both"/>
        <w:rPr>
          <w:color w:val="000000"/>
        </w:rPr>
      </w:pPr>
      <w:r>
        <w:rPr>
          <w:color w:val="000000"/>
        </w:rPr>
        <w:t>Die Bezeichnung „Slowakische technische Norm“ und das Zeichen „STN“, die Bezeichnung „Vorläufige slowakische technische Norm“ und das Zeichen „STN P“ und die Bezeichnung „Technische Normungsinformation“ und das Zeichen „TNI“ dürfen nicht zur Kennzeichnung anderer Dokumente verwendet werden.</w:t>
      </w:r>
    </w:p>
    <w:p w:rsidR="00E16F77" w:rsidRPr="00D06F2A" w:rsidRDefault="00E16F77" w:rsidP="003E6A72">
      <w:pPr>
        <w:pStyle w:val="Listenabsatz"/>
        <w:widowControl/>
        <w:numPr>
          <w:ilvl w:val="0"/>
          <w:numId w:val="25"/>
        </w:numPr>
        <w:shd w:val="clear" w:color="auto" w:fill="FFFFFF"/>
        <w:spacing w:before="120"/>
        <w:ind w:left="284" w:hanging="284"/>
        <w:contextualSpacing w:val="0"/>
        <w:jc w:val="both"/>
        <w:rPr>
          <w:color w:val="000000"/>
        </w:rPr>
      </w:pPr>
      <w:r>
        <w:rPr>
          <w:color w:val="000000"/>
        </w:rPr>
        <w:t>Das Amt als slowakisches nationales Normungsorgan hat Anspruch auf Ersatz der Kosten für die Zurverfügungstellung von slowakischen technischen Normen, vorläufigen slowakischen technischen Normen und technischen Normungsinformationen für jede Vervielfältigung einer slowakischen technischen Norm, einer vorläufigen slowakischen technischen Norm oder einer technischen Normungsinformation von der Person, die ohne Zustimmung des Amtes als dem slowakischen nationalen Normungsorgan eine slowakische technische Norm, eine vorläufige slowakische technische oder eine technische Normungsinformation vervielfältigt hat.</w:t>
      </w:r>
    </w:p>
    <w:p w:rsidR="00E16F77" w:rsidRPr="00D06F2A" w:rsidRDefault="00E16F77" w:rsidP="003E6A72">
      <w:pPr>
        <w:pStyle w:val="Listenabsatz"/>
        <w:widowControl/>
        <w:numPr>
          <w:ilvl w:val="0"/>
          <w:numId w:val="25"/>
        </w:numPr>
        <w:shd w:val="clear" w:color="auto" w:fill="FFFFFF"/>
        <w:spacing w:before="120"/>
        <w:ind w:left="284" w:hanging="284"/>
        <w:contextualSpacing w:val="0"/>
        <w:jc w:val="both"/>
        <w:rPr>
          <w:color w:val="000000"/>
        </w:rPr>
      </w:pPr>
      <w:r>
        <w:rPr>
          <w:color w:val="000000"/>
        </w:rPr>
        <w:t>Eine unbefugte Verbreitung einer slowakischen technischen Norm oder technischen Normungsinformation ist die Zurverfügungstellung einer slowakischen technischen Norm oder technischen Normungsinformation oder eines ihrer Teile einschließlich eines Angebots ihrer Zurverfügungstellung auf beliebige Weise und in einer beliebigen Form ohne Zustimmung des Amtes als slowakischem nationalem Normungsorgan.</w:t>
      </w:r>
    </w:p>
    <w:p w:rsidR="00E16F77" w:rsidRPr="00D06F2A" w:rsidRDefault="00E16F77" w:rsidP="003E6A72">
      <w:pPr>
        <w:pStyle w:val="Listenabsatz"/>
        <w:keepNext/>
        <w:keepLines/>
        <w:widowControl/>
        <w:numPr>
          <w:ilvl w:val="0"/>
          <w:numId w:val="25"/>
        </w:numPr>
        <w:shd w:val="clear" w:color="auto" w:fill="FFFFFF"/>
        <w:spacing w:before="120"/>
        <w:ind w:left="284" w:hanging="284"/>
        <w:contextualSpacing w:val="0"/>
        <w:jc w:val="both"/>
        <w:rPr>
          <w:color w:val="000000"/>
        </w:rPr>
      </w:pPr>
      <w:r>
        <w:rPr>
          <w:color w:val="000000"/>
        </w:rPr>
        <w:t>Folgendes wird nicht als unbefugte Vervielfältigung oder unbefugte Verbreitung einer slowakischen technischen Norm oder technischen Normungsinformation betrachtet:</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das Zitieren eines Teils einer slowakischen technischen Norm oder eines Teils einer technischen Normungsinformation, wenn das Amt auf Grundlage eines Antrags eine Zustimmung zum Zitieren des Teils der slowakischen technischen Norm oder der technischen Normungsinformation erteilt,</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die Information über eine slowakische technische Norm oder technische Normungsinformation, die gemäß § 10 Absatz 2 im Anzeiger oder auf der Internetseite des Amtes veröffentlicht wurde.</w:t>
      </w:r>
    </w:p>
    <w:p w:rsidR="00E16F77" w:rsidRPr="00D06F2A" w:rsidRDefault="00E16F77" w:rsidP="003E6A72">
      <w:pPr>
        <w:pStyle w:val="Listenabsatz"/>
        <w:widowControl/>
        <w:numPr>
          <w:ilvl w:val="0"/>
          <w:numId w:val="25"/>
        </w:numPr>
        <w:shd w:val="clear" w:color="auto" w:fill="FFFFFF"/>
        <w:spacing w:before="120"/>
        <w:ind w:left="284" w:hanging="284"/>
        <w:contextualSpacing w:val="0"/>
        <w:jc w:val="both"/>
        <w:rPr>
          <w:color w:val="000000"/>
        </w:rPr>
      </w:pPr>
      <w:r>
        <w:rPr>
          <w:color w:val="000000"/>
        </w:rPr>
        <w:t xml:space="preserve">Vom Amt als slowakischem nationalem Normungsorgan wird eine Zustimmung zum kostenpflichtigen Zitieren eines Teils einer slowakischen technischen Norm oder eines Teils einer technischen Normungsinformation unverzüglich, spätestens innerhalb von 30 Tagen nach dem Tag der Zustellung des Antrags auf Erteilung einer Zustimmung, erteilt. Ein Antrag beinhaltet insbesondere die Identifikation des Antragstellers, den Zweck und Umfang des Zitierens eines Teils der slowakischen technischen Norm oder eines Teils der technischen Normungsinformation </w:t>
      </w:r>
      <w:r>
        <w:rPr>
          <w:color w:val="000000"/>
        </w:rPr>
        <w:lastRenderedPageBreak/>
        <w:t>sowie die Bezeichnung der slowakischen technischen Norm oder die Bezeichnung der technischen Normungsinformation, deren Zitierung beantragt wird.</w:t>
      </w:r>
    </w:p>
    <w:p w:rsidR="00E16F77" w:rsidRPr="00D06F2A" w:rsidRDefault="00E16F77" w:rsidP="003E6A72">
      <w:pPr>
        <w:pStyle w:val="Listenabsatz"/>
        <w:widowControl/>
        <w:numPr>
          <w:ilvl w:val="0"/>
          <w:numId w:val="25"/>
        </w:numPr>
        <w:shd w:val="clear" w:color="auto" w:fill="FFFFFF"/>
        <w:spacing w:before="120"/>
        <w:ind w:left="284" w:hanging="284"/>
        <w:contextualSpacing w:val="0"/>
        <w:jc w:val="both"/>
        <w:rPr>
          <w:color w:val="000000"/>
        </w:rPr>
      </w:pPr>
      <w:r>
        <w:rPr>
          <w:color w:val="000000"/>
        </w:rPr>
        <w:t>Vom Amt als slowakischem nationalem Normungsorgan wird eine Zustimmung zum kostenfreien Zitieren eines Teils einer slowakischen technischen Norm oder einer technischen Normungsinformation unverzüglich, spätestens innerhalb von zehn Arbeitstagen nach dem Tag der Zustellung des Antrags auf Erteilung einer Zustimmung, für</w:t>
      </w:r>
    </w:p>
    <w:p w:rsidR="00E16F77" w:rsidRPr="00D06F2A" w:rsidRDefault="00E16F77" w:rsidP="003E6A72">
      <w:pPr>
        <w:pStyle w:val="Listenabsatz"/>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die Leistung von</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Erziehung und Ausbildung nach der einschlägigen Vorschrift</w:t>
      </w:r>
      <w:r>
        <w:rPr>
          <w:color w:val="000000"/>
          <w:vertAlign w:val="superscript"/>
        </w:rPr>
        <w:t>19)</w:t>
      </w:r>
      <w:r>
        <w:rPr>
          <w:color w:val="000000"/>
        </w:rPr>
        <w:t>,</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Ausbildung im Rahmen eines zugelassenen Studienfachs an einer Hochschule oder</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der kontinuierlichen Weiterbildung und Attestierung pädagogischer Mitarbeiter und Fachmitarbeiter</w:t>
      </w:r>
      <w:r>
        <w:rPr>
          <w:color w:val="000000"/>
          <w:vertAlign w:val="superscript"/>
        </w:rPr>
        <w:t>20)</w:t>
      </w:r>
      <w:r>
        <w:rPr>
          <w:color w:val="000000"/>
        </w:rPr>
        <w:t xml:space="preserve"> nicht kommerzieller Art,</w:t>
      </w:r>
    </w:p>
    <w:p w:rsidR="00E16F77" w:rsidRPr="00D06F2A" w:rsidRDefault="00E16F77" w:rsidP="003E6A72">
      <w:pPr>
        <w:pStyle w:val="Listenabsatz"/>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die Ausarbeitung und Verteidigung</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komplexer Facharbeiten, Projekte oder Wettbewerbsarbeiten, schriftlicher Absolventenarbeiten, schriftlicher Absolventenarbeiten im Rahmen der Erziehung und Ausbildung</w:t>
      </w:r>
      <w:r>
        <w:rPr>
          <w:color w:val="000000"/>
          <w:vertAlign w:val="superscript"/>
        </w:rPr>
        <w:t>21)</w:t>
      </w:r>
      <w:r>
        <w:rPr>
          <w:color w:val="000000"/>
        </w:rPr>
        <w:t>,</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Abschlussarbeiten im Rahmen eines Hochschulstudiums</w:t>
      </w:r>
      <w:r>
        <w:rPr>
          <w:color w:val="000000"/>
          <w:vertAlign w:val="superscript"/>
        </w:rPr>
        <w:t>22)</w:t>
      </w:r>
      <w:r>
        <w:rPr>
          <w:color w:val="000000"/>
        </w:rPr>
        <w:t xml:space="preserve"> oder</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 xml:space="preserve">Abschlussarbeiten im Rahmen einer kontinuierlichen Weiterbildung pädagogischer Mitarbeiter und Fachmitarbeiter nicht kommerziellen Charakters und </w:t>
      </w:r>
      <w:proofErr w:type="spellStart"/>
      <w:r>
        <w:rPr>
          <w:color w:val="000000"/>
        </w:rPr>
        <w:t>Attestarbeiten</w:t>
      </w:r>
      <w:proofErr w:type="spellEnd"/>
      <w:r>
        <w:rPr>
          <w:color w:val="000000"/>
        </w:rPr>
        <w:t xml:space="preserve"> von pädagogischen Mitarbeitern und Fachmitarbeitern</w:t>
      </w:r>
      <w:r>
        <w:rPr>
          <w:color w:val="000000"/>
          <w:vertAlign w:val="superscript"/>
        </w:rPr>
        <w:t>23)</w:t>
      </w:r>
      <w:r>
        <w:rPr>
          <w:color w:val="000000"/>
        </w:rPr>
        <w:t xml:space="preserve"> erteilt.</w:t>
      </w:r>
    </w:p>
    <w:p w:rsidR="00B3535A" w:rsidRPr="00D06F2A" w:rsidRDefault="00E16F77" w:rsidP="00BB519B">
      <w:pPr>
        <w:keepNext/>
        <w:keepLines/>
        <w:widowControl/>
        <w:shd w:val="clear" w:color="auto" w:fill="FFFFFF"/>
        <w:spacing w:before="360"/>
        <w:jc w:val="center"/>
        <w:rPr>
          <w:b/>
          <w:bCs/>
          <w:color w:val="000000"/>
        </w:rPr>
      </w:pPr>
      <w:r>
        <w:rPr>
          <w:b/>
          <w:bCs/>
          <w:color w:val="000000"/>
        </w:rPr>
        <w:t>§ 15</w:t>
      </w:r>
    </w:p>
    <w:p w:rsidR="00E16F77" w:rsidRPr="008015BE" w:rsidRDefault="00E16F77" w:rsidP="00BB519B">
      <w:pPr>
        <w:keepNext/>
        <w:keepLines/>
        <w:widowControl/>
        <w:shd w:val="clear" w:color="auto" w:fill="FFFFFF"/>
        <w:jc w:val="center"/>
        <w:rPr>
          <w:b/>
          <w:bCs/>
          <w:color w:val="000000"/>
        </w:rPr>
      </w:pPr>
      <w:r>
        <w:rPr>
          <w:b/>
          <w:bCs/>
          <w:color w:val="000000"/>
        </w:rPr>
        <w:t>Zurverfügungstellung slowakischer technischer Normen, technischer Normungsinformationen, anderer technischer Normen und des Anzeigers</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r>
        <w:rPr>
          <w:color w:val="000000"/>
        </w:rPr>
        <w:t>Slowakische technische Normen, technische Normungsinformationen, andere technische Normen und deren Änderungen sowie der Anzeiger werden gegen Entgelt zur Verfügung gestellt, sofern in Absatz 4 nicht anders festgelegt.</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r>
        <w:rPr>
          <w:color w:val="000000"/>
        </w:rPr>
        <w:t>Slowakische technische Normen und technische Normungsinformationen und deren Korrekturen werden in Papierform, in elektronischer Form oder mittels Portal zur Verfügung gestellt. Andere technische Normen und deren Änderungen und Korrekturen und andere technische Normungsinformationen und deren Korrekturen werden in Papierform zur Verfügung gestellt. Einzelheiten über das Portal werden vom Amt als slowakischem nationalem Normungsorgan auf seiner Internetseite veröffentlicht.</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r>
        <w:rPr>
          <w:color w:val="000000"/>
        </w:rPr>
        <w:t>Das Amt als slowakisches nationales Normungsorgan stellt slowakische technische Normen gemäß § 12 Absatz 2 über das Portal jedem kostenlos zur Verfügung, der dies beantragt, die Pflicht des Organs der staatlichen Verwaltung gemäß § 12 Absatz 2 ist davon nicht betroffen.</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proofErr w:type="spellStart"/>
      <w:r>
        <w:rPr>
          <w:color w:val="000000"/>
        </w:rPr>
        <w:t>Erarbeiter</w:t>
      </w:r>
      <w:proofErr w:type="spellEnd"/>
      <w:r>
        <w:rPr>
          <w:color w:val="000000"/>
        </w:rPr>
        <w:t xml:space="preserve"> von ursprünglichen slowakischen technischen Normen oder ursprünglichen technischen Normungsinformationen haben Anspruch auf eine kostenfreie Zurverfügungstellung eines Ausdrucks der ursprünglichen slowakischen technischen Norm oder der ursprünglichen technischen Normungsinformation in Papierform, an deren Erarbeitung sie sich beteiligt haben.</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r>
        <w:rPr>
          <w:color w:val="000000"/>
        </w:rPr>
        <w:t>Korrekturen slowakischer technischer Normen, technischer Normungsinformationen, anderer technischer Normen und anderer technischer Normungsinformationen werden vom Amt als slowakischem nationalem Normungsorgan kostenfrei zur Verfügung gestellt.</w:t>
      </w:r>
    </w:p>
    <w:p w:rsidR="00E16F77" w:rsidRPr="00D06F2A" w:rsidRDefault="00E16F77" w:rsidP="003E6A72">
      <w:pPr>
        <w:pStyle w:val="Listenabsatz"/>
        <w:keepNext/>
        <w:keepLines/>
        <w:widowControl/>
        <w:numPr>
          <w:ilvl w:val="0"/>
          <w:numId w:val="27"/>
        </w:numPr>
        <w:shd w:val="clear" w:color="auto" w:fill="FFFFFF"/>
        <w:spacing w:before="120"/>
        <w:ind w:left="284" w:hanging="284"/>
        <w:contextualSpacing w:val="0"/>
        <w:jc w:val="both"/>
        <w:rPr>
          <w:color w:val="000000"/>
        </w:rPr>
      </w:pPr>
      <w:r>
        <w:rPr>
          <w:color w:val="000000"/>
        </w:rPr>
        <w:t xml:space="preserve">Ein Anspruch auf Rückerstattung für die Zurverfügungstellung slowakischer technischer Normen, technischer Normungsinformationen oder anderer technischer Normen und ihrer Änderungen in Papierform entsteht, wenn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Text oder Seiten fehlen oder</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ihr Einband beschädigt ist. </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r>
        <w:rPr>
          <w:color w:val="000000"/>
        </w:rPr>
        <w:t>Ein Anspruch auf Rückerstattung der Zahlung für die Zurverfügungstellung einer slowakischen technischen Norm oder einer technischen Normungsinformation in elektronischer Form entsteht, wenn das Aufzeichnungsmedium, auf dem die slowakische technische Norm oder die technische Normungsinformation aufgezeichnet ist, beschädigt ist.</w:t>
      </w:r>
    </w:p>
    <w:p w:rsidR="00E16F77" w:rsidRPr="00D06F2A" w:rsidRDefault="00E16F77" w:rsidP="003E6A72">
      <w:pPr>
        <w:pStyle w:val="Listenabsatz"/>
        <w:widowControl/>
        <w:numPr>
          <w:ilvl w:val="0"/>
          <w:numId w:val="27"/>
        </w:numPr>
        <w:shd w:val="clear" w:color="auto" w:fill="FFFFFF"/>
        <w:spacing w:before="120"/>
        <w:ind w:left="284" w:hanging="284"/>
        <w:contextualSpacing w:val="0"/>
        <w:jc w:val="both"/>
        <w:rPr>
          <w:color w:val="000000"/>
        </w:rPr>
      </w:pPr>
      <w:r>
        <w:rPr>
          <w:color w:val="000000"/>
        </w:rPr>
        <w:lastRenderedPageBreak/>
        <w:t>Ein Anspruch auf Rückerstattung der Zahlung gemäß den Absätzen 6 oder 7 kann bei Annahme einer slowakischen technischen Norm, technischen Normungsinformation oder einer anderen technischen Norm und deren Änderungen geltend gemacht werden; das Amt als slowakisches nationales Normungsorgan kann anstelle der Rückerstattung der Zahlung für die Zurverfügungstellung einer slowakischen technischen Norm, technischen Normungsinformation oder anderen technischen Norm und deren Änderungen einen Austausch gegen eine vollständige oder unbeschädigte slowakische technische Norm, technische Normungsinformation oder andere technische Norm und deren Änderungen in Papierform oder gegen eine unbeschädigte Aufzeichnungsvorrichtung, auf der die slowakische technische Norm oder technische Normungsinformation in elektronischer Form aufgezeichnet ist, durchführen.</w:t>
      </w:r>
    </w:p>
    <w:p w:rsidR="00E16F77" w:rsidRPr="008015BE" w:rsidRDefault="00E16F77" w:rsidP="00BB519B">
      <w:pPr>
        <w:keepNext/>
        <w:keepLines/>
        <w:widowControl/>
        <w:shd w:val="clear" w:color="auto" w:fill="FFFFFF"/>
        <w:spacing w:before="360"/>
        <w:jc w:val="center"/>
        <w:rPr>
          <w:b/>
          <w:bCs/>
          <w:color w:val="000000"/>
        </w:rPr>
      </w:pPr>
      <w:r>
        <w:rPr>
          <w:b/>
          <w:bCs/>
          <w:color w:val="000000"/>
        </w:rPr>
        <w:t>Ordnungswidrigkeiten und andere Verwaltungsdelikte</w:t>
      </w:r>
    </w:p>
    <w:p w:rsidR="00E16F77" w:rsidRPr="008015BE" w:rsidRDefault="00E16F77" w:rsidP="00BB519B">
      <w:pPr>
        <w:keepNext/>
        <w:keepLines/>
        <w:widowControl/>
        <w:shd w:val="clear" w:color="auto" w:fill="FFFFFF"/>
        <w:jc w:val="center"/>
        <w:rPr>
          <w:b/>
          <w:bCs/>
          <w:color w:val="000000"/>
        </w:rPr>
      </w:pPr>
      <w:r>
        <w:rPr>
          <w:b/>
          <w:bCs/>
          <w:color w:val="000000"/>
        </w:rPr>
        <w:t>§ 16</w:t>
      </w:r>
    </w:p>
    <w:p w:rsidR="00E16F77" w:rsidRPr="00D06F2A" w:rsidRDefault="00E16F77" w:rsidP="003E6A72">
      <w:pPr>
        <w:pStyle w:val="Listenabsatz"/>
        <w:keepNext/>
        <w:keepLines/>
        <w:widowControl/>
        <w:numPr>
          <w:ilvl w:val="0"/>
          <w:numId w:val="30"/>
        </w:numPr>
        <w:shd w:val="clear" w:color="auto" w:fill="FFFFFF"/>
        <w:spacing w:before="120"/>
        <w:ind w:left="284" w:hanging="284"/>
        <w:contextualSpacing w:val="0"/>
        <w:jc w:val="both"/>
        <w:rPr>
          <w:color w:val="000000"/>
        </w:rPr>
      </w:pPr>
      <w:r>
        <w:rPr>
          <w:color w:val="000000"/>
        </w:rPr>
        <w:t>Eine Ordnungswidrigkeit begeht, wer</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eine vorläufige slowakische technische Norm oder technische Normungsinformation oder deren Teil unbefugt verbreitet,</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ein Dokument unbefugt mit dem Zeichen „STN P“ kennzeichnet,</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eine slowakische technische Norm oder einen Teil davon unbefugt kostenlos verbreitet,</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ein Dokument unbefugt mit dem Zeichen „STN“ kennzeichnet,</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eine slowakische technische Norm oder einen Teil davon unbefugt gegen Entgelt verbreitet.</w:t>
      </w:r>
    </w:p>
    <w:p w:rsidR="00E16F77" w:rsidRPr="00D06F2A" w:rsidRDefault="00E16F77" w:rsidP="003E6A72">
      <w:pPr>
        <w:pStyle w:val="Listenabsatz"/>
        <w:widowControl/>
        <w:numPr>
          <w:ilvl w:val="0"/>
          <w:numId w:val="30"/>
        </w:numPr>
        <w:shd w:val="clear" w:color="auto" w:fill="FFFFFF"/>
        <w:spacing w:before="120"/>
        <w:ind w:left="284" w:hanging="284"/>
        <w:contextualSpacing w:val="0"/>
        <w:jc w:val="both"/>
        <w:rPr>
          <w:color w:val="000000"/>
        </w:rPr>
      </w:pPr>
      <w:r>
        <w:rPr>
          <w:color w:val="000000"/>
        </w:rPr>
        <w:t>Vom Amt wird für eine Ordnungswidrigkeit gemäß Absatz 1 Buchstaben a oder b eine Strafe von 30 Euro bis 1500 Euro, für eine Ordnungswidrigkeit gemäß Absatz 1 Buchstabe c eine Strafe von 45 Euro bis 3000 Euro und für eine Ordnungswidrigkeit gemäß Absatz 1 Buchstaben d oder e eine Strafe von 175 Euro bis 10 000 Euro verhängt.</w:t>
      </w:r>
    </w:p>
    <w:p w:rsidR="00E16F77" w:rsidRPr="00D06F2A" w:rsidRDefault="00E16F77" w:rsidP="003E6A72">
      <w:pPr>
        <w:pStyle w:val="Listenabsatz"/>
        <w:widowControl/>
        <w:numPr>
          <w:ilvl w:val="0"/>
          <w:numId w:val="30"/>
        </w:numPr>
        <w:shd w:val="clear" w:color="auto" w:fill="FFFFFF"/>
        <w:spacing w:before="120"/>
        <w:ind w:left="284" w:hanging="284"/>
        <w:contextualSpacing w:val="0"/>
        <w:jc w:val="both"/>
        <w:rPr>
          <w:color w:val="000000"/>
        </w:rPr>
      </w:pPr>
      <w:r>
        <w:rPr>
          <w:color w:val="000000"/>
        </w:rPr>
        <w:t>Für Ordnungswidrigkeiten und ihre Verhandlung gilt die allgemein verbindliche Rechtsvorschrift über Ordnungswidrigkeiten</w:t>
      </w:r>
      <w:r>
        <w:rPr>
          <w:color w:val="000000"/>
          <w:vertAlign w:val="superscript"/>
        </w:rPr>
        <w:t>24)</w:t>
      </w:r>
      <w:r>
        <w:rPr>
          <w:color w:val="000000"/>
        </w:rPr>
        <w:t>.</w:t>
      </w:r>
    </w:p>
    <w:p w:rsidR="00E16F77" w:rsidRPr="00E35FA4" w:rsidRDefault="00E16F77" w:rsidP="00BB519B">
      <w:pPr>
        <w:keepNext/>
        <w:keepLines/>
        <w:widowControl/>
        <w:shd w:val="clear" w:color="auto" w:fill="FFFFFF"/>
        <w:spacing w:before="360"/>
        <w:jc w:val="center"/>
        <w:rPr>
          <w:b/>
          <w:bCs/>
          <w:color w:val="000000"/>
        </w:rPr>
      </w:pPr>
      <w:r>
        <w:rPr>
          <w:b/>
          <w:bCs/>
          <w:color w:val="000000"/>
        </w:rPr>
        <w:t>§ 17</w:t>
      </w:r>
    </w:p>
    <w:p w:rsidR="00E16F77" w:rsidRPr="00D06F2A" w:rsidRDefault="00E16F77" w:rsidP="003E6A72">
      <w:pPr>
        <w:pStyle w:val="Listenabsatz"/>
        <w:widowControl/>
        <w:numPr>
          <w:ilvl w:val="0"/>
          <w:numId w:val="29"/>
        </w:numPr>
        <w:shd w:val="clear" w:color="auto" w:fill="FFFFFF"/>
        <w:spacing w:before="120"/>
        <w:ind w:left="284" w:hanging="284"/>
        <w:contextualSpacing w:val="0"/>
        <w:jc w:val="both"/>
        <w:rPr>
          <w:color w:val="000000"/>
        </w:rPr>
      </w:pPr>
      <w:r>
        <w:rPr>
          <w:color w:val="000000"/>
        </w:rPr>
        <w:t>Vom Amt wird eine Strafe von 30 Euro bis 500 Euro gegen eine natürliche Person mit Unternehmereigenschaft oder gegen eine juristische Person verhängt, welche eine vorläufige technische Norm oder eine vorläufige technische Normungsinformation oder einen Teil davon unbefugt verbreitet oder die ein Dokument unbefugt mit dem Zeichen „STN P“ kennzeichnet.</w:t>
      </w:r>
    </w:p>
    <w:p w:rsidR="00E16F77" w:rsidRPr="00D06F2A" w:rsidRDefault="00E16F77" w:rsidP="003E6A72">
      <w:pPr>
        <w:pStyle w:val="Listenabsatz"/>
        <w:widowControl/>
        <w:numPr>
          <w:ilvl w:val="0"/>
          <w:numId w:val="29"/>
        </w:numPr>
        <w:shd w:val="clear" w:color="auto" w:fill="FFFFFF"/>
        <w:spacing w:before="120"/>
        <w:ind w:left="284" w:hanging="284"/>
        <w:contextualSpacing w:val="0"/>
        <w:jc w:val="both"/>
        <w:rPr>
          <w:color w:val="000000"/>
        </w:rPr>
      </w:pPr>
      <w:r>
        <w:rPr>
          <w:color w:val="000000"/>
        </w:rPr>
        <w:t>Vom Amt wird eine Strafe von 50 Euro bis 5000 Euro gegen eine natürliche Person mit Unternehmereigenschaft oder gegen eine juristische Person verhängt, welche eine slowakische technische Norm oder einen Teil davon unbefugt kostenfrei verbreitet.</w:t>
      </w:r>
    </w:p>
    <w:p w:rsidR="00E16F77" w:rsidRPr="00D06F2A" w:rsidRDefault="00E16F77" w:rsidP="003E6A72">
      <w:pPr>
        <w:pStyle w:val="Listenabsatz"/>
        <w:keepNext/>
        <w:keepLines/>
        <w:widowControl/>
        <w:numPr>
          <w:ilvl w:val="0"/>
          <w:numId w:val="29"/>
        </w:numPr>
        <w:shd w:val="clear" w:color="auto" w:fill="FFFFFF"/>
        <w:spacing w:before="120"/>
        <w:ind w:left="284" w:hanging="284"/>
        <w:contextualSpacing w:val="0"/>
        <w:jc w:val="both"/>
        <w:rPr>
          <w:color w:val="000000"/>
        </w:rPr>
      </w:pPr>
      <w:r>
        <w:rPr>
          <w:color w:val="000000"/>
        </w:rPr>
        <w:t>Vom Amt wird eine Strafe von 350 Euro bis 35 000 Euro gegen eine natürliche Person mit Unternehmereigenschaft oder gegen eine juristische Person verhängt, welche unbefugt</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ein Dokument mit dem Zeichen „STN“ kennzeichnet oder</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eine slowakische technische Norm oder einen Teil davon unbefugt gegen Entgelt verbreitet.</w:t>
      </w:r>
    </w:p>
    <w:p w:rsidR="00E16F77" w:rsidRPr="00E35FA4" w:rsidRDefault="00E16F77" w:rsidP="00BB519B">
      <w:pPr>
        <w:keepNext/>
        <w:keepLines/>
        <w:widowControl/>
        <w:shd w:val="clear" w:color="auto" w:fill="FFFFFF"/>
        <w:spacing w:before="360"/>
        <w:jc w:val="center"/>
        <w:rPr>
          <w:b/>
          <w:bCs/>
          <w:color w:val="000000"/>
        </w:rPr>
      </w:pPr>
      <w:r>
        <w:rPr>
          <w:b/>
          <w:bCs/>
          <w:color w:val="000000"/>
        </w:rPr>
        <w:t>§ 18</w:t>
      </w:r>
    </w:p>
    <w:p w:rsidR="000D1A6C" w:rsidRPr="00D06F2A" w:rsidRDefault="00E16F77" w:rsidP="003E6A72">
      <w:pPr>
        <w:pStyle w:val="Listenabsatz"/>
        <w:widowControl/>
        <w:numPr>
          <w:ilvl w:val="0"/>
          <w:numId w:val="28"/>
        </w:numPr>
        <w:shd w:val="clear" w:color="auto" w:fill="FFFFFF"/>
        <w:spacing w:before="120"/>
        <w:ind w:left="284" w:hanging="284"/>
        <w:contextualSpacing w:val="0"/>
        <w:jc w:val="both"/>
        <w:rPr>
          <w:color w:val="000000"/>
        </w:rPr>
      </w:pPr>
      <w:r>
        <w:rPr>
          <w:color w:val="000000"/>
        </w:rPr>
        <w:t>Ein Verfahren über die Verhängung einer Strafe kann innerhalb von drei Jahren ab dem Tag, an dem eine rechtswidrige Handlung stattgefunden hat, eingeleitet werden.</w:t>
      </w:r>
    </w:p>
    <w:p w:rsidR="00E16F77" w:rsidRPr="00D06F2A" w:rsidRDefault="00E16F77" w:rsidP="003E6A72">
      <w:pPr>
        <w:pStyle w:val="Listenabsatz"/>
        <w:widowControl/>
        <w:numPr>
          <w:ilvl w:val="0"/>
          <w:numId w:val="28"/>
        </w:numPr>
        <w:shd w:val="clear" w:color="auto" w:fill="FFFFFF"/>
        <w:spacing w:before="120"/>
        <w:ind w:left="284" w:hanging="284"/>
        <w:contextualSpacing w:val="0"/>
        <w:jc w:val="both"/>
        <w:rPr>
          <w:color w:val="000000"/>
        </w:rPr>
      </w:pPr>
      <w:r>
        <w:rPr>
          <w:color w:val="000000"/>
        </w:rPr>
        <w:t>Bei der Verhängung der Strafe werden die Erheblichkeit, die Art und Weise, die Dauer und die Folgen des ungesetzlichen Handelns berücksichtigt.</w:t>
      </w:r>
    </w:p>
    <w:p w:rsidR="00E16F77" w:rsidRPr="00D06F2A" w:rsidRDefault="00E16F77" w:rsidP="003E6A72">
      <w:pPr>
        <w:pStyle w:val="Listenabsatz"/>
        <w:widowControl/>
        <w:numPr>
          <w:ilvl w:val="0"/>
          <w:numId w:val="28"/>
        </w:numPr>
        <w:shd w:val="clear" w:color="auto" w:fill="FFFFFF"/>
        <w:spacing w:before="120"/>
        <w:ind w:left="284" w:hanging="284"/>
        <w:contextualSpacing w:val="0"/>
        <w:jc w:val="both"/>
        <w:rPr>
          <w:color w:val="000000"/>
        </w:rPr>
      </w:pPr>
      <w:r>
        <w:rPr>
          <w:color w:val="000000"/>
        </w:rPr>
        <w:t>Strafen sind eine Einnahme des Staatshaushalts.</w:t>
      </w:r>
    </w:p>
    <w:p w:rsidR="00E16F77" w:rsidRPr="00D06F2A" w:rsidRDefault="00E16F77" w:rsidP="003E6A72">
      <w:pPr>
        <w:pStyle w:val="Listenabsatz"/>
        <w:widowControl/>
        <w:numPr>
          <w:ilvl w:val="0"/>
          <w:numId w:val="28"/>
        </w:numPr>
        <w:shd w:val="clear" w:color="auto" w:fill="FFFFFF"/>
        <w:spacing w:before="120"/>
        <w:ind w:left="284" w:hanging="284"/>
        <w:contextualSpacing w:val="0"/>
        <w:jc w:val="both"/>
        <w:rPr>
          <w:color w:val="000000"/>
        </w:rPr>
      </w:pPr>
      <w:r>
        <w:rPr>
          <w:color w:val="000000"/>
        </w:rPr>
        <w:t>Erfolgt innerhalb eines Jahres ab Rechtskraft des Bescheids über die Verhängung der Strafe ein erneutes rechtswidriges Handeln, wird vom Amt eine Strafe bis zur Höhe des Doppelten des Satzes der verhängten Strafe verhängt.</w:t>
      </w:r>
    </w:p>
    <w:p w:rsidR="00BB519B" w:rsidRPr="00D06F2A" w:rsidRDefault="00E16F77" w:rsidP="00BB519B">
      <w:pPr>
        <w:keepNext/>
        <w:keepLines/>
        <w:widowControl/>
        <w:shd w:val="clear" w:color="auto" w:fill="FFFFFF"/>
        <w:spacing w:before="360"/>
        <w:jc w:val="center"/>
        <w:rPr>
          <w:b/>
          <w:bCs/>
          <w:color w:val="000000"/>
        </w:rPr>
      </w:pPr>
      <w:r>
        <w:rPr>
          <w:b/>
          <w:bCs/>
          <w:color w:val="000000"/>
        </w:rPr>
        <w:lastRenderedPageBreak/>
        <w:t>§ 19</w:t>
      </w:r>
    </w:p>
    <w:p w:rsidR="00E16F77" w:rsidRPr="008015BE" w:rsidRDefault="00E16F77" w:rsidP="00BB519B">
      <w:pPr>
        <w:keepNext/>
        <w:keepLines/>
        <w:widowControl/>
        <w:shd w:val="clear" w:color="auto" w:fill="FFFFFF"/>
        <w:jc w:val="center"/>
        <w:rPr>
          <w:b/>
          <w:bCs/>
          <w:color w:val="000000"/>
        </w:rPr>
      </w:pPr>
      <w:r>
        <w:rPr>
          <w:b/>
          <w:bCs/>
          <w:color w:val="000000"/>
        </w:rPr>
        <w:t>Ermächtigungsbestimmung</w:t>
      </w:r>
    </w:p>
    <w:p w:rsidR="00E16F77" w:rsidRPr="00D06F2A" w:rsidRDefault="00E16F77" w:rsidP="00D65D8D">
      <w:pPr>
        <w:keepNext/>
        <w:keepLines/>
        <w:widowControl/>
        <w:shd w:val="clear" w:color="auto" w:fill="FFFFFF"/>
        <w:spacing w:before="120"/>
        <w:rPr>
          <w:color w:val="000000"/>
        </w:rPr>
      </w:pPr>
      <w:r>
        <w:rPr>
          <w:color w:val="000000"/>
        </w:rPr>
        <w:t>Vom Amt wird eine allgemein verbindliche Rechtsvorschrift erlassen, mit der es Folgendes festlegt:</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die Höhe der Zahlungen für Nutzer für die Zurverfügungstellung slowakischer technischer Normen, technischer Normungsinformationen, anderer technischer Normen und deren Änderungen und des Anzeigers, für die Erteilung von Zustimmungen zum Zitieren von Teilen slowakischer technischer Normen oder technischer Normungsinformationen,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die Höhe der Zahlungen für Nutzer für Tätigkeiten im Zusammenhang mit der Zurverfügungstellung slowakischer technischer Normen, technischer Normungsinformationen und anderer technischer Normen und deren Änderungen,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die Mindesthöhe der Zahlung für die Erbringung der Dienstleistung STN-online über das Portal und die Höhe der Zahlung für Nutzer für die Erbringung der Dienstleistung STN-online über das Portal,</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das Verfahren der Zurverfügungstellung slowakischer technischer Normen, technischer Normungsinformationen und anderer technischer Normen und ihrer Änderungen,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die Einzelheiten bezüglich der Erteilung einer Zustimmung zum Zitieren eines Teils einer slowakischen technischen Norm oder eines Teils einer technischen Normungsinformation, das Muster des Antrags auf Erteilung einer Zustimmung zum Zitieren eines Teils einer slowakischen technischen Norm oder eines Teils einer technischen Normungsinformation und das Muster der Zustimmung zum Zitieren eines Teils einer slowakischen technischen Norm oder eines Teils einer technischen Normungsinformation,</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einen Rabatt auf die Zahlung gemäß den Buchstaben a und b.</w:t>
      </w:r>
    </w:p>
    <w:p w:rsidR="00BB519B" w:rsidRPr="00D06F2A" w:rsidRDefault="00E16F77" w:rsidP="00BB519B">
      <w:pPr>
        <w:keepNext/>
        <w:keepLines/>
        <w:widowControl/>
        <w:shd w:val="clear" w:color="auto" w:fill="FFFFFF"/>
        <w:spacing w:before="360"/>
        <w:jc w:val="center"/>
        <w:rPr>
          <w:b/>
          <w:bCs/>
          <w:color w:val="000000"/>
        </w:rPr>
      </w:pPr>
      <w:r>
        <w:rPr>
          <w:b/>
          <w:bCs/>
          <w:color w:val="000000"/>
        </w:rPr>
        <w:t>§ 20</w:t>
      </w:r>
    </w:p>
    <w:p w:rsidR="00E16F77" w:rsidRPr="008015BE" w:rsidRDefault="00E16F77" w:rsidP="00BB519B">
      <w:pPr>
        <w:keepNext/>
        <w:keepLines/>
        <w:widowControl/>
        <w:shd w:val="clear" w:color="auto" w:fill="FFFFFF"/>
        <w:jc w:val="center"/>
        <w:rPr>
          <w:b/>
          <w:bCs/>
          <w:color w:val="000000"/>
        </w:rPr>
      </w:pPr>
      <w:r>
        <w:rPr>
          <w:b/>
          <w:bCs/>
          <w:color w:val="000000"/>
        </w:rPr>
        <w:t>Übergangsbestimmungen</w:t>
      </w:r>
    </w:p>
    <w:p w:rsidR="00E16F77" w:rsidRPr="00D06F2A" w:rsidRDefault="00E16F77" w:rsidP="003E6A72">
      <w:pPr>
        <w:pStyle w:val="Listenabsatz"/>
        <w:widowControl/>
        <w:numPr>
          <w:ilvl w:val="0"/>
          <w:numId w:val="31"/>
        </w:numPr>
        <w:shd w:val="clear" w:color="auto" w:fill="FFFFFF"/>
        <w:spacing w:before="120"/>
        <w:ind w:left="284" w:hanging="284"/>
        <w:contextualSpacing w:val="0"/>
        <w:jc w:val="both"/>
        <w:rPr>
          <w:color w:val="000000"/>
        </w:rPr>
      </w:pPr>
      <w:r>
        <w:rPr>
          <w:color w:val="000000"/>
        </w:rPr>
        <w:t>Vor dem 1. April 2018 eingeleitete Verfahren werden nach den bis zum 31. März 2018 in Kraft befindlichen Rechtsvorschriften abgeschlossen.</w:t>
      </w:r>
    </w:p>
    <w:p w:rsidR="00E16F77" w:rsidRPr="00D06F2A" w:rsidRDefault="00E16F77" w:rsidP="003E6A72">
      <w:pPr>
        <w:pStyle w:val="Listenabsatz"/>
        <w:widowControl/>
        <w:numPr>
          <w:ilvl w:val="0"/>
          <w:numId w:val="31"/>
        </w:numPr>
        <w:shd w:val="clear" w:color="auto" w:fill="FFFFFF"/>
        <w:spacing w:before="120"/>
        <w:ind w:left="284" w:hanging="284"/>
        <w:contextualSpacing w:val="0"/>
        <w:jc w:val="both"/>
        <w:rPr>
          <w:color w:val="000000"/>
        </w:rPr>
      </w:pPr>
      <w:r>
        <w:rPr>
          <w:color w:val="000000"/>
        </w:rPr>
        <w:t>Vom Amt werden die Rechtsbeziehungen im Zusammenhang mit der Zurverfügungstellung slowakischer technischer Normen und anderer technischer Normen, die vor dem 1. April 2018 zur Verfügung gestellt werden, mit den ab 1. April 2018 in Kraft befindlichen Rechtsvorschriften spätestens bis zum 31. März 2019 in Einklang gebracht.</w:t>
      </w:r>
    </w:p>
    <w:p w:rsidR="00E16F77" w:rsidRPr="00D06F2A" w:rsidRDefault="00E16F77" w:rsidP="003E6A72">
      <w:pPr>
        <w:pStyle w:val="Listenabsatz"/>
        <w:widowControl/>
        <w:numPr>
          <w:ilvl w:val="0"/>
          <w:numId w:val="31"/>
        </w:numPr>
        <w:shd w:val="clear" w:color="auto" w:fill="FFFFFF"/>
        <w:spacing w:before="120"/>
        <w:ind w:left="284" w:hanging="284"/>
        <w:contextualSpacing w:val="0"/>
        <w:jc w:val="both"/>
        <w:rPr>
          <w:color w:val="000000"/>
        </w:rPr>
      </w:pPr>
      <w:r>
        <w:rPr>
          <w:color w:val="000000"/>
        </w:rPr>
        <w:t>Slowakische technische Normen, vorläufige slowakische technische Normen, vorläufige slowakische technische Normen und technische Normungsinformationen, die vor dem 1. April 2018 in das System der slowakischen technischen Normen aufgenommen wurden, werden als slowakische technische Normen, vorläufige slowakische technische Normen und technische Normungsinformationen gemäß diesem Gesetz betrachtet.</w:t>
      </w:r>
    </w:p>
    <w:p w:rsidR="00E16F77" w:rsidRPr="00D06F2A" w:rsidRDefault="00E16F77" w:rsidP="003E6A72">
      <w:pPr>
        <w:pStyle w:val="Listenabsatz"/>
        <w:widowControl/>
        <w:numPr>
          <w:ilvl w:val="0"/>
          <w:numId w:val="31"/>
        </w:numPr>
        <w:shd w:val="clear" w:color="auto" w:fill="FFFFFF"/>
        <w:spacing w:before="120"/>
        <w:ind w:left="284" w:hanging="284"/>
        <w:contextualSpacing w:val="0"/>
        <w:jc w:val="both"/>
        <w:rPr>
          <w:color w:val="000000"/>
        </w:rPr>
      </w:pPr>
      <w:r>
        <w:rPr>
          <w:color w:val="000000"/>
        </w:rPr>
        <w:t>Die bisherigen technischen Kommissionen werden als technische Kommissionen gemäß diesem Gesetz betrachtet.</w:t>
      </w:r>
    </w:p>
    <w:p w:rsidR="00E16F77" w:rsidRPr="00D06F2A" w:rsidRDefault="00E16F77" w:rsidP="003E6A72">
      <w:pPr>
        <w:pStyle w:val="Listenabsatz"/>
        <w:widowControl/>
        <w:numPr>
          <w:ilvl w:val="0"/>
          <w:numId w:val="31"/>
        </w:numPr>
        <w:shd w:val="clear" w:color="auto" w:fill="FFFFFF"/>
        <w:spacing w:before="120"/>
        <w:ind w:left="284" w:hanging="284"/>
        <w:contextualSpacing w:val="0"/>
        <w:jc w:val="both"/>
        <w:rPr>
          <w:color w:val="000000"/>
        </w:rPr>
      </w:pPr>
      <w:r>
        <w:rPr>
          <w:color w:val="000000"/>
        </w:rPr>
        <w:t>Die auf Grundlage der Ermächtigung nach dem bisherigen Gesetz erlassene Durchführungsvorschrift ist eine Durchführungsvorschrift gemäß diesem Gesetz bis zum Erlass einer Durchführungsvorschrift gemäß § 19, längstens jedoch bis zum 1. April 2019.</w:t>
      </w:r>
    </w:p>
    <w:p w:rsidR="00BB519B" w:rsidRPr="00D06F2A" w:rsidRDefault="00E16F77" w:rsidP="00BB519B">
      <w:pPr>
        <w:keepNext/>
        <w:keepLines/>
        <w:widowControl/>
        <w:shd w:val="clear" w:color="auto" w:fill="FFFFFF"/>
        <w:spacing w:before="360"/>
        <w:jc w:val="center"/>
        <w:rPr>
          <w:b/>
          <w:bCs/>
          <w:color w:val="000000"/>
        </w:rPr>
      </w:pPr>
      <w:r>
        <w:rPr>
          <w:b/>
          <w:bCs/>
          <w:color w:val="000000"/>
        </w:rPr>
        <w:t>§ 21</w:t>
      </w:r>
    </w:p>
    <w:p w:rsidR="00E16F77" w:rsidRPr="008015BE" w:rsidRDefault="00E16F77" w:rsidP="00BB519B">
      <w:pPr>
        <w:keepNext/>
        <w:keepLines/>
        <w:widowControl/>
        <w:shd w:val="clear" w:color="auto" w:fill="FFFFFF"/>
        <w:jc w:val="center"/>
        <w:rPr>
          <w:b/>
          <w:bCs/>
          <w:color w:val="000000"/>
        </w:rPr>
      </w:pPr>
      <w:r>
        <w:rPr>
          <w:b/>
          <w:bCs/>
          <w:color w:val="000000"/>
        </w:rPr>
        <w:t>Inkrafttreten</w:t>
      </w:r>
    </w:p>
    <w:p w:rsidR="00E16F77" w:rsidRPr="00D06F2A" w:rsidRDefault="00E16F77" w:rsidP="00B3535A">
      <w:pPr>
        <w:widowControl/>
        <w:shd w:val="clear" w:color="auto" w:fill="FFFFFF"/>
        <w:spacing w:before="120"/>
        <w:jc w:val="both"/>
        <w:rPr>
          <w:color w:val="000000"/>
        </w:rPr>
      </w:pPr>
      <w:r>
        <w:rPr>
          <w:color w:val="000000"/>
        </w:rPr>
        <w:t>Dieses Gesetz tritt am 1. April 2018 in Kraft. Eine Ausnahme bildet § 14 Absatz 4 Buchstabe a des Satzes hinter dem Semikolon, der am 1. April 2020 in Kraft tritt.</w:t>
      </w:r>
    </w:p>
    <w:p w:rsidR="00E16F77" w:rsidRPr="00D06F2A" w:rsidRDefault="00E16F77" w:rsidP="00B3535A">
      <w:pPr>
        <w:widowControl/>
        <w:shd w:val="clear" w:color="auto" w:fill="FFFFFF"/>
        <w:spacing w:before="360"/>
        <w:jc w:val="center"/>
        <w:rPr>
          <w:color w:val="000000"/>
        </w:rPr>
      </w:pPr>
      <w:r>
        <w:rPr>
          <w:b/>
          <w:bCs/>
          <w:color w:val="000000"/>
        </w:rPr>
        <w:t xml:space="preserve">Andrej </w:t>
      </w:r>
      <w:proofErr w:type="spellStart"/>
      <w:r>
        <w:rPr>
          <w:b/>
          <w:bCs/>
          <w:color w:val="000000"/>
        </w:rPr>
        <w:t>Kiska</w:t>
      </w:r>
      <w:proofErr w:type="spellEnd"/>
      <w:r>
        <w:rPr>
          <w:b/>
          <w:bCs/>
          <w:color w:val="000000"/>
        </w:rPr>
        <w:t xml:space="preserve"> eigenhändig</w:t>
      </w:r>
    </w:p>
    <w:p w:rsidR="00E16F77" w:rsidRPr="00D06F2A" w:rsidRDefault="00E16F77" w:rsidP="00B3535A">
      <w:pPr>
        <w:widowControl/>
        <w:shd w:val="clear" w:color="auto" w:fill="FFFFFF"/>
        <w:spacing w:before="360"/>
        <w:jc w:val="center"/>
        <w:rPr>
          <w:b/>
          <w:bCs/>
          <w:color w:val="000000"/>
        </w:rPr>
      </w:pPr>
      <w:r>
        <w:rPr>
          <w:b/>
          <w:bCs/>
          <w:color w:val="000000"/>
        </w:rPr>
        <w:t>Andrej Danko eigenhändig</w:t>
      </w:r>
    </w:p>
    <w:p w:rsidR="00E16F77" w:rsidRPr="00D06F2A" w:rsidRDefault="00E16F77" w:rsidP="00B3535A">
      <w:pPr>
        <w:widowControl/>
        <w:shd w:val="clear" w:color="auto" w:fill="FFFFFF"/>
        <w:spacing w:before="360"/>
        <w:jc w:val="center"/>
        <w:rPr>
          <w:b/>
          <w:bCs/>
          <w:color w:val="000000"/>
        </w:rPr>
      </w:pPr>
      <w:r>
        <w:rPr>
          <w:b/>
          <w:bCs/>
          <w:color w:val="000000"/>
        </w:rPr>
        <w:t xml:space="preserve">Robert </w:t>
      </w:r>
      <w:proofErr w:type="spellStart"/>
      <w:r>
        <w:rPr>
          <w:b/>
          <w:bCs/>
          <w:color w:val="000000"/>
        </w:rPr>
        <w:t>Fico</w:t>
      </w:r>
      <w:proofErr w:type="spellEnd"/>
      <w:r>
        <w:rPr>
          <w:b/>
          <w:bCs/>
          <w:color w:val="000000"/>
        </w:rPr>
        <w:t xml:space="preserve"> eigenhändig</w:t>
      </w:r>
    </w:p>
    <w:p w:rsidR="00F6126B" w:rsidRPr="00D06F2A" w:rsidRDefault="00F6126B" w:rsidP="00BB519B">
      <w:pPr>
        <w:pageBreakBefore/>
        <w:widowControl/>
        <w:autoSpaceDE/>
        <w:autoSpaceDN/>
        <w:adjustRightInd/>
        <w:spacing w:before="120"/>
        <w:jc w:val="both"/>
        <w:rPr>
          <w:color w:val="000000"/>
        </w:rPr>
      </w:pPr>
      <w:r>
        <w:rPr>
          <w:color w:val="000000"/>
        </w:rPr>
        <w:lastRenderedPageBreak/>
        <w:t>1) Artikel 2 Absatz 1 Buchstaben a und d der Verordnung (EU) Nr. 1025/2012 des Europäischen Parlaments und des Rates vom 25. Oktober 2012 zur europäischen Normung, zur Änderung der Richtlinien 89/686/EWG und 93/15/EWG des Rates sowie der Richtlinien 94/9/EG, 94/25/EG, 95/16/EG, 97/23/EG, 98/34/EG, 2004/22/EG, 2007/23/EG, 2009/23/EG und 2009/105/EG des Europäischen Parlaments und des Rates und zur Aufhebung des Beschlusses 87/95/EWG des Rates und des Beschlusses Nr. 1673/2006/EG des Europäischen Parlaments und des Rates (Amtsblatt der EU L 316, 14.11.2012) in der geltenden Fassung.</w:t>
      </w:r>
    </w:p>
    <w:p w:rsidR="00F6126B" w:rsidRPr="00D06F2A" w:rsidRDefault="00F6126B" w:rsidP="00B3535A">
      <w:pPr>
        <w:widowControl/>
        <w:autoSpaceDE/>
        <w:autoSpaceDN/>
        <w:adjustRightInd/>
        <w:spacing w:before="120"/>
        <w:jc w:val="both"/>
        <w:rPr>
          <w:color w:val="000000"/>
        </w:rPr>
      </w:pPr>
      <w:r>
        <w:rPr>
          <w:color w:val="000000"/>
        </w:rPr>
        <w:t>2) Artikel 2 Absatz 1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3) § 2 Buchstabe i des Gesetzes </w:t>
      </w:r>
      <w:proofErr w:type="spellStart"/>
      <w:r>
        <w:rPr>
          <w:color w:val="000000"/>
        </w:rPr>
        <w:t>GBl</w:t>
      </w:r>
      <w:proofErr w:type="spellEnd"/>
      <w:r>
        <w:rPr>
          <w:color w:val="000000"/>
        </w:rPr>
        <w:t>. Nr. 55/2018 über die Zurverfügungstellung von Informationen über technische Vorschriften und über Hindernisse für den freien Warenverkehr.</w:t>
      </w:r>
    </w:p>
    <w:p w:rsidR="00F6126B" w:rsidRPr="00D06F2A" w:rsidRDefault="00F6126B" w:rsidP="00B3535A">
      <w:pPr>
        <w:widowControl/>
        <w:autoSpaceDE/>
        <w:autoSpaceDN/>
        <w:adjustRightInd/>
        <w:spacing w:before="120"/>
        <w:jc w:val="both"/>
        <w:rPr>
          <w:color w:val="000000"/>
        </w:rPr>
      </w:pPr>
      <w:r>
        <w:rPr>
          <w:color w:val="000000"/>
        </w:rPr>
        <w:t>4) Artikel 2 Absatz 1 Buchstabe b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5) Artikel 2 Absatz 1 Buchstabe a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6) Anhang 1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7) Artikel 2 Absatz 9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 xml:space="preserve">8) Gesetz </w:t>
      </w:r>
      <w:proofErr w:type="spellStart"/>
      <w:r>
        <w:rPr>
          <w:color w:val="000000"/>
        </w:rPr>
        <w:t>GBl</w:t>
      </w:r>
      <w:proofErr w:type="spellEnd"/>
      <w:r>
        <w:rPr>
          <w:color w:val="000000"/>
        </w:rPr>
        <w:t>. Nr. 211/2000 über den freien Zugang zu Informationen und über die Änderung und Ergänzung einiger Gesetze (Gesetz über die Informationsfreiheit) in der jeweils geltenden Fassung.</w:t>
      </w:r>
    </w:p>
    <w:p w:rsidR="00F6126B" w:rsidRPr="00D06F2A" w:rsidRDefault="00F6126B" w:rsidP="00B3535A">
      <w:pPr>
        <w:widowControl/>
        <w:autoSpaceDE/>
        <w:autoSpaceDN/>
        <w:adjustRightInd/>
        <w:spacing w:before="120"/>
        <w:jc w:val="both"/>
        <w:rPr>
          <w:color w:val="000000"/>
        </w:rPr>
      </w:pPr>
      <w:r>
        <w:rPr>
          <w:color w:val="000000"/>
        </w:rPr>
        <w:t xml:space="preserve">9) § 4 Absatz 1 Buchstabe c zweite Ziffer des Gesetzes </w:t>
      </w:r>
      <w:proofErr w:type="spellStart"/>
      <w:r>
        <w:rPr>
          <w:color w:val="000000"/>
        </w:rPr>
        <w:t>GBl</w:t>
      </w:r>
      <w:proofErr w:type="spellEnd"/>
      <w:r>
        <w:rPr>
          <w:color w:val="000000"/>
        </w:rPr>
        <w:t>. Nr. 55/2018.</w:t>
      </w:r>
    </w:p>
    <w:p w:rsidR="00F6126B" w:rsidRPr="00D06F2A" w:rsidRDefault="00F6126B" w:rsidP="00B3535A">
      <w:pPr>
        <w:widowControl/>
        <w:autoSpaceDE/>
        <w:autoSpaceDN/>
        <w:adjustRightInd/>
        <w:spacing w:before="120"/>
        <w:jc w:val="both"/>
        <w:rPr>
          <w:color w:val="000000"/>
        </w:rPr>
      </w:pPr>
      <w:r>
        <w:rPr>
          <w:color w:val="000000"/>
        </w:rPr>
        <w:t>10) Artikel 27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11) Artikel 2 Absatz 10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12) Artikel 2 Absatz 2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13) Artikel 5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14) Artikel 2 Absatz 2 des Anhangs I der Verordnung (EU) Nr. 651/2014 vom 17. Juni 2014 zur Erklärung der Vereinbarkeit bestimmter Gruppen von Beihilfen mit dem Binnenmarkt in Anwendung der Artikel 107 und 108 des Vertrags über die Arbeitsweise der Europäischen Union.</w:t>
      </w:r>
    </w:p>
    <w:p w:rsidR="00F6126B" w:rsidRPr="00D06F2A" w:rsidRDefault="00F6126B" w:rsidP="00B3535A">
      <w:pPr>
        <w:widowControl/>
        <w:autoSpaceDE/>
        <w:autoSpaceDN/>
        <w:adjustRightInd/>
        <w:spacing w:before="120"/>
        <w:jc w:val="both"/>
        <w:rPr>
          <w:color w:val="000000"/>
        </w:rPr>
      </w:pPr>
      <w:r>
        <w:rPr>
          <w:color w:val="000000"/>
        </w:rPr>
        <w:t>15) Artikel 2 Anhang I der Verordnung (EU) Nr. 651/2014.</w:t>
      </w:r>
    </w:p>
    <w:p w:rsidR="00F6126B" w:rsidRPr="00D06F2A" w:rsidRDefault="00F6126B" w:rsidP="00B3535A">
      <w:pPr>
        <w:widowControl/>
        <w:autoSpaceDE/>
        <w:autoSpaceDN/>
        <w:adjustRightInd/>
        <w:spacing w:before="120"/>
        <w:jc w:val="both"/>
        <w:rPr>
          <w:color w:val="000000"/>
        </w:rPr>
      </w:pPr>
      <w:r>
        <w:rPr>
          <w:color w:val="000000"/>
        </w:rPr>
        <w:t>16) Gesetz </w:t>
      </w:r>
      <w:proofErr w:type="spellStart"/>
      <w:r>
        <w:rPr>
          <w:color w:val="000000"/>
        </w:rPr>
        <w:t>GBl</w:t>
      </w:r>
      <w:proofErr w:type="spellEnd"/>
      <w:r>
        <w:rPr>
          <w:color w:val="000000"/>
        </w:rPr>
        <w:t>. Nr. 343/2015 über die öffentliche Beschaffung und über die Änderung und Ergänzung einiger Gesetze in der jeweils geltenden Fassung.</w:t>
      </w:r>
    </w:p>
    <w:p w:rsidR="00F6126B" w:rsidRPr="00D06F2A" w:rsidRDefault="00F6126B" w:rsidP="00B3535A">
      <w:pPr>
        <w:widowControl/>
        <w:autoSpaceDE/>
        <w:autoSpaceDN/>
        <w:adjustRightInd/>
        <w:spacing w:before="120"/>
        <w:jc w:val="both"/>
        <w:rPr>
          <w:color w:val="000000"/>
        </w:rPr>
      </w:pPr>
      <w:r>
        <w:rPr>
          <w:color w:val="000000"/>
        </w:rPr>
        <w:t>17) Artikel 2 Absatz 1 Buchstabe c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18) Artikel 11 der Verordnung (EU) Nr. 1025/2012 in der geltenden Fassung.</w:t>
      </w:r>
    </w:p>
    <w:p w:rsidR="00F6126B" w:rsidRPr="00D06F2A" w:rsidRDefault="00F6126B" w:rsidP="00B3535A">
      <w:pPr>
        <w:widowControl/>
        <w:autoSpaceDE/>
        <w:autoSpaceDN/>
        <w:adjustRightInd/>
        <w:spacing w:before="120"/>
        <w:jc w:val="both"/>
        <w:rPr>
          <w:color w:val="000000"/>
        </w:rPr>
      </w:pPr>
      <w:r>
        <w:rPr>
          <w:color w:val="000000"/>
        </w:rPr>
        <w:t>19) Gesetz </w:t>
      </w:r>
      <w:proofErr w:type="spellStart"/>
      <w:r>
        <w:rPr>
          <w:color w:val="000000"/>
        </w:rPr>
        <w:t>GBl</w:t>
      </w:r>
      <w:proofErr w:type="spellEnd"/>
      <w:r>
        <w:rPr>
          <w:color w:val="000000"/>
        </w:rPr>
        <w:t>. Nr. 245/2008 über Erziehung und Ausbildung (Schulgesetz) und über die Änderung und Ergänzung einiger Gesetze in der jeweils geltenden Fassung.</w:t>
      </w:r>
    </w:p>
    <w:p w:rsidR="00F6126B" w:rsidRPr="00D06F2A" w:rsidRDefault="00F6126B" w:rsidP="00B3535A">
      <w:pPr>
        <w:widowControl/>
        <w:autoSpaceDE/>
        <w:autoSpaceDN/>
        <w:adjustRightInd/>
        <w:spacing w:before="120"/>
        <w:jc w:val="both"/>
        <w:rPr>
          <w:color w:val="000000"/>
        </w:rPr>
      </w:pPr>
      <w:r>
        <w:rPr>
          <w:color w:val="000000"/>
        </w:rPr>
        <w:t>20) Gesetz </w:t>
      </w:r>
      <w:proofErr w:type="spellStart"/>
      <w:r>
        <w:rPr>
          <w:color w:val="000000"/>
        </w:rPr>
        <w:t>GBl</w:t>
      </w:r>
      <w:proofErr w:type="spellEnd"/>
      <w:r>
        <w:rPr>
          <w:color w:val="000000"/>
        </w:rPr>
        <w:t>. Nr. 317/2009 über pädagogische und fachliche Mitarbeiter und über die Änderung und Ergänzung einiger Gesetze in der jeweils geltenden Fassung.</w:t>
      </w:r>
    </w:p>
    <w:p w:rsidR="00F6126B" w:rsidRPr="00D06F2A" w:rsidRDefault="00F6126B" w:rsidP="00B3535A">
      <w:pPr>
        <w:widowControl/>
        <w:autoSpaceDE/>
        <w:autoSpaceDN/>
        <w:adjustRightInd/>
        <w:spacing w:before="120"/>
        <w:jc w:val="both"/>
        <w:rPr>
          <w:color w:val="000000"/>
        </w:rPr>
      </w:pPr>
      <w:r>
        <w:rPr>
          <w:color w:val="000000"/>
        </w:rPr>
        <w:t>21) §§ 73, 76 und 79 des Gesetzes </w:t>
      </w:r>
      <w:proofErr w:type="spellStart"/>
      <w:r>
        <w:rPr>
          <w:color w:val="000000"/>
        </w:rPr>
        <w:t>GBl</w:t>
      </w:r>
      <w:proofErr w:type="spellEnd"/>
      <w:r>
        <w:rPr>
          <w:color w:val="000000"/>
        </w:rPr>
        <w:t>. Nr. 245/2008 in der jeweils geltenden Fassung.</w:t>
      </w:r>
    </w:p>
    <w:p w:rsidR="00F6126B" w:rsidRPr="00D06F2A" w:rsidRDefault="00F6126B" w:rsidP="00B3535A">
      <w:pPr>
        <w:widowControl/>
        <w:autoSpaceDE/>
        <w:autoSpaceDN/>
        <w:adjustRightInd/>
        <w:spacing w:before="120"/>
        <w:jc w:val="both"/>
        <w:rPr>
          <w:color w:val="000000"/>
        </w:rPr>
      </w:pPr>
      <w:r>
        <w:rPr>
          <w:color w:val="000000"/>
        </w:rPr>
        <w:t>22) § 51 des Gesetzes </w:t>
      </w:r>
      <w:proofErr w:type="spellStart"/>
      <w:r>
        <w:rPr>
          <w:color w:val="000000"/>
        </w:rPr>
        <w:t>GBl</w:t>
      </w:r>
      <w:proofErr w:type="spellEnd"/>
      <w:r>
        <w:rPr>
          <w:color w:val="000000"/>
        </w:rPr>
        <w:t>. Nr. 131/2002 über Hochschulen und über die Änderung und Ergänzung einiger Gesetze in der jeweils geltenden Fassung.</w:t>
      </w:r>
    </w:p>
    <w:p w:rsidR="00F6126B" w:rsidRPr="00D06F2A" w:rsidRDefault="00F6126B" w:rsidP="00B3535A">
      <w:pPr>
        <w:widowControl/>
        <w:autoSpaceDE/>
        <w:autoSpaceDN/>
        <w:adjustRightInd/>
        <w:spacing w:before="120"/>
        <w:jc w:val="both"/>
        <w:rPr>
          <w:color w:val="000000"/>
        </w:rPr>
      </w:pPr>
      <w:r>
        <w:rPr>
          <w:color w:val="000000"/>
        </w:rPr>
        <w:t xml:space="preserve">23) § 49 Absatz 6 des Gesetzes </w:t>
      </w:r>
      <w:proofErr w:type="spellStart"/>
      <w:r>
        <w:rPr>
          <w:color w:val="000000"/>
        </w:rPr>
        <w:t>GBl</w:t>
      </w:r>
      <w:proofErr w:type="spellEnd"/>
      <w:r>
        <w:rPr>
          <w:color w:val="000000"/>
        </w:rPr>
        <w:t xml:space="preserve">. Nr. 317/2009 in der Fassung des Gesetzes </w:t>
      </w:r>
      <w:proofErr w:type="spellStart"/>
      <w:r>
        <w:rPr>
          <w:color w:val="000000"/>
        </w:rPr>
        <w:t>GBl</w:t>
      </w:r>
      <w:proofErr w:type="spellEnd"/>
      <w:r>
        <w:rPr>
          <w:color w:val="000000"/>
        </w:rPr>
        <w:t>. Nr. 390/2011.</w:t>
      </w:r>
    </w:p>
    <w:p w:rsidR="00F6126B" w:rsidRPr="00D06F2A" w:rsidRDefault="00F6126B" w:rsidP="00B3535A">
      <w:pPr>
        <w:widowControl/>
        <w:autoSpaceDE/>
        <w:autoSpaceDN/>
        <w:adjustRightInd/>
        <w:spacing w:before="120"/>
        <w:jc w:val="both"/>
        <w:rPr>
          <w:color w:val="000000"/>
        </w:rPr>
      </w:pPr>
      <w:r>
        <w:rPr>
          <w:color w:val="000000"/>
        </w:rPr>
        <w:t xml:space="preserve">24) Gesetz des Nationalrats der Slowakischen Republik </w:t>
      </w:r>
      <w:proofErr w:type="spellStart"/>
      <w:r>
        <w:rPr>
          <w:color w:val="000000"/>
        </w:rPr>
        <w:t>GBl</w:t>
      </w:r>
      <w:proofErr w:type="spellEnd"/>
      <w:r>
        <w:rPr>
          <w:color w:val="000000"/>
        </w:rPr>
        <w:t>. Nr. 372/1990 über Ordnungswidrigkeiten in der jeweils geltenden Fassung.</w:t>
      </w:r>
    </w:p>
    <w:p w:rsidR="00E16F77" w:rsidRPr="00D06F2A" w:rsidRDefault="00E16F77" w:rsidP="00BB519B">
      <w:pPr>
        <w:pageBreakBefore/>
        <w:widowControl/>
        <w:autoSpaceDE/>
        <w:autoSpaceDN/>
        <w:adjustRightInd/>
        <w:spacing w:before="120"/>
        <w:jc w:val="right"/>
        <w:rPr>
          <w:b/>
          <w:bCs/>
          <w:color w:val="000000"/>
        </w:rPr>
      </w:pPr>
      <w:r>
        <w:rPr>
          <w:b/>
          <w:bCs/>
          <w:color w:val="000000"/>
        </w:rPr>
        <w:lastRenderedPageBreak/>
        <w:t xml:space="preserve">Anhang zum Gesetz </w:t>
      </w:r>
      <w:proofErr w:type="spellStart"/>
      <w:r>
        <w:rPr>
          <w:b/>
          <w:bCs/>
          <w:color w:val="000000"/>
        </w:rPr>
        <w:t>GBl</w:t>
      </w:r>
      <w:proofErr w:type="spellEnd"/>
      <w:r>
        <w:rPr>
          <w:b/>
          <w:bCs/>
          <w:color w:val="000000"/>
        </w:rPr>
        <w:t>. Nr. 60/2018</w:t>
      </w:r>
    </w:p>
    <w:p w:rsidR="00BB519B" w:rsidRPr="00D06F2A" w:rsidRDefault="00BB519B" w:rsidP="00BB519B">
      <w:pPr>
        <w:spacing w:before="120" w:after="120"/>
        <w:rPr>
          <w:sz w:val="24"/>
          <w:szCs w:val="24"/>
        </w:rPr>
      </w:pPr>
      <w:r>
        <w:rPr>
          <w:sz w:val="24"/>
          <w:szCs w:val="24"/>
        </w:rPr>
        <w:t>1. Zeichen „STN“:</w:t>
      </w:r>
    </w:p>
    <w:p w:rsidR="00BB519B" w:rsidRPr="00D06F2A" w:rsidRDefault="00C16B68" w:rsidP="00BB519B">
      <w:pPr>
        <w:rPr>
          <w:rFonts w:ascii="Calibri" w:hAnsi="Calibri" w:cs="Calibri"/>
          <w:sz w:val="22"/>
          <w:szCs w:val="22"/>
        </w:rPr>
      </w:pPr>
      <w:r>
        <w:rPr>
          <w:noProof/>
          <w:lang w:eastAsia="zh-CN"/>
        </w:rPr>
        <w:drawing>
          <wp:inline distT="0" distB="0" distL="0" distR="0">
            <wp:extent cx="2457450" cy="1085850"/>
            <wp:effectExtent l="0" t="0" r="0" b="0"/>
            <wp:docPr id="2" name="Obrázok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085850"/>
                    </a:xfrm>
                    <a:prstGeom prst="rect">
                      <a:avLst/>
                    </a:prstGeom>
                    <a:noFill/>
                    <a:ln>
                      <a:noFill/>
                    </a:ln>
                  </pic:spPr>
                </pic:pic>
              </a:graphicData>
            </a:graphic>
          </wp:inline>
        </w:drawing>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szCs w:val="24"/>
        </w:rPr>
        <w:t>2. Zeichen „STN P“:</w:t>
      </w:r>
    </w:p>
    <w:p w:rsidR="00BB519B" w:rsidRPr="00D06F2A" w:rsidRDefault="00C16B68" w:rsidP="00BB519B">
      <w:pPr>
        <w:rPr>
          <w:rFonts w:ascii="Calibri" w:hAnsi="Calibri" w:cs="Calibri"/>
          <w:sz w:val="22"/>
          <w:szCs w:val="22"/>
        </w:rPr>
      </w:pPr>
      <w:r>
        <w:rPr>
          <w:noProof/>
          <w:lang w:eastAsia="zh-CN"/>
        </w:rPr>
        <w:drawing>
          <wp:inline distT="0" distB="0" distL="0" distR="0">
            <wp:extent cx="3333750" cy="2152650"/>
            <wp:effectExtent l="0" t="0" r="0" b="0"/>
            <wp:docPr id="3" name="Obrázok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152650"/>
                    </a:xfrm>
                    <a:prstGeom prst="rect">
                      <a:avLst/>
                    </a:prstGeom>
                    <a:noFill/>
                    <a:ln>
                      <a:noFill/>
                    </a:ln>
                  </pic:spPr>
                </pic:pic>
              </a:graphicData>
            </a:graphic>
          </wp:inline>
        </w:drawing>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szCs w:val="24"/>
        </w:rPr>
        <w:t>3. Zeichen „TNI“:</w:t>
      </w:r>
    </w:p>
    <w:p w:rsidR="00BB519B" w:rsidRPr="00D06F2A" w:rsidRDefault="00C16B68" w:rsidP="00BB519B">
      <w:pPr>
        <w:rPr>
          <w:rFonts w:ascii="Calibri" w:hAnsi="Calibri" w:cs="Calibri"/>
          <w:sz w:val="22"/>
          <w:szCs w:val="22"/>
        </w:rPr>
      </w:pPr>
      <w:r>
        <w:rPr>
          <w:noProof/>
          <w:lang w:eastAsia="zh-CN"/>
        </w:rPr>
        <w:drawing>
          <wp:inline distT="0" distB="0" distL="0" distR="0">
            <wp:extent cx="2457450" cy="1085850"/>
            <wp:effectExtent l="0" t="0" r="0" b="0"/>
            <wp:docPr id="4" name="Obrázok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1085850"/>
                    </a:xfrm>
                    <a:prstGeom prst="rect">
                      <a:avLst/>
                    </a:prstGeom>
                    <a:noFill/>
                    <a:ln>
                      <a:noFill/>
                    </a:ln>
                  </pic:spPr>
                </pic:pic>
              </a:graphicData>
            </a:graphic>
          </wp:inline>
        </w:drawing>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5F3632" w:rsidRDefault="00C16B68" w:rsidP="00B3535A">
      <w:pPr>
        <w:widowControl/>
        <w:autoSpaceDE/>
        <w:autoSpaceDN/>
        <w:adjustRightInd/>
        <w:spacing w:before="13320"/>
        <w:jc w:val="center"/>
        <w:rPr>
          <w:color w:val="000000"/>
          <w:sz w:val="18"/>
        </w:rPr>
      </w:pPr>
      <w:r>
        <w:rPr>
          <w:noProof/>
          <w:color w:val="000000"/>
          <w:sz w:val="18"/>
          <w:lang w:eastAsia="zh-CN"/>
        </w:rPr>
        <mc:AlternateContent>
          <mc:Choice Requires="wps">
            <w:drawing>
              <wp:anchor distT="4294967295" distB="4294967295" distL="114300" distR="114300" simplePos="0" relativeHeight="251657728" behindDoc="0" locked="0" layoutInCell="1" allowOverlap="1">
                <wp:simplePos x="0" y="0"/>
                <wp:positionH relativeFrom="column">
                  <wp:posOffset>-193040</wp:posOffset>
                </wp:positionH>
                <wp:positionV relativeFrom="paragraph">
                  <wp:posOffset>8336279</wp:posOffset>
                </wp:positionV>
                <wp:extent cx="6167755" cy="0"/>
                <wp:effectExtent l="0" t="0" r="23495" b="19050"/>
                <wp:wrapNone/>
                <wp:docPr id="5"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7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Rovná spojnica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" strokeweight="1pt">
                <o:lock v:ext="edit" shapetype="f"/>
              </v:line>
            </w:pict>
          </mc:Fallback>
        </mc:AlternateContent>
      </w:r>
      <w:r>
        <w:rPr>
          <w:color w:val="000000"/>
          <w:sz w:val="18"/>
        </w:rPr>
        <w:t xml:space="preserve">Herausgeber des Gesetzblatts der Slowakischen Republik, Verwalter des Inhalts und Betreiber des auf der Internetseite </w:t>
      </w:r>
      <w:hyperlink r:id="rId13" w:history="1">
        <w:r>
          <w:rPr>
            <w:color w:val="000000"/>
            <w:sz w:val="18"/>
          </w:rPr>
          <w:t>www.slov-lex.sk</w:t>
        </w:r>
      </w:hyperlink>
      <w:r>
        <w:rPr>
          <w:color w:val="000000"/>
          <w:sz w:val="18"/>
        </w:rPr>
        <w:t xml:space="preserve"> verfügbaren Rechts- und Informationsportals </w:t>
      </w:r>
      <w:proofErr w:type="spellStart"/>
      <w:r>
        <w:rPr>
          <w:color w:val="000000"/>
          <w:sz w:val="18"/>
        </w:rPr>
        <w:t>Slov</w:t>
      </w:r>
      <w:proofErr w:type="spellEnd"/>
      <w:r>
        <w:rPr>
          <w:color w:val="000000"/>
          <w:sz w:val="18"/>
        </w:rPr>
        <w:t xml:space="preserve">-Lex ist das Justizministerium der Slowakischen Republik, </w:t>
      </w:r>
      <w:proofErr w:type="spellStart"/>
      <w:r>
        <w:rPr>
          <w:color w:val="000000"/>
          <w:sz w:val="18"/>
        </w:rPr>
        <w:t>Župné</w:t>
      </w:r>
      <w:proofErr w:type="spellEnd"/>
      <w:r>
        <w:rPr>
          <w:color w:val="000000"/>
          <w:sz w:val="18"/>
        </w:rPr>
        <w:t xml:space="preserve"> </w:t>
      </w:r>
      <w:proofErr w:type="spellStart"/>
      <w:r>
        <w:rPr>
          <w:color w:val="000000"/>
          <w:sz w:val="18"/>
        </w:rPr>
        <w:t>námestie</w:t>
      </w:r>
      <w:proofErr w:type="spellEnd"/>
      <w:r>
        <w:rPr>
          <w:color w:val="000000"/>
          <w:sz w:val="18"/>
        </w:rPr>
        <w:t> 13, 813 11 Bratislava</w:t>
      </w:r>
      <w:proofErr w:type="gramStart"/>
      <w:r>
        <w:rPr>
          <w:color w:val="000000"/>
          <w:sz w:val="18"/>
        </w:rPr>
        <w:t>,</w:t>
      </w:r>
      <w:proofErr w:type="gramEnd"/>
      <w:r>
        <w:rPr>
          <w:color w:val="000000"/>
          <w:sz w:val="18"/>
        </w:rPr>
        <w:br/>
        <w:t xml:space="preserve">Tel.: 02 888 91 137, Fax: 02/52442853, E-Mail: </w:t>
      </w:r>
      <w:hyperlink r:id="rId14" w:history="1">
        <w:r>
          <w:rPr>
            <w:color w:val="000000"/>
            <w:sz w:val="18"/>
          </w:rPr>
          <w:t>helpdesk@slov-lex.sk</w:t>
        </w:r>
      </w:hyperlink>
      <w:r>
        <w:rPr>
          <w:color w:val="000000"/>
          <w:sz w:val="18"/>
        </w:rPr>
        <w:t>.</w:t>
      </w:r>
    </w:p>
    <w:sectPr w:rsidR="00E16F77" w:rsidRPr="005F3632" w:rsidSect="007C4BCF">
      <w:headerReference w:type="even" r:id="rId15"/>
      <w:headerReference w:type="default" r:id="rId16"/>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69" w:rsidRDefault="002D3069" w:rsidP="00411B8D">
      <w:r>
        <w:separator/>
      </w:r>
    </w:p>
  </w:endnote>
  <w:endnote w:type="continuationSeparator" w:id="0">
    <w:p w:rsidR="002D3069" w:rsidRDefault="002D3069"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69" w:rsidRDefault="002D3069" w:rsidP="00411B8D">
      <w:r>
        <w:separator/>
      </w:r>
    </w:p>
  </w:footnote>
  <w:footnote w:type="continuationSeparator" w:id="0">
    <w:p w:rsidR="002D3069" w:rsidRDefault="002D3069"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0A" w:rsidRDefault="00D0380A" w:rsidP="00411B8D">
    <w:pPr>
      <w:pStyle w:val="Kopfzeile"/>
      <w:pBdr>
        <w:bottom w:val="single" w:sz="4" w:space="1" w:color="auto"/>
      </w:pBdr>
    </w:pPr>
    <w:r>
      <w:t xml:space="preserve">Seite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401CDB">
      <w:rPr>
        <w:rStyle w:val="Seitenzahl"/>
        <w:rFonts w:cs="Arial"/>
        <w:noProof/>
      </w:rPr>
      <w:t>14</w:t>
    </w:r>
    <w:r>
      <w:rPr>
        <w:rStyle w:val="Seitenzahl"/>
        <w:rFonts w:cs="Arial"/>
      </w:rPr>
      <w:fldChar w:fldCharType="end"/>
    </w:r>
    <w:r>
      <w:tab/>
    </w:r>
    <w:r>
      <w:rPr>
        <w:rFonts w:ascii="TeXGyreBonumRegular" w:hAnsi="TeXGyreBonumRegular"/>
      </w:rPr>
      <w:t>Gesetzblatt der Slowakischen Republik</w:t>
    </w:r>
    <w:r>
      <w:rPr>
        <w:rFonts w:ascii="TeXGyreBonumRegular" w:hAnsi="TeXGyreBonumRegular"/>
      </w:rPr>
      <w:tab/>
    </w:r>
    <w:proofErr w:type="spellStart"/>
    <w:r>
      <w:rPr>
        <w:rFonts w:ascii="TeXGyreBonumBold" w:hAnsi="TeXGyreBonumBold"/>
        <w:b/>
        <w:bCs/>
      </w:rPr>
      <w:t>GBl</w:t>
    </w:r>
    <w:proofErr w:type="spellEnd"/>
    <w:r>
      <w:rPr>
        <w:rFonts w:ascii="TeXGyreBonumBold" w:hAnsi="TeXGyreBonumBold"/>
        <w:b/>
        <w:bCs/>
      </w:rPr>
      <w:t>. Nr. 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0A" w:rsidRPr="00C32D3E" w:rsidRDefault="00D0380A" w:rsidP="00C32D3E">
    <w:pPr>
      <w:pStyle w:val="Kopfzeile"/>
      <w:pBdr>
        <w:bottom w:val="single" w:sz="4" w:space="1" w:color="auto"/>
      </w:pBdr>
    </w:pPr>
    <w:proofErr w:type="spellStart"/>
    <w:r>
      <w:rPr>
        <w:rFonts w:ascii="TeXGyreBonumBold" w:hAnsi="TeXGyreBonumBold"/>
        <w:b/>
        <w:bCs/>
      </w:rPr>
      <w:t>GBl</w:t>
    </w:r>
    <w:proofErr w:type="spellEnd"/>
    <w:r>
      <w:rPr>
        <w:rFonts w:ascii="TeXGyreBonumBold" w:hAnsi="TeXGyreBonumBold"/>
        <w:b/>
        <w:bCs/>
      </w:rPr>
      <w:t>. Nr. 60/2018</w:t>
    </w:r>
    <w:r>
      <w:rPr>
        <w:rFonts w:ascii="TeXGyreBonumBold" w:hAnsi="TeXGyreBonumBold"/>
        <w:b/>
        <w:bCs/>
      </w:rPr>
      <w:tab/>
    </w:r>
    <w:r>
      <w:rPr>
        <w:rFonts w:ascii="TeXGyreBonumRegular" w:hAnsi="TeXGyreBonumRegular"/>
      </w:rPr>
      <w:t>Gesetzblatt der Slowakischen Republik</w:t>
    </w:r>
    <w:r>
      <w:rPr>
        <w:rFonts w:ascii="TeXGyreBonumRegular" w:hAnsi="TeXGyreBonumRegular"/>
      </w:rPr>
      <w:tab/>
    </w:r>
    <w:r>
      <w:t xml:space="preserve">Seite </w:t>
    </w:r>
    <w:r w:rsidRPr="00C32D3E">
      <w:rPr>
        <w:rStyle w:val="Seitenzahl"/>
        <w:rFonts w:cs="Arial"/>
      </w:rPr>
      <w:fldChar w:fldCharType="begin"/>
    </w:r>
    <w:r w:rsidRPr="00C32D3E">
      <w:rPr>
        <w:rStyle w:val="Seitenzahl"/>
        <w:rFonts w:cs="Arial"/>
      </w:rPr>
      <w:instrText xml:space="preserve"> PAGE </w:instrText>
    </w:r>
    <w:r w:rsidRPr="00C32D3E">
      <w:rPr>
        <w:rStyle w:val="Seitenzahl"/>
        <w:rFonts w:cs="Arial"/>
      </w:rPr>
      <w:fldChar w:fldCharType="separate"/>
    </w:r>
    <w:r w:rsidR="00401CDB">
      <w:rPr>
        <w:rStyle w:val="Seitenzahl"/>
        <w:rFonts w:cs="Arial"/>
        <w:noProof/>
      </w:rPr>
      <w:t>13</w:t>
    </w:r>
    <w:r w:rsidRPr="00C32D3E">
      <w:rPr>
        <w:rStyle w:val="Seitenzahl"/>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74C87711"/>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8D"/>
    <w:rsid w:val="0008615D"/>
    <w:rsid w:val="000A1D69"/>
    <w:rsid w:val="000B0C18"/>
    <w:rsid w:val="000D1A6C"/>
    <w:rsid w:val="000E78D9"/>
    <w:rsid w:val="00187AF6"/>
    <w:rsid w:val="001950C5"/>
    <w:rsid w:val="001C0958"/>
    <w:rsid w:val="0020707C"/>
    <w:rsid w:val="00221369"/>
    <w:rsid w:val="0027518A"/>
    <w:rsid w:val="00283DC6"/>
    <w:rsid w:val="002974B0"/>
    <w:rsid w:val="002B596E"/>
    <w:rsid w:val="002D3069"/>
    <w:rsid w:val="002E2281"/>
    <w:rsid w:val="0031555C"/>
    <w:rsid w:val="00352E4D"/>
    <w:rsid w:val="00365BC6"/>
    <w:rsid w:val="003E6A72"/>
    <w:rsid w:val="00401CDB"/>
    <w:rsid w:val="00411B8D"/>
    <w:rsid w:val="00484CD4"/>
    <w:rsid w:val="004857B3"/>
    <w:rsid w:val="004B5C4F"/>
    <w:rsid w:val="005472A7"/>
    <w:rsid w:val="00586A14"/>
    <w:rsid w:val="005F0279"/>
    <w:rsid w:val="005F3632"/>
    <w:rsid w:val="00623B7F"/>
    <w:rsid w:val="006F6A4A"/>
    <w:rsid w:val="00717BE1"/>
    <w:rsid w:val="007C4BCF"/>
    <w:rsid w:val="007C5599"/>
    <w:rsid w:val="007C5CFC"/>
    <w:rsid w:val="008015BE"/>
    <w:rsid w:val="00810B76"/>
    <w:rsid w:val="00846B3D"/>
    <w:rsid w:val="00863E0E"/>
    <w:rsid w:val="008678D7"/>
    <w:rsid w:val="008862F9"/>
    <w:rsid w:val="0090665E"/>
    <w:rsid w:val="00911626"/>
    <w:rsid w:val="009767AA"/>
    <w:rsid w:val="00A811B2"/>
    <w:rsid w:val="00A92352"/>
    <w:rsid w:val="00AE24F0"/>
    <w:rsid w:val="00B3535A"/>
    <w:rsid w:val="00BB519B"/>
    <w:rsid w:val="00BF4EB4"/>
    <w:rsid w:val="00C16B68"/>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1B8D"/>
    <w:pPr>
      <w:widowControl w:val="0"/>
      <w:autoSpaceDE w:val="0"/>
      <w:autoSpaceDN w:val="0"/>
      <w:adjustRightInd w:val="0"/>
    </w:pPr>
    <w:rPr>
      <w:rFonts w:ascii="Arial" w:hAnsi="Arial" w:cs="Arial"/>
      <w:lang w:eastAsia="sk-S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11B8D"/>
    <w:pPr>
      <w:tabs>
        <w:tab w:val="center" w:pos="4536"/>
        <w:tab w:val="right" w:pos="9072"/>
      </w:tabs>
    </w:pPr>
  </w:style>
  <w:style w:type="character" w:customStyle="1" w:styleId="KopfzeileZchn">
    <w:name w:val="Kopfzeile Zchn"/>
    <w:link w:val="Kopfzeile"/>
    <w:uiPriority w:val="99"/>
    <w:locked/>
    <w:rsid w:val="00411B8D"/>
    <w:rPr>
      <w:rFonts w:ascii="Arial" w:hAnsi="Arial"/>
    </w:rPr>
  </w:style>
  <w:style w:type="paragraph" w:styleId="Fuzeile">
    <w:name w:val="footer"/>
    <w:basedOn w:val="Standard"/>
    <w:link w:val="FuzeileZchn"/>
    <w:uiPriority w:val="99"/>
    <w:rsid w:val="00411B8D"/>
    <w:pPr>
      <w:tabs>
        <w:tab w:val="center" w:pos="4536"/>
        <w:tab w:val="right" w:pos="9072"/>
      </w:tabs>
    </w:pPr>
  </w:style>
  <w:style w:type="character" w:customStyle="1" w:styleId="FuzeileZchn">
    <w:name w:val="Fußzeile Zchn"/>
    <w:link w:val="Fuzeile"/>
    <w:uiPriority w:val="99"/>
    <w:locked/>
    <w:rsid w:val="00411B8D"/>
    <w:rPr>
      <w:rFonts w:ascii="Arial" w:hAnsi="Arial"/>
    </w:rPr>
  </w:style>
  <w:style w:type="paragraph" w:styleId="Listenabsatz">
    <w:name w:val="List Paragraph"/>
    <w:basedOn w:val="Standard"/>
    <w:uiPriority w:val="99"/>
    <w:qFormat/>
    <w:rsid w:val="007C5CFC"/>
    <w:pPr>
      <w:ind w:left="720"/>
      <w:contextualSpacing/>
    </w:pPr>
  </w:style>
  <w:style w:type="paragraph" w:styleId="Endnotentext">
    <w:name w:val="endnote text"/>
    <w:basedOn w:val="Standard"/>
    <w:link w:val="EndnotentextZchn"/>
    <w:uiPriority w:val="99"/>
    <w:rsid w:val="00846B3D"/>
  </w:style>
  <w:style w:type="character" w:customStyle="1" w:styleId="EndnotentextZchn">
    <w:name w:val="Endnotentext Zchn"/>
    <w:link w:val="Endnotentext"/>
    <w:uiPriority w:val="99"/>
    <w:locked/>
    <w:rsid w:val="00846B3D"/>
    <w:rPr>
      <w:rFonts w:ascii="Arial" w:hAnsi="Arial"/>
    </w:rPr>
  </w:style>
  <w:style w:type="character" w:styleId="Endnotenzeichen">
    <w:name w:val="endnote reference"/>
    <w:uiPriority w:val="99"/>
    <w:rsid w:val="00846B3D"/>
    <w:rPr>
      <w:rFonts w:cs="Times New Roman"/>
      <w:vertAlign w:val="superscript"/>
    </w:rPr>
  </w:style>
  <w:style w:type="paragraph" w:styleId="Funotentext">
    <w:name w:val="footnote text"/>
    <w:basedOn w:val="Standard"/>
    <w:link w:val="FunotentextZchn"/>
    <w:uiPriority w:val="99"/>
    <w:rsid w:val="00846B3D"/>
  </w:style>
  <w:style w:type="character" w:customStyle="1" w:styleId="FunotentextZchn">
    <w:name w:val="Fußnotentext Zchn"/>
    <w:link w:val="Funotentext"/>
    <w:uiPriority w:val="99"/>
    <w:locked/>
    <w:rsid w:val="00846B3D"/>
    <w:rPr>
      <w:rFonts w:ascii="Arial" w:hAnsi="Arial"/>
    </w:rPr>
  </w:style>
  <w:style w:type="character" w:styleId="Funotenzeichen">
    <w:name w:val="footnote reference"/>
    <w:uiPriority w:val="99"/>
    <w:rsid w:val="00846B3D"/>
    <w:rPr>
      <w:rFonts w:cs="Times New Roman"/>
      <w:vertAlign w:val="superscript"/>
    </w:rPr>
  </w:style>
  <w:style w:type="character" w:styleId="Seitenzahl">
    <w:name w:val="page number"/>
    <w:uiPriority w:val="99"/>
    <w:rsid w:val="007C4BCF"/>
    <w:rPr>
      <w:rFonts w:cs="Times New Roman"/>
    </w:rPr>
  </w:style>
  <w:style w:type="paragraph" w:styleId="Sprechblasentext">
    <w:name w:val="Balloon Text"/>
    <w:basedOn w:val="Standard"/>
    <w:link w:val="SprechblasentextZchn"/>
    <w:uiPriority w:val="99"/>
    <w:semiHidden/>
    <w:unhideWhenUsed/>
    <w:rsid w:val="00C32D3E"/>
    <w:rPr>
      <w:rFonts w:ascii="Tahoma" w:hAnsi="Tahoma" w:cs="Tahoma"/>
      <w:sz w:val="16"/>
      <w:szCs w:val="16"/>
    </w:rPr>
  </w:style>
  <w:style w:type="character" w:customStyle="1" w:styleId="SprechblasentextZchn">
    <w:name w:val="Sprechblasentext Zchn"/>
    <w:link w:val="Sprechblasentext"/>
    <w:uiPriority w:val="99"/>
    <w:semiHidden/>
    <w:rsid w:val="00C32D3E"/>
    <w:rPr>
      <w:rFonts w:ascii="Tahoma" w:hAnsi="Tahoma" w:cs="Tahoma"/>
      <w:sz w:val="16"/>
      <w:szCs w:val="16"/>
    </w:rPr>
  </w:style>
  <w:style w:type="paragraph" w:styleId="NurText">
    <w:name w:val="Plain Text"/>
    <w:basedOn w:val="Standard"/>
    <w:link w:val="NurTextZchn"/>
    <w:uiPriority w:val="99"/>
    <w:unhideWhenUsed/>
    <w:rsid w:val="00810B76"/>
    <w:pPr>
      <w:widowControl/>
      <w:autoSpaceDE/>
      <w:autoSpaceDN/>
      <w:adjustRightInd/>
    </w:pPr>
    <w:rPr>
      <w:rFonts w:ascii="Consolas" w:hAnsi="Consolas" w:cs="Times New Roman"/>
      <w:sz w:val="21"/>
      <w:szCs w:val="21"/>
      <w:lang w:eastAsia="en-US"/>
    </w:rPr>
  </w:style>
  <w:style w:type="character" w:customStyle="1" w:styleId="NurTextZchn">
    <w:name w:val="Nur Text Zchn"/>
    <w:basedOn w:val="Absatz-Standardschriftart"/>
    <w:link w:val="NurText"/>
    <w:uiPriority w:val="99"/>
    <w:rsid w:val="00810B76"/>
    <w:rPr>
      <w:rFonts w:ascii="Consolas" w:hAnsi="Consolas"/>
      <w:sz w:val="21"/>
      <w:szCs w:val="2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1B8D"/>
    <w:pPr>
      <w:widowControl w:val="0"/>
      <w:autoSpaceDE w:val="0"/>
      <w:autoSpaceDN w:val="0"/>
      <w:adjustRightInd w:val="0"/>
    </w:pPr>
    <w:rPr>
      <w:rFonts w:ascii="Arial" w:hAnsi="Arial" w:cs="Arial"/>
      <w:lang w:eastAsia="sk-S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11B8D"/>
    <w:pPr>
      <w:tabs>
        <w:tab w:val="center" w:pos="4536"/>
        <w:tab w:val="right" w:pos="9072"/>
      </w:tabs>
    </w:pPr>
  </w:style>
  <w:style w:type="character" w:customStyle="1" w:styleId="KopfzeileZchn">
    <w:name w:val="Kopfzeile Zchn"/>
    <w:link w:val="Kopfzeile"/>
    <w:uiPriority w:val="99"/>
    <w:locked/>
    <w:rsid w:val="00411B8D"/>
    <w:rPr>
      <w:rFonts w:ascii="Arial" w:hAnsi="Arial"/>
    </w:rPr>
  </w:style>
  <w:style w:type="paragraph" w:styleId="Fuzeile">
    <w:name w:val="footer"/>
    <w:basedOn w:val="Standard"/>
    <w:link w:val="FuzeileZchn"/>
    <w:uiPriority w:val="99"/>
    <w:rsid w:val="00411B8D"/>
    <w:pPr>
      <w:tabs>
        <w:tab w:val="center" w:pos="4536"/>
        <w:tab w:val="right" w:pos="9072"/>
      </w:tabs>
    </w:pPr>
  </w:style>
  <w:style w:type="character" w:customStyle="1" w:styleId="FuzeileZchn">
    <w:name w:val="Fußzeile Zchn"/>
    <w:link w:val="Fuzeile"/>
    <w:uiPriority w:val="99"/>
    <w:locked/>
    <w:rsid w:val="00411B8D"/>
    <w:rPr>
      <w:rFonts w:ascii="Arial" w:hAnsi="Arial"/>
    </w:rPr>
  </w:style>
  <w:style w:type="paragraph" w:styleId="Listenabsatz">
    <w:name w:val="List Paragraph"/>
    <w:basedOn w:val="Standard"/>
    <w:uiPriority w:val="99"/>
    <w:qFormat/>
    <w:rsid w:val="007C5CFC"/>
    <w:pPr>
      <w:ind w:left="720"/>
      <w:contextualSpacing/>
    </w:pPr>
  </w:style>
  <w:style w:type="paragraph" w:styleId="Endnotentext">
    <w:name w:val="endnote text"/>
    <w:basedOn w:val="Standard"/>
    <w:link w:val="EndnotentextZchn"/>
    <w:uiPriority w:val="99"/>
    <w:rsid w:val="00846B3D"/>
  </w:style>
  <w:style w:type="character" w:customStyle="1" w:styleId="EndnotentextZchn">
    <w:name w:val="Endnotentext Zchn"/>
    <w:link w:val="Endnotentext"/>
    <w:uiPriority w:val="99"/>
    <w:locked/>
    <w:rsid w:val="00846B3D"/>
    <w:rPr>
      <w:rFonts w:ascii="Arial" w:hAnsi="Arial"/>
    </w:rPr>
  </w:style>
  <w:style w:type="character" w:styleId="Endnotenzeichen">
    <w:name w:val="endnote reference"/>
    <w:uiPriority w:val="99"/>
    <w:rsid w:val="00846B3D"/>
    <w:rPr>
      <w:rFonts w:cs="Times New Roman"/>
      <w:vertAlign w:val="superscript"/>
    </w:rPr>
  </w:style>
  <w:style w:type="paragraph" w:styleId="Funotentext">
    <w:name w:val="footnote text"/>
    <w:basedOn w:val="Standard"/>
    <w:link w:val="FunotentextZchn"/>
    <w:uiPriority w:val="99"/>
    <w:rsid w:val="00846B3D"/>
  </w:style>
  <w:style w:type="character" w:customStyle="1" w:styleId="FunotentextZchn">
    <w:name w:val="Fußnotentext Zchn"/>
    <w:link w:val="Funotentext"/>
    <w:uiPriority w:val="99"/>
    <w:locked/>
    <w:rsid w:val="00846B3D"/>
    <w:rPr>
      <w:rFonts w:ascii="Arial" w:hAnsi="Arial"/>
    </w:rPr>
  </w:style>
  <w:style w:type="character" w:styleId="Funotenzeichen">
    <w:name w:val="footnote reference"/>
    <w:uiPriority w:val="99"/>
    <w:rsid w:val="00846B3D"/>
    <w:rPr>
      <w:rFonts w:cs="Times New Roman"/>
      <w:vertAlign w:val="superscript"/>
    </w:rPr>
  </w:style>
  <w:style w:type="character" w:styleId="Seitenzahl">
    <w:name w:val="page number"/>
    <w:uiPriority w:val="99"/>
    <w:rsid w:val="007C4BCF"/>
    <w:rPr>
      <w:rFonts w:cs="Times New Roman"/>
    </w:rPr>
  </w:style>
  <w:style w:type="paragraph" w:styleId="Sprechblasentext">
    <w:name w:val="Balloon Text"/>
    <w:basedOn w:val="Standard"/>
    <w:link w:val="SprechblasentextZchn"/>
    <w:uiPriority w:val="99"/>
    <w:semiHidden/>
    <w:unhideWhenUsed/>
    <w:rsid w:val="00C32D3E"/>
    <w:rPr>
      <w:rFonts w:ascii="Tahoma" w:hAnsi="Tahoma" w:cs="Tahoma"/>
      <w:sz w:val="16"/>
      <w:szCs w:val="16"/>
    </w:rPr>
  </w:style>
  <w:style w:type="character" w:customStyle="1" w:styleId="SprechblasentextZchn">
    <w:name w:val="Sprechblasentext Zchn"/>
    <w:link w:val="Sprechblasentext"/>
    <w:uiPriority w:val="99"/>
    <w:semiHidden/>
    <w:rsid w:val="00C32D3E"/>
    <w:rPr>
      <w:rFonts w:ascii="Tahoma" w:hAnsi="Tahoma" w:cs="Tahoma"/>
      <w:sz w:val="16"/>
      <w:szCs w:val="16"/>
    </w:rPr>
  </w:style>
  <w:style w:type="paragraph" w:styleId="NurText">
    <w:name w:val="Plain Text"/>
    <w:basedOn w:val="Standard"/>
    <w:link w:val="NurTextZchn"/>
    <w:uiPriority w:val="99"/>
    <w:unhideWhenUsed/>
    <w:rsid w:val="00810B76"/>
    <w:pPr>
      <w:widowControl/>
      <w:autoSpaceDE/>
      <w:autoSpaceDN/>
      <w:adjustRightInd/>
    </w:pPr>
    <w:rPr>
      <w:rFonts w:ascii="Consolas" w:hAnsi="Consolas" w:cs="Times New Roman"/>
      <w:sz w:val="21"/>
      <w:szCs w:val="21"/>
      <w:lang w:eastAsia="en-US"/>
    </w:rPr>
  </w:style>
  <w:style w:type="character" w:customStyle="1" w:styleId="NurTextZchn">
    <w:name w:val="Nur Text Zchn"/>
    <w:basedOn w:val="Absatz-Standardschriftart"/>
    <w:link w:val="NurText"/>
    <w:uiPriority w:val="99"/>
    <w:rsid w:val="00810B76"/>
    <w:rPr>
      <w:rFonts w:ascii="Consolas" w:hAnsi="Consolas"/>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ov-lex.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elpdesk@slov-le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74AA-DFAD-41BD-BF48-DD876A10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5380</Words>
  <Characters>36622</Characters>
  <Application>Microsoft Office Word</Application>
  <DocSecurity>0</DocSecurity>
  <Lines>305</Lines>
  <Paragraphs>83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Hewlett-Packard Company</Company>
  <LinksUpToDate>false</LinksUpToDate>
  <CharactersWithSpaces>41919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Blaho</dc:creator>
  <cp:lastModifiedBy>Blumbach, Silke</cp:lastModifiedBy>
  <cp:revision>4</cp:revision>
  <cp:lastPrinted>2018-11-09T07:19:00Z</cp:lastPrinted>
  <dcterms:created xsi:type="dcterms:W3CDTF">2019-04-05T08:35:00Z</dcterms:created>
  <dcterms:modified xsi:type="dcterms:W3CDTF">2019-04-11T06:49:00Z</dcterms:modified>
</cp:coreProperties>
</file>