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76" w:rsidRDefault="00810B76" w:rsidP="00810B76">
      <w:pPr>
        <w:pStyle w:val="PlainText"/>
        <w:rPr>
          <w:rFonts w:ascii="Courier New" w:hAnsi="Courier New" w:cs="Courier New"/>
          <w:sz w:val="20"/>
          <w:szCs w:val="20"/>
        </w:rPr>
      </w:pPr>
      <w:r>
        <w:rPr>
          <w:rFonts w:ascii="Courier New" w:hAnsi="Courier New"/>
          <w:sz w:val="20"/>
        </w:rPr>
        <w:t xml:space="preserve">1. ------IND- 2017 0322 SK- EL- ------ 20190416 --- --- FINAL </w:t>
      </w:r>
    </w:p>
    <w:p w:rsidR="00810B76" w:rsidRDefault="00810B76" w:rsidP="00B3535A">
      <w:pPr>
        <w:widowControl/>
        <w:shd w:val="clear" w:color="auto" w:fill="FFFFFF"/>
        <w:spacing w:before="120"/>
        <w:jc w:val="center"/>
        <w:rPr>
          <w:color w:val="000000"/>
          <w:sz w:val="44"/>
          <w:szCs w:val="44"/>
        </w:rPr>
      </w:pPr>
    </w:p>
    <w:p w:rsidR="00E16F77" w:rsidRPr="00D06F2A" w:rsidRDefault="00E16F77" w:rsidP="00B3535A">
      <w:pPr>
        <w:widowControl/>
        <w:shd w:val="clear" w:color="auto" w:fill="FFFFFF"/>
        <w:spacing w:before="120"/>
        <w:jc w:val="center"/>
        <w:rPr>
          <w:color w:val="000000"/>
          <w:sz w:val="44"/>
          <w:szCs w:val="44"/>
        </w:rPr>
      </w:pPr>
      <w:r>
        <w:rPr>
          <w:color w:val="000000"/>
          <w:sz w:val="44"/>
        </w:rPr>
        <w:t xml:space="preserve">ΣΥΛΛΟΓΗ </w:t>
      </w:r>
      <w:r w:rsidR="00993D3C">
        <w:rPr>
          <w:color w:val="00000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v:imagedata r:id="rId8" o:title="ciernobiele" croptop="6421f" cropbottom="19239f" cropleft="1351f" cropright="54047f"/>
          </v:shape>
        </w:pict>
      </w:r>
      <w:r>
        <w:rPr>
          <w:color w:val="000000"/>
          <w:sz w:val="44"/>
        </w:rPr>
        <w:t xml:space="preserve"> ΝΟΜΟΘΕΣΙΑΣ</w:t>
      </w:r>
    </w:p>
    <w:p w:rsidR="00E16F77" w:rsidRPr="00D06F2A" w:rsidRDefault="00E16F77" w:rsidP="00B3535A">
      <w:pPr>
        <w:widowControl/>
        <w:shd w:val="clear" w:color="auto" w:fill="FFFFFF"/>
        <w:spacing w:before="120"/>
        <w:jc w:val="center"/>
        <w:rPr>
          <w:color w:val="000000"/>
        </w:rPr>
      </w:pPr>
      <w:r>
        <w:rPr>
          <w:color w:val="000000"/>
          <w:sz w:val="32"/>
        </w:rPr>
        <w:t>ΤΗΣ ΣΛΟΒΑΚΙΚΗΣ ΔΗΜΟΚΡΑΤΙΑΣ</w:t>
      </w:r>
    </w:p>
    <w:p w:rsidR="00E16F77" w:rsidRPr="00D06F2A" w:rsidRDefault="00E16F77" w:rsidP="00B3535A">
      <w:pPr>
        <w:widowControl/>
        <w:shd w:val="clear" w:color="auto" w:fill="FFFFFF"/>
        <w:spacing w:before="120"/>
        <w:jc w:val="center"/>
        <w:rPr>
          <w:color w:val="000000"/>
          <w:sz w:val="28"/>
          <w:szCs w:val="28"/>
        </w:rPr>
      </w:pPr>
      <w:r>
        <w:rPr>
          <w:color w:val="000000"/>
          <w:sz w:val="28"/>
        </w:rPr>
        <w:t>Τόμος 2018</w:t>
      </w:r>
    </w:p>
    <w:p w:rsidR="00E16F77" w:rsidRPr="00D06F2A" w:rsidRDefault="00E16F77" w:rsidP="00CA7C88">
      <w:pPr>
        <w:widowControl/>
        <w:pBdr>
          <w:top w:val="single" w:sz="4" w:space="1" w:color="auto"/>
        </w:pBdr>
        <w:shd w:val="clear" w:color="auto" w:fill="FFFFFF"/>
        <w:spacing w:before="120"/>
        <w:ind w:left="4678" w:right="-142" w:hanging="4820"/>
        <w:rPr>
          <w:color w:val="000000"/>
        </w:rPr>
      </w:pPr>
      <w:r>
        <w:rPr>
          <w:color w:val="000000"/>
        </w:rPr>
        <w:t xml:space="preserve">Δημοσιεύθηκε: </w:t>
      </w:r>
      <w:r>
        <w:t>7 Μαρτίου 2018</w:t>
      </w:r>
      <w:r>
        <w:tab/>
        <w:t>Χρονική έκδοση της νομοθεσίας που ισχύει από:</w:t>
      </w:r>
      <w:r w:rsidR="00CA7C88">
        <w:rPr>
          <w:color w:val="000000"/>
        </w:rPr>
        <w:br/>
      </w:r>
      <w:r>
        <w:rPr>
          <w:color w:val="000000"/>
        </w:rPr>
        <w:t>1 Απριλίου 2018 έως 31 Μαρτίου 2020</w:t>
      </w:r>
    </w:p>
    <w:p w:rsidR="00E16F77" w:rsidRPr="00D06F2A" w:rsidRDefault="00E16F77" w:rsidP="00B3535A">
      <w:pPr>
        <w:widowControl/>
        <w:shd w:val="clear" w:color="auto" w:fill="FFFFFF"/>
        <w:spacing w:before="480" w:after="240"/>
        <w:jc w:val="center"/>
        <w:rPr>
          <w:b/>
          <w:bCs/>
          <w:color w:val="000000"/>
        </w:rPr>
      </w:pPr>
      <w:r>
        <w:rPr>
          <w:b/>
          <w:color w:val="000000"/>
        </w:rPr>
        <w:t>Το περιεχόμενο του εγγράφου είναι νομικά δεσμευτικό.</w:t>
      </w:r>
    </w:p>
    <w:p w:rsidR="00E16F77" w:rsidRPr="00D06F2A" w:rsidRDefault="00E16F77" w:rsidP="00B3535A">
      <w:pPr>
        <w:widowControl/>
        <w:shd w:val="clear" w:color="auto" w:fill="FFFFFF"/>
        <w:spacing w:before="120"/>
        <w:jc w:val="center"/>
        <w:rPr>
          <w:color w:val="000000"/>
        </w:rPr>
      </w:pPr>
      <w:r>
        <w:rPr>
          <w:b/>
          <w:color w:val="000000"/>
        </w:rPr>
        <w:t>60</w:t>
      </w:r>
    </w:p>
    <w:p w:rsidR="00E16F77" w:rsidRPr="00E35FA4" w:rsidRDefault="00E16F77" w:rsidP="00B3535A">
      <w:pPr>
        <w:widowControl/>
        <w:shd w:val="clear" w:color="auto" w:fill="FFFFFF"/>
        <w:spacing w:before="120"/>
        <w:jc w:val="center"/>
        <w:rPr>
          <w:b/>
          <w:bCs/>
          <w:color w:val="000000"/>
        </w:rPr>
      </w:pPr>
      <w:r>
        <w:rPr>
          <w:b/>
          <w:color w:val="000000"/>
        </w:rPr>
        <w:t>ΝΟΜΟΣ</w:t>
      </w:r>
    </w:p>
    <w:p w:rsidR="00E16F77" w:rsidRPr="00D06F2A" w:rsidRDefault="00E16F77" w:rsidP="00B3535A">
      <w:pPr>
        <w:widowControl/>
        <w:shd w:val="clear" w:color="auto" w:fill="FFFFFF"/>
        <w:spacing w:before="120"/>
        <w:jc w:val="center"/>
        <w:rPr>
          <w:color w:val="000000"/>
        </w:rPr>
      </w:pPr>
      <w:r>
        <w:rPr>
          <w:color w:val="000000"/>
        </w:rPr>
        <w:t>της 6ης Φεβρουαρίου 2018</w:t>
      </w:r>
    </w:p>
    <w:p w:rsidR="00E16F77" w:rsidRPr="00E35FA4" w:rsidRDefault="00E16F77" w:rsidP="00B3535A">
      <w:pPr>
        <w:widowControl/>
        <w:shd w:val="clear" w:color="auto" w:fill="FFFFFF"/>
        <w:spacing w:before="120"/>
        <w:jc w:val="center"/>
        <w:rPr>
          <w:b/>
          <w:bCs/>
          <w:color w:val="000000"/>
        </w:rPr>
      </w:pPr>
      <w:r>
        <w:rPr>
          <w:b/>
          <w:color w:val="000000"/>
        </w:rPr>
        <w:t>σχετικά με την τεχνική τυποποίηση</w:t>
      </w:r>
    </w:p>
    <w:p w:rsidR="00E16F77" w:rsidRPr="00D06F2A" w:rsidRDefault="00E16F77" w:rsidP="00B3535A">
      <w:pPr>
        <w:widowControl/>
        <w:shd w:val="clear" w:color="auto" w:fill="FFFFFF"/>
        <w:spacing w:before="480" w:after="240"/>
        <w:rPr>
          <w:color w:val="000000"/>
        </w:rPr>
      </w:pPr>
      <w:r>
        <w:rPr>
          <w:color w:val="000000"/>
        </w:rPr>
        <w:t>Το Εθνικό Συμβούλιο της Σλοβακικής Δημοκρατίας ψήφισε τον ακόλουθο νόμο:</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1</w:t>
      </w:r>
    </w:p>
    <w:p w:rsidR="00E16F77" w:rsidRPr="00E35FA4" w:rsidRDefault="00E16F77" w:rsidP="00BB519B">
      <w:pPr>
        <w:keepNext/>
        <w:keepLines/>
        <w:widowControl/>
        <w:shd w:val="clear" w:color="auto" w:fill="FFFFFF"/>
        <w:jc w:val="center"/>
        <w:rPr>
          <w:b/>
          <w:bCs/>
          <w:color w:val="000000"/>
        </w:rPr>
      </w:pPr>
      <w:r>
        <w:rPr>
          <w:b/>
          <w:color w:val="000000"/>
        </w:rPr>
        <w:t>Αντικείμενο</w:t>
      </w:r>
    </w:p>
    <w:p w:rsidR="00E16F77" w:rsidRPr="00D06F2A" w:rsidRDefault="00E16F77" w:rsidP="00D65D8D">
      <w:pPr>
        <w:keepNext/>
        <w:keepLines/>
        <w:widowControl/>
        <w:shd w:val="clear" w:color="auto" w:fill="FFFFFF"/>
        <w:spacing w:before="120"/>
        <w:rPr>
          <w:color w:val="000000"/>
        </w:rPr>
      </w:pPr>
      <w:r>
        <w:rPr>
          <w:color w:val="000000"/>
        </w:rPr>
        <w:t>Ο παρών νόμος διέπει:</w:t>
      </w:r>
    </w:p>
    <w:p w:rsidR="00B3535A" w:rsidRPr="00D06F2A" w:rsidRDefault="00B3535A" w:rsidP="00B3535A">
      <w:pPr>
        <w:widowControl/>
        <w:shd w:val="clear" w:color="auto" w:fill="FFFFFF"/>
        <w:tabs>
          <w:tab w:val="left" w:pos="283"/>
        </w:tabs>
        <w:spacing w:before="120"/>
        <w:ind w:left="284" w:hanging="284"/>
        <w:jc w:val="both"/>
        <w:rPr>
          <w:color w:val="000000"/>
        </w:rPr>
      </w:pPr>
      <w:r>
        <w:t>α)</w:t>
      </w:r>
      <w:r>
        <w:tab/>
        <w:t>το πεδίο αρμοδιότητας της Σλοβακικής Υπηρεσίας Προτύπων, Μετρολογίας και Δοκιμών (εφεξής: η «Υπηρεσία») στον τομέα της τεχνικής τυποποίησης,</w:t>
      </w:r>
    </w:p>
    <w:p w:rsidR="00B3535A" w:rsidRPr="00D06F2A" w:rsidRDefault="00B3535A" w:rsidP="00B3535A">
      <w:pPr>
        <w:widowControl/>
        <w:shd w:val="clear" w:color="auto" w:fill="FFFFFF"/>
        <w:tabs>
          <w:tab w:val="left" w:pos="283"/>
        </w:tabs>
        <w:spacing w:before="120"/>
        <w:ind w:left="284" w:hanging="284"/>
        <w:jc w:val="both"/>
        <w:rPr>
          <w:color w:val="000000"/>
        </w:rPr>
      </w:pPr>
      <w:r>
        <w:t>β)</w:t>
      </w:r>
      <w:r>
        <w:tab/>
        <w:t>τα δικαιώματα και τις υποχρεώσεις της Υπηρεσίας ως σλοβακικός εθνικός οργανισμός τυποποίησης,</w:t>
      </w:r>
    </w:p>
    <w:p w:rsidR="00B3535A" w:rsidRPr="00D06F2A" w:rsidRDefault="00B3535A" w:rsidP="00B3535A">
      <w:pPr>
        <w:widowControl/>
        <w:shd w:val="clear" w:color="auto" w:fill="FFFFFF"/>
        <w:tabs>
          <w:tab w:val="left" w:pos="283"/>
        </w:tabs>
        <w:spacing w:before="120"/>
        <w:ind w:left="284" w:hanging="284"/>
        <w:jc w:val="both"/>
        <w:rPr>
          <w:color w:val="000000"/>
        </w:rPr>
      </w:pPr>
      <w:r>
        <w:t>γ)</w:t>
      </w:r>
      <w:r>
        <w:tab/>
        <w:t>την εκπόνηση, παροχή, αναπαραγωγή, διανομή, επαλήθευση και ακύρωση σλοβακικών τεχνικών προτύπων και πληροφοριακών εγγράφων τεχνικών προτύπων,</w:t>
      </w:r>
    </w:p>
    <w:p w:rsidR="00B3535A" w:rsidRPr="00D06F2A" w:rsidRDefault="00B3535A" w:rsidP="00B3535A">
      <w:pPr>
        <w:widowControl/>
        <w:shd w:val="clear" w:color="auto" w:fill="FFFFFF"/>
        <w:tabs>
          <w:tab w:val="left" w:pos="283"/>
        </w:tabs>
        <w:spacing w:before="120"/>
        <w:ind w:left="284" w:hanging="284"/>
        <w:jc w:val="both"/>
        <w:rPr>
          <w:color w:val="000000"/>
        </w:rPr>
      </w:pPr>
      <w:r>
        <w:t>δ)</w:t>
      </w:r>
      <w:r>
        <w:tab/>
        <w:t>τα έξοδα εκπόνησης σλοβακικών τεχνικών προτύπων και πληροφοριακών εγγράφων τεχνικών προτύπων,</w:t>
      </w:r>
    </w:p>
    <w:p w:rsidR="00B3535A" w:rsidRPr="00D06F2A" w:rsidRDefault="00B3535A" w:rsidP="00B3535A">
      <w:pPr>
        <w:widowControl/>
        <w:shd w:val="clear" w:color="auto" w:fill="FFFFFF"/>
        <w:tabs>
          <w:tab w:val="left" w:pos="283"/>
        </w:tabs>
        <w:spacing w:before="120"/>
        <w:ind w:left="284" w:hanging="284"/>
        <w:jc w:val="both"/>
        <w:rPr>
          <w:color w:val="000000"/>
        </w:rPr>
      </w:pPr>
      <w:r>
        <w:t>ε)</w:t>
      </w:r>
      <w:r>
        <w:tab/>
        <w:t>την προστασία σλοβακικών τεχνικών προτύπων και πληροφοριακών εγγράφων τεχνικών προτύπων,</w:t>
      </w:r>
    </w:p>
    <w:p w:rsidR="00B3535A" w:rsidRPr="00D06F2A" w:rsidRDefault="00B3535A" w:rsidP="00B3535A">
      <w:pPr>
        <w:widowControl/>
        <w:shd w:val="clear" w:color="auto" w:fill="FFFFFF"/>
        <w:tabs>
          <w:tab w:val="left" w:pos="283"/>
        </w:tabs>
        <w:spacing w:before="120"/>
        <w:ind w:left="284" w:hanging="284"/>
        <w:jc w:val="both"/>
        <w:rPr>
          <w:color w:val="000000"/>
        </w:rPr>
      </w:pPr>
      <w:r>
        <w:t>στ)</w:t>
      </w:r>
      <w:r>
        <w:tab/>
        <w:t>την παροχή λοιπών τεχνικών προτύπων και λοιπών πληροφοριακών εγγράφων τεχνικών προτύπων,</w:t>
      </w:r>
    </w:p>
    <w:p w:rsidR="00E16F77" w:rsidRPr="00D06F2A" w:rsidRDefault="00E16F77" w:rsidP="00B3535A">
      <w:pPr>
        <w:widowControl/>
        <w:shd w:val="clear" w:color="auto" w:fill="FFFFFF"/>
        <w:tabs>
          <w:tab w:val="left" w:pos="283"/>
        </w:tabs>
        <w:spacing w:before="120"/>
        <w:ind w:left="284" w:hanging="284"/>
        <w:jc w:val="both"/>
        <w:rPr>
          <w:color w:val="000000"/>
        </w:rPr>
      </w:pPr>
      <w:r>
        <w:t>ζ)</w:t>
      </w:r>
      <w:r>
        <w:tab/>
        <w:t>την επίβλεψη της συμμόρφωσης προς τον παρόντα νόμο,</w:t>
      </w:r>
    </w:p>
    <w:p w:rsidR="00E16F77" w:rsidRPr="00D06F2A" w:rsidRDefault="00E16F77" w:rsidP="00B3535A">
      <w:pPr>
        <w:widowControl/>
        <w:shd w:val="clear" w:color="auto" w:fill="FFFFFF"/>
        <w:tabs>
          <w:tab w:val="left" w:pos="283"/>
        </w:tabs>
        <w:spacing w:before="120"/>
        <w:ind w:left="284" w:hanging="284"/>
        <w:jc w:val="both"/>
        <w:rPr>
          <w:color w:val="000000"/>
        </w:rPr>
      </w:pPr>
      <w:r>
        <w:t>η)</w:t>
      </w:r>
      <w:r>
        <w:tab/>
        <w:t>την επιβολή προστίμων.</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2</w:t>
      </w:r>
    </w:p>
    <w:p w:rsidR="00E16F77" w:rsidRPr="008015BE" w:rsidRDefault="00E16F77" w:rsidP="00BB519B">
      <w:pPr>
        <w:keepNext/>
        <w:keepLines/>
        <w:widowControl/>
        <w:shd w:val="clear" w:color="auto" w:fill="FFFFFF"/>
        <w:jc w:val="center"/>
        <w:rPr>
          <w:b/>
          <w:bCs/>
          <w:color w:val="000000"/>
        </w:rPr>
      </w:pPr>
      <w:r>
        <w:rPr>
          <w:b/>
          <w:color w:val="000000"/>
        </w:rPr>
        <w:t>Ορισμοί</w:t>
      </w:r>
    </w:p>
    <w:p w:rsidR="00E16F77" w:rsidRPr="00D06F2A" w:rsidRDefault="00E16F77" w:rsidP="00D65D8D">
      <w:pPr>
        <w:keepNext/>
        <w:keepLines/>
        <w:widowControl/>
        <w:shd w:val="clear" w:color="auto" w:fill="FFFFFF"/>
        <w:spacing w:before="120"/>
        <w:rPr>
          <w:color w:val="000000"/>
        </w:rPr>
      </w:pPr>
      <w:r>
        <w:rPr>
          <w:color w:val="000000"/>
        </w:rPr>
        <w:t>Για τους σκοπούς του παρόντος νόμου, ισχύουν οι ακόλουθοι ορισμοί</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«άλλο τεχνικό πρότυπο»: ένα τεχνικό πρότυπο που αναφέρεται σε ξεχωριστή νομοθεσία</w:t>
      </w:r>
      <w:r>
        <w:rPr>
          <w:color w:val="000000"/>
          <w:vertAlign w:val="superscript"/>
        </w:rPr>
        <w:t>1)</w:t>
      </w:r>
      <w:r>
        <w:rPr>
          <w:color w:val="000000"/>
        </w:rPr>
        <w:t xml:space="preserve"> εκτός από γνήσιο σλοβακικό τεχνικό πρότυπο,</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 xml:space="preserve">«άλλο πληροφοριακό έγγραφο τεχνικού προτύπου»: ένα έγγραφο τυποποίησης που εκπονήθηκε από διεθνή οργανισμό τυποποίησης το οποίο δεν έγινε δεκτό από την Υπηρεσία, ως τον σλοβακικό </w:t>
      </w:r>
      <w:r>
        <w:rPr>
          <w:color w:val="000000"/>
        </w:rPr>
        <w:lastRenderedPageBreak/>
        <w:t>εθνικό οργανισμό τυποποίησης, ως μέρος του συστήματος των σλοβακικών τεχνικών προτύπων σύμφωνα με το άρθρο 4 παράγραφος 1 στοιχείο ζ),</w:t>
      </w:r>
    </w:p>
    <w:p w:rsidR="00E16F77" w:rsidRPr="00D06F2A" w:rsidRDefault="00E16F77" w:rsidP="003E6A72">
      <w:pPr>
        <w:widowControl/>
        <w:numPr>
          <w:ilvl w:val="0"/>
          <w:numId w:val="1"/>
        </w:numPr>
        <w:shd w:val="clear" w:color="auto" w:fill="FFFFFF"/>
        <w:tabs>
          <w:tab w:val="left" w:pos="283"/>
        </w:tabs>
        <w:autoSpaceDE/>
        <w:autoSpaceDN/>
        <w:adjustRightInd/>
        <w:spacing w:before="120"/>
        <w:ind w:left="284" w:hanging="284"/>
        <w:rPr>
          <w:color w:val="000000"/>
        </w:rPr>
      </w:pPr>
      <w:r>
        <w:rPr>
          <w:color w:val="000000"/>
        </w:rPr>
        <w:t>«έννομο συμφέρον»: ασφάλεια, υγεία, ζωή και ιδιοκτησία προσώπων και ευνοϊκό περιβάλλον.</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3</w:t>
      </w:r>
    </w:p>
    <w:p w:rsidR="00E16F77" w:rsidRPr="008015BE" w:rsidRDefault="00E16F77" w:rsidP="00BB519B">
      <w:pPr>
        <w:keepNext/>
        <w:keepLines/>
        <w:widowControl/>
        <w:shd w:val="clear" w:color="auto" w:fill="FFFFFF"/>
        <w:jc w:val="center"/>
        <w:rPr>
          <w:b/>
          <w:bCs/>
          <w:color w:val="000000"/>
        </w:rPr>
      </w:pPr>
      <w:r>
        <w:rPr>
          <w:b/>
          <w:color w:val="000000"/>
        </w:rPr>
        <w:t xml:space="preserve">Τεχνικό πρότυπο και πληροφοριακό έγγραφο τεχνικού προτύπου </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«Τεχνικό πρότυπο»: τεχνικό πρότυπο που αναφέρεται σε ξεχωριστή νομοθεσία.</w:t>
      </w:r>
      <w:r>
        <w:rPr>
          <w:color w:val="000000"/>
          <w:vertAlign w:val="superscript"/>
        </w:rPr>
        <w:t>2)</w:t>
      </w:r>
      <w:r>
        <w:rPr>
          <w:color w:val="000000"/>
        </w:rPr>
        <w:t xml:space="preserve"> Ένα τεχνικό πρότυπο δεν αποτελεί τεχνικό κανονισμό.</w:t>
      </w:r>
      <w:r>
        <w:rPr>
          <w:color w:val="000000"/>
          <w:vertAlign w:val="superscript"/>
        </w:rPr>
        <w:t>3)</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«Σλοβακικό τεχνικό πρότυπο»: τεχνικό πρότυπο που έγινε δεκτό από την Υπηρεσία, ως τον σλοβακικό εθνικό οργανισμό τυποποίησης, στο πλαίσιο του παρόντος νόμου ως μέρος του συστήματος σλοβακικών τεχνικών προτύπων.</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«Σλοβακικό τεχνικό προκαταρκτικό πρότυπο»: σλοβακικό τεχνικό πρότυπο με χρονικά περιορισμένη ισχύ, σκοπός του οποίου είναι να επαληθεύσει την καταλληλότητα και σκοπιμότητα του τεχνικού περιεχομένου του προτύπου.</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«Γνήσιο σλοβακικό τεχνικό πρότυπο»: σλοβακικό τεχνικό πρότυπο που διέπει έναν τομέα ο οποίος δεν καλύπτεται από τις διατάξεις ευρωπαϊκών προτύπων</w:t>
      </w:r>
      <w:r>
        <w:rPr>
          <w:color w:val="000000"/>
          <w:vertAlign w:val="superscript"/>
        </w:rPr>
        <w:t>4)</w:t>
      </w:r>
      <w:r>
        <w:rPr>
          <w:color w:val="000000"/>
        </w:rPr>
        <w:t xml:space="preserve"> ή διεθνών προτύπων</w:t>
      </w:r>
      <w:r>
        <w:rPr>
          <w:color w:val="000000"/>
          <w:vertAlign w:val="superscript"/>
        </w:rPr>
        <w:t>5)</w:t>
      </w:r>
      <w:r>
        <w:rPr>
          <w:color w:val="000000"/>
        </w:rPr>
        <w:t xml:space="preserve"> το οποίο έχει εκπονηθεί με βάση μια απαίτηση του κοινού ή μιας δημόσιας αρχής.</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«Πληροφοριακό έγγραφο τεχνικού προτύπου»: έγγραφο τυποποίησης που εκπονήθηκε από έναν ευρωπαϊκό οργανισμό τυποποίησης,</w:t>
      </w:r>
      <w:r>
        <w:rPr>
          <w:color w:val="000000"/>
          <w:vertAlign w:val="superscript"/>
        </w:rPr>
        <w:t>6)</w:t>
      </w:r>
      <w:r>
        <w:rPr>
          <w:color w:val="000000"/>
        </w:rPr>
        <w:t xml:space="preserve"> ένα διεθνή οργανισμό τυποποίησης,</w:t>
      </w:r>
      <w:r>
        <w:rPr>
          <w:color w:val="000000"/>
          <w:vertAlign w:val="superscript"/>
        </w:rPr>
        <w:t>7)</w:t>
      </w:r>
      <w:r>
        <w:rPr>
          <w:color w:val="000000"/>
        </w:rPr>
        <w:t xml:space="preserve"> ή την Υπηρεσία, ως τον σλοβακικό εθνικό οργανισμό τυποποίησης, και έγινε δεκτό από τον σλοβακικό εθνικό οργανισμό τυποποίησης ως μέρος του συστήματος των σλοβακικών τεχνικών προτύπων. Τα πληροφοριακά έγγραφα τεχνικών προτύπων δεν θεωρούνται σλοβακικά τεχνικά πρότυπα.</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«Πληροφοριακό έγγραφο γνήσιου τεχνικού προτύπου»: πληροφοριακό έγγραφο τεχνικού προτύπου που διέπει έναν τομέα ο οποίος δεν καλύπτεται από τυχόν διατάξεις εγγράφων τυποποίησης που εκπονήθηκαν από ευρωπαϊκό οργανισμό τυποποίησης ή διεθνή οργανισμό τυποποίησης, το οποίο εκπονήθηκε κατ’ απαίτηση του κοινού ή μιας δημόσιας αρχής.</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«Τροποποίηση τεχνικού προτύπου»: τεχνικό πρότυπο που προορίζεται ως τροποποίηση από ευρωπαϊκό οργανισμό τυποποίησης, διεθνή οργανισμό τυποποίησης ή την Υπηρεσία, ως τον σλοβακικό εθνικό οργανισμό τυποποίησης, το οποίο προβαίνει σε ουσιαστικές τροποποιήσεις ενός τεχνικού προτύπου.</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«Διόρθωση τεχνικού προτύπου» ή «διόρθωση πληροφοριακού εγγράφου τεχνικού προτύπου»: ένα έγγραφο που διορθώνει ένα τυπικό σφάλμα σε τεχνικό πρότυπο ή πληροφοριακό έγγραφο τεχνικού προτύπου, το οποίο προορίζεται ως διόρθωση από έναν ευρωπαϊκό οργανισμό τυποποίησης, ένα διεθνή οργανισμό τυποποίησης ή την Υπηρεσία, ως τον σλοβακικό εθνικό οργανισμό τυποποίησης.</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«Σύστημα σλοβακικών τεχνικών προτύπων»: το σύνολο των πλήρων εκδόσεων σλοβακικών τεχνικών προτύπων, πληροφοριακών εγγράφων τεχνικών προτύπων και των διορθωτικών τους.</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Η συμμόρφωση με τα σλοβακικά τεχνικά πρότυπα και πληροφοριακά έγγραφα τεχνικών προτύπων είναι προαιρετική.</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Τα σλοβακικά τεχνικά πρότυπα χρησιμοποιούν το σύμβολο «STN» και τα σλοβακικά τεχνικά προκαταρκτικά πρότυπα χρησιμοποιούν το σύμβολο «STN P». Τα πληροφοριακά έγγραφα τεχνικών προτύπων χρησιμοποιούν το σύμβολο «TNI». Τα σύμβολα προτύπων «STN», «STN P» και «TNI» δίδονται στο παράρτημα. Πρόσθετες σημάνσεις που μπορούν να προστεθούν στα σύμβολα «STN» ή «TNI» δημοσιεύονται από την Υπηρεσία, ως τον σλοβακικό εθνικό οργανισμό τυποποίησης, στον δικτυακό τόπο της.</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Τα σλοβακικά τεχνικά πρότυπα και πληροφοριακά έγγραφα τεχνικών προτύπων δεν είναι διαθέσιμα σύμφωνα με ξεχωριστή νομοθεσία</w:t>
      </w:r>
      <w:r>
        <w:rPr>
          <w:color w:val="000000"/>
          <w:vertAlign w:val="superscript"/>
        </w:rPr>
        <w:t>8)</w:t>
      </w:r>
      <w:r>
        <w:rPr>
          <w:color w:val="000000"/>
        </w:rPr>
        <w:t xml:space="preserve"> πλην του τεχνικού προτύπου που αναφέρεται στο άρθρο 12 παράγραφος 2.</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Αν μια κυβερνητική αρχή προτίθεται να παραπέμψει σε σλοβακικό τεχνικό πρότυπο στο σχέδιο κειμένου νόμου γενικής εφαρμογής, γνωστοποιεί σχετικά στην Υπηρεσία, ως τον σλοβακικό εθνικό οργανισμό τυποποίησης, το αργότερο πριν από την έκδοση του νόμου γενικής εφαρμογής· οι πράξεις της κυβερνητικής αρχής συμμορφώνονται με την ξεχωριστή νομοθεσία</w:t>
      </w:r>
      <w:r>
        <w:rPr>
          <w:color w:val="000000"/>
          <w:vertAlign w:val="superscript"/>
        </w:rPr>
        <w:t>9)</w:t>
      </w:r>
      <w:r>
        <w:rPr>
          <w:color w:val="000000"/>
        </w:rPr>
        <w:t>.</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Άρθρο 4</w:t>
      </w:r>
    </w:p>
    <w:p w:rsidR="00E16F77" w:rsidRPr="008015BE" w:rsidRDefault="00E16F77" w:rsidP="00BB519B">
      <w:pPr>
        <w:keepNext/>
        <w:keepLines/>
        <w:widowControl/>
        <w:shd w:val="clear" w:color="auto" w:fill="FFFFFF"/>
        <w:jc w:val="center"/>
        <w:rPr>
          <w:b/>
          <w:bCs/>
          <w:color w:val="000000"/>
        </w:rPr>
      </w:pPr>
      <w:r>
        <w:rPr>
          <w:b/>
          <w:color w:val="000000"/>
        </w:rPr>
        <w:t>Η Υπηρεσία</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Η Υπηρεσία</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χαρακτηρίζει τα σλοβακικά τεχνικά πρότυπα ως κατάλληλα για αξιολόγηση της συμμόρφωσης,</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δημοσιεύει ανακοινώσεις για την έγκριση, ακύρωση και διόρθωση σλοβακικών τεχνικών προτύπων και την έγκριση, ακύρωση και διόρθωση πληροφοριακών εγγράφων τεχνικών προτύπων και ανακοινώσεις σλοβακικών τεχνικών προτύπων κατάλληλες για αξιολόγηση της συμμόρφωσης στην Επίσημη Εφημερίδα της Σλοβακικής Υπηρεσίας Προτύπων, Μετρολογίας και Δοκιμών (εφεξής: «Επίσημη Εφημερίδα») ή, σε δικαιολογημένες περιπτώσεις, στον δικτυακό τόπο της,</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γνωστοποιεί</w:t>
      </w:r>
      <w:r>
        <w:rPr>
          <w:color w:val="000000"/>
          <w:vertAlign w:val="superscript"/>
        </w:rPr>
        <w:t>10)</w:t>
      </w:r>
      <w:r>
        <w:rPr>
          <w:color w:val="000000"/>
        </w:rPr>
        <w:t xml:space="preserve"> στην Επιτροπή τον σλοβακικό εθνικό οργανισμό τυποποίησης,</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χρηματοδοτεί τη λειτουργία του σλοβακικού εθνικού οργανισμού τυποποίησης και πληρώνει τα τέλη του σλοβακικού εθνικού οργανισμού τυποποίησης για τη συμμετοχή σε ευρωπαϊκές οργανώσεις τυποποίησης και διεθνείς οργανισμούς τυποποίησης,</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επιβλέπει τη συμμόρφωση με τον παρόντα νόμο,</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ασχολείται με παραβάσεις και λοιπές διοικητικές παραβάσεις και επιβάλλει πρόστιμα σύμφωνα με τις διατάξεις των άρθρων 16 και 17,</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είναι ο σλοβακικός εθνικός οργανισμός τυποποίησης</w:t>
      </w:r>
      <w:r>
        <w:rPr>
          <w:color w:val="000000"/>
          <w:vertAlign w:val="superscript"/>
        </w:rPr>
        <w:t>11)</w:t>
      </w:r>
      <w:r>
        <w:rPr>
          <w:color w:val="000000"/>
        </w:rPr>
        <w:t>.</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Η Υπηρεσία, ως ο σλοβακικός εθνικός οργανισμός τυποποίησης</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εκπληρώνει τις υποχρεώσεις που προκύπτουν από τη συμμετοχή της σε ευρωπαϊκές οργανώσεις τυποποίησης και διεθνείς οργανισμούς τυποποίησης,</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διευκολύνει τη συμμετοχή στην εκπόνηση και ακύρωση ευρωπαϊκών προτύπων, παραδοτέων ευρωπαϊκής τυποποίησης</w:t>
      </w:r>
      <w:r>
        <w:rPr>
          <w:color w:val="000000"/>
          <w:vertAlign w:val="superscript"/>
        </w:rPr>
        <w:t>12)</w:t>
      </w:r>
      <w:r>
        <w:rPr>
          <w:color w:val="000000"/>
        </w:rPr>
        <w:t>, διεθνών προτύπων και λοιπών πληροφοριακών εγγράφων τεχνικών προτύπων από οποιοδήποτε πρόσωπο πληροί τις απαιτήσεις και τους κανόνες του ευρωπαϊκού οργανισμού τυποποίησης και του διεθνούς οργανισμού τυποποίησης ή τις απαιτήσεις της Υπηρεσίας, του σλοβακικού εθνικού οργανισμού τυποποίησης, όπως δημοσιεύτηκε στον δικτυακό τόπο της Υπηρεσίας, ως του σλοβακικού εθνικού οργανισμού τυποποίησης, με τους εξής τρόπους:</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δημοσιεύοντας στον δικτυακό τόπο κοινοποιήσεις σχεδίων ευρωπαϊκών προτύπων, σχεδίων παραδοτέων ευρωπαϊκής τυποποίησης, σχεδίων διεθνών προτύπων και σχεδίων άλλων πληροφοριακών εγγράφων τεχνικών προτύπων για δημόσια διαβούλευση το αργότερο ένα μήνα πριν από τη λήξη της προθεσμίας που ορίζεται στην ανακοίνωση,</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εξασφαλίζοντας τη δημόσια διαβούλευση σχετικά με τα σχέδια ευρωπαϊκών προτύπων, τα σχέδια παραδοτέων ευρωπαϊκής τυποποίησης, τα σχέδια διεθνών προτύπων και άλλα πληροφοριακά έγγραφα τεχνικού προτύπου με οποιονδήποτε ζητήσει τη συμμετοχή στη δημόσια διαβούλευση έως την προθεσμία που ορίζεται στην ανακοίνωση που δημοσιεύθηκε στον δικτυακό τόπο της Υπηρεσίας,</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παρέχοντας κοινοποιήσεις στον δικτυακό της τόπο για κάθε ευρωπαϊκό πρότυπο, παραδοτέα ευρωπαϊκής τυποποίησης, διεθνή πρότυπα και λοιπά πληροφοριακά έγγραφα τεχνικών προτύπων που έχουν εκδοθεί,</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καθιστά διαθέσιμα στον δικτυακό τόπο της τα κριτήρια εκπόνησης σλοβακικών τεχνικών προτύπων και πληροφοριακών εγγράφων τεχνικών προτύπων στη γλώσσα του κράτους μέλους μετά την έγκριση από το Τεχνικό Συμβούλιο Τυποποίησης (εφεξής: το «Συμβούλιο») που συστήθηκε σύμφωνα με το άρθρο 5,</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διασφαλίζει ότι τα σλοβακικά τεχνικά πρότυπα και πληροφοριακά έγγραφα τεχνικών προτύπων εκπονούνται και ακυρώνονται σύμφωνα με τους κανόνες που προβλέπονται από ευρωπαϊκές οργανώσεις τυποποίησης ή διεθνείς οργανισμούς τυποποίησης ή σύμφωνα με τους κανόνες που προβλέπονται από την Υπηρεσία, ως τον σλοβακικό εθνικό οργανισμό τυποποίησης, </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επισημαίνει τα σλοβακικά τεχνικά πρότυπα, τα σλοβακικά τεχνικά προκαταρκτικά πρότυπα και τα πληροφοριακά έγγραφα τεχνικών προτύπων σύμφωνα με το άρθρο 3 παράγραφος 11,</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επαληθεύει, σε συνεργασία με ενδιαφερόμενα μέρη</w:t>
      </w:r>
      <w:r>
        <w:rPr>
          <w:color w:val="000000"/>
          <w:vertAlign w:val="superscript"/>
        </w:rPr>
        <w:t>13)</w:t>
      </w:r>
      <w:r>
        <w:rPr>
          <w:color w:val="000000"/>
        </w:rPr>
        <w:t>, κατά πόσο το περιεχόμενο των σλοβακικών τεχνικών προτύπων και των πληροφοριακών εγγράφων γνήσιων τεχνικών προτύπων συμμορφώνεται με τις επιστημονικές και τεχνολογικές εξελίξεις,</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lastRenderedPageBreak/>
        <w:t>γνωστοποιεί σε ευρωπαϊκούς οργανισμούς τυποποίησης την πρόθεση έκδοσης νέου γνήσιου σλοβακικού τεχνικού προτύπου,</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παρέχει, σύμφωνα με το άρθρο 15, σλοβακικά τεχνικά πρότυπα και τις διορθώσεις τους, πληροφοριακά έγγραφα τεχνικών προτύπων και τις διορθώσεις τους και λοιπά τεχνικά πρότυπα και τις τροποποιήσεις και διορθωτικά τους,</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εισπράττει τέλη παροχής σλοβακικών τεχνικών προτύπων, πληροφοριακών εγγράφων τεχνικών προτύπων και λοιπών τεχνικών προτύπων και των διορθωτικών τους,</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δημοσιεύει στον δικτυακό τόπο της σε μηνιαία βάση έναν κατάλογο σλοβακικών τεχνικών προτύπων και πληροφοριακών εγγράφων τεχνικών προτύπων και των διορθωτικών τους που έγιναν δεκτά ως μέρος του συστήματος σλοβακικών τεχνικών προτύπων, που δεν θεωρείται διαθέσιμη στο κοινό δυνάμει του άρθρου 10 παράγραφος 2,</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προστατεύει τα σλοβακικά τεχνικά πρότυπα, τα πληροφοριακά έγγραφα τεχνικών προτύπων και λοιπά τεχνικά πρότυπα και τις τροποποιήσεις τους σύμφωνα με τον παρόντα νόμο,</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παρέχει μεθοδολογική καθοδήγηση και κατευθύνει την εκπόνηση και παροχή σλοβακικών τεχνικών προτύπων και των διορθωτικών τους, πληροφοριακών εγγράφων τεχνικών προτύπων και των διορθωτικών τους και λοιπών τεχνικών προτύπων και των τροποποιήσεων και διορθωτικών τους· καθιστά τις μεθοδολογικές κατευθυντήριες γραμμές διαθέσιμες στον δικτυακό τόπο της,</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διαχειρίζεται στον δικτυακό τόπο της μια πύλη δημόσιας πρόσβασης των σλοβακικών τεχνικών προτύπων και πληροφοριακών εγγράφων τεχνικών προτύπων και των διορθωτικών τους (εφεξής: η «πύλη»),</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είναι υπεύθυνη για τη γλωσσική και ορολογική ακρίβεια των σλοβακικών τεχνικών προτύπων και πληροφοριακών εγγράφων τεχνικών προτύπων που εκδίδονται στη γλώσσα του κράτους.</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5</w:t>
      </w:r>
    </w:p>
    <w:p w:rsidR="00E16F77" w:rsidRPr="008015BE" w:rsidRDefault="00E16F77" w:rsidP="00BB519B">
      <w:pPr>
        <w:keepNext/>
        <w:keepLines/>
        <w:widowControl/>
        <w:shd w:val="clear" w:color="auto" w:fill="FFFFFF"/>
        <w:jc w:val="center"/>
        <w:rPr>
          <w:b/>
          <w:bCs/>
          <w:color w:val="000000"/>
        </w:rPr>
      </w:pPr>
      <w:r>
        <w:rPr>
          <w:b/>
          <w:color w:val="000000"/>
        </w:rPr>
        <w:t>Το Συμβούλιο</w:t>
      </w:r>
    </w:p>
    <w:p w:rsidR="00E16F77" w:rsidRPr="00D06F2A" w:rsidRDefault="00E16F77" w:rsidP="003E6A72">
      <w:pPr>
        <w:pStyle w:val="ListParagraph"/>
        <w:keepNext/>
        <w:keepLines/>
        <w:widowControl/>
        <w:numPr>
          <w:ilvl w:val="0"/>
          <w:numId w:val="21"/>
        </w:numPr>
        <w:shd w:val="clear" w:color="auto" w:fill="FFFFFF"/>
        <w:spacing w:before="120" w:after="120"/>
        <w:ind w:left="284" w:hanging="284"/>
        <w:contextualSpacing w:val="0"/>
        <w:jc w:val="both"/>
        <w:rPr>
          <w:color w:val="000000"/>
        </w:rPr>
      </w:pPr>
      <w:r>
        <w:rPr>
          <w:color w:val="000000"/>
        </w:rPr>
        <w:t>Το Συμβούλιο, ως ο οργανισμός πραγματογνωμοσύνης και συμβουλευτικός οργανισμός του Προέδρου της Υπηρεσίας</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προστατεύει την ανεξαρτησία της Υπηρεσίας, του σλοβακικού εθνικού οργανισμού τυποποίησης,</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επιβλέπει τη δραστηριότητα της Υπηρεσίας, του σλοβακικού εθνικού οργανισμού τυποποίησης, κατά τη διεξαγωγή καθηκόντων που αναφέρονται στο άρθρο 4 παράγραφος 2 στοιχείο α),</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αξιολογεί εννοιολογικά ζητήματα που αφορούν τεχνική τυποποίηση σε εθνικό, ευρωπαϊκό και διεθνές επίπεδο,</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υποβάλλει στον πρόεδρο της Υπηρεσίας στρατηγικές συστάσεις που αφορούν την έννοια της κρατικής πολιτικής για τεχνική τυποποίηση στη Σλοβακική Δημοκρατία σε σχέση με τις τρέχουσες απαιτήσεις της εθνικής, ευρωπαϊκής και διεθνούς τυποποίησης και τις απαιτήσεις της εθνικής οικονομίας,</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αξιολογεί κατά πόσο η Υπηρεσία, ως ο σλοβακικός εθνικός οργανισμός τυποποίησης, πληροί τα κριτήρια συμμετοχής σε ευρωπαϊκές οργανώσεις τυποποίησης,</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εγκρίνει τα κριτήρια εκπόνησης σλοβακικών τεχνικών προτύπων στη γλώσσα του κράτους,</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αξιολογεί τακτικά τη λειτουργία της Υπηρεσίας, του εθνικού οργανισμού τυποποίησης, συμπεριλαμβανομένης της συμμόρφωσης με τον μηνιαίο κατάλογο των καθηκόντων τυποποίησης (εφεξής: «σχέδιο τεχνικής τυποποίησης»),</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παρακολουθεί τις διαδικασίες της Υπηρεσίας, του σλοβακικού εθνικού οργανισμού τυποποίησης, που αφορούν τη λειτουργία της τεχνικής επιτροπής,</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παρέχει τη γνωμοδότησή της για το καταστατικό της τεχνικής επιτροπής και τον εσωτερικό κανονισμό της τεχνικής επιτροπής,</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ανταποκρίνεται στα αιτήματα του κοινού ή των δημόσιων αρχών όσον αφορά την ανάπτυξη και ένταξη των σχεδίων των γνήσιων σλοβακικών τεχνικών προτύπων στο σχέδιο τεχνικής τυποποίησης,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εγκρίνει το καταστατικό του Συμβουλίου και τον κανονισμό διαδικασίας του Συμβουλίου,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lastRenderedPageBreak/>
        <w:t xml:space="preserve">εκτελεί άλλα καθήκοντα που ορίζονται στο καταστατικό του Συμβουλίου. </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Το Συμβούλιο πρέπει να έχει 15 μέλη το μέγιστο. Τα μέλη του Συμβουλίου αποτελούνται από αντιπροσώπους των ενδιαφερόμενων μερών και αντιπροσώπους των δημόσιων αρχών. Ο αριθμός των αντιπροσώπων δημόσιων αρχών στο Συμβούλιο δεν υπερβαίνει το ένα τρίτο του συνολικού αριθμού των μελών του Συμβουλίου.</w:t>
      </w:r>
    </w:p>
    <w:p w:rsidR="00D0380A"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Τα μέλη του Συμβουλίου ορίζονται και καταργούνται από τον πρόεδρο της Υπηρεσίας.</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Η θέση ενός μέλους του Συμβουλίου είναι τιμητική και αναντικατάστατη.</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Η σύνθεση, τα καθήκοντα, το οργανωτικό πλαίσιο και η διαδικαστική μέθοδος του Συμβουλίου ορίζεται στο καταστατικό και τον εσωτερικό κανονισμό του που εκδίδονται από την Υπηρεσία.</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6</w:t>
      </w:r>
    </w:p>
    <w:p w:rsidR="00E16F77" w:rsidRPr="008015BE" w:rsidRDefault="00E16F77" w:rsidP="00BB519B">
      <w:pPr>
        <w:keepNext/>
        <w:keepLines/>
        <w:widowControl/>
        <w:shd w:val="clear" w:color="auto" w:fill="FFFFFF"/>
        <w:jc w:val="center"/>
        <w:rPr>
          <w:b/>
          <w:bCs/>
          <w:color w:val="000000"/>
        </w:rPr>
      </w:pPr>
      <w:r>
        <w:rPr>
          <w:b/>
          <w:color w:val="000000"/>
        </w:rPr>
        <w:t>Τεχνική επιτροπή</w:t>
      </w:r>
    </w:p>
    <w:p w:rsidR="00E16F77" w:rsidRPr="00D06F2A" w:rsidRDefault="00E16F77" w:rsidP="00B3535A">
      <w:pPr>
        <w:widowControl/>
        <w:shd w:val="clear" w:color="auto" w:fill="FFFFFF"/>
        <w:spacing w:before="120"/>
        <w:jc w:val="both"/>
        <w:rPr>
          <w:color w:val="000000"/>
        </w:rPr>
      </w:pPr>
      <w:r>
        <w:rPr>
          <w:color w:val="000000"/>
        </w:rPr>
        <w:t>Η τεχνική επιτροπή είναι συμβουλευτικό όργανο της Υπηρεσίας, του σλοβακικού εθνικού οργανισμού τυποποίησης, και συμμετέχει στην εκπόνηση σλοβακικών τεχνικών προτύπων και πληροφοριακών εγγράφων τεχνικών προτύπων, τη διαδικασία διαβούλευσης που αναφέρεται στο άρθρο 9 παράγραφος 2 στοιχείο β) και παράγραφος 3 στοιχείο γ) και λοιπές δραστηριότητες που αφορούν την τεχνική τυποποίηση. Η σύνθεση, τα καθήκοντα, το οργανωτικό πλαίσιο και η διαδικαστική μέθοδος της τεχνικής επιτροπής ορίζεται στο καταστατικό και τον εσωτερικό κανονισμό της που εκδίδονται από την Υπηρεσία, τον σλοβακικό εθνικό οργανισμό τυποποίησης.</w:t>
      </w:r>
    </w:p>
    <w:p w:rsidR="00E16F77" w:rsidRPr="008015BE" w:rsidRDefault="00E16F77" w:rsidP="00BB519B">
      <w:pPr>
        <w:keepNext/>
        <w:keepLines/>
        <w:widowControl/>
        <w:shd w:val="clear" w:color="auto" w:fill="FFFFFF"/>
        <w:spacing w:before="360"/>
        <w:jc w:val="center"/>
        <w:rPr>
          <w:b/>
          <w:bCs/>
          <w:color w:val="000000"/>
        </w:rPr>
      </w:pPr>
      <w:r>
        <w:rPr>
          <w:b/>
          <w:color w:val="000000"/>
        </w:rPr>
        <w:t>Εκπόνηση σλοβακικών τεχνικών προτύπων και πληροφοριακών εγγράφων τεχνικών προτύπων</w:t>
      </w:r>
    </w:p>
    <w:p w:rsidR="00E16F77" w:rsidRPr="008015BE" w:rsidRDefault="00E16F77" w:rsidP="00BB519B">
      <w:pPr>
        <w:keepNext/>
        <w:keepLines/>
        <w:widowControl/>
        <w:shd w:val="clear" w:color="auto" w:fill="FFFFFF"/>
        <w:jc w:val="center"/>
        <w:rPr>
          <w:b/>
          <w:bCs/>
          <w:color w:val="000000"/>
        </w:rPr>
      </w:pPr>
      <w:r>
        <w:rPr>
          <w:b/>
          <w:color w:val="000000"/>
        </w:rPr>
        <w:t>Άρθρο 7</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Για την εξασφάλιση της εκτέλεσης των δραστηριοτήτων σύμφωνα με το άρθρο 4 παράγραφος 2 στοιχείο δ), η Υπηρεσία, ο σλοβακικός εθνικός οργανισμός τυποποίησης, συνεργάζεται με την τεχνική επιτροπή και ενδιαφερόμενα μέρη, συμπεριλαμβανομένων μικρών επιχειρήσεων</w:t>
      </w:r>
      <w:r>
        <w:rPr>
          <w:color w:val="000000"/>
          <w:vertAlign w:val="superscript"/>
        </w:rPr>
        <w:t>14)</w:t>
      </w:r>
      <w:r>
        <w:rPr>
          <w:color w:val="000000"/>
        </w:rPr>
        <w:t xml:space="preserve"> και μεσαίων επιχειρήσεων</w:t>
      </w:r>
      <w:r>
        <w:rPr>
          <w:color w:val="000000"/>
          <w:vertAlign w:val="superscript"/>
        </w:rPr>
        <w:t>15)</w:t>
      </w:r>
      <w:r>
        <w:rPr>
          <w:color w:val="000000"/>
        </w:rPr>
        <w:t>, τη δημόσια αρχή και το νομικό ή φυσικό πρόσωπο που είναι αρμόδιο για τη διεξαγωγή της εργασίας τυποποίησης (εφεξής: «συντάκτης») με βάση τη συμφωνία με την Υπηρεσία, τον σλοβακικό εθνικό οργανισμό τυποποίησης.</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Κατά την εκπόνηση σλοβακικών τεχνικών προτύπων και πληροφοριακών εγγράφων τεχνικών προτύπων, ο συντάκτης και η Υπηρεσία, ο σλοβακικός εθνικός οργανισμός τυποποίησης, εναρμονίζεται σύμφωνα με τα άρθρα 8 έως 10, με τους κανόνες των ευρωπαϊκών οργανισμών τυποποίησης, με τους κανόνες του διεθνούς φορέα τυποποίησης και τις μεθοδολογικές κατευθυντήριες γραμμές της Υπηρεσίας, του σλοβακικού εθνικού οργανισμού τυποποίησης, που καθίστανται διαθέσιμα στον δικτυακό τόπο της Υπηρεσίας, του σλοβακικού εθνικού οργανισμού τυποποίησης.</w:t>
      </w:r>
    </w:p>
    <w:p w:rsidR="00E16F77" w:rsidRPr="00D06F2A" w:rsidRDefault="00E16F77" w:rsidP="003E6A72">
      <w:pPr>
        <w:pStyle w:val="ListParagraph"/>
        <w:keepNext/>
        <w:keepLines/>
        <w:widowControl/>
        <w:numPr>
          <w:ilvl w:val="0"/>
          <w:numId w:val="17"/>
        </w:numPr>
        <w:shd w:val="clear" w:color="auto" w:fill="FFFFFF"/>
        <w:tabs>
          <w:tab w:val="left" w:pos="284"/>
        </w:tabs>
        <w:spacing w:before="120"/>
        <w:ind w:left="284" w:hanging="284"/>
        <w:contextualSpacing w:val="0"/>
        <w:jc w:val="both"/>
        <w:rPr>
          <w:color w:val="000000"/>
        </w:rPr>
      </w:pPr>
      <w:r>
        <w:rPr>
          <w:color w:val="000000"/>
        </w:rPr>
        <w:t>Η εκπόνηση σλοβακικών τεχνικών προτύπων και πληροφοριακών εγγράφων τεχνικών προτύπων περιλαμβάνουν</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κατάρτιση του τεχνικού σχεδίου τυποποίησης,</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κατάρτιση του σλοβακικού τεχνικού προτύπου ή πληροφοριακού εγγράφου τεχνικού προτύπου,</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έκδοση και κοινοποίηση του σλοβακικού τεχνικού προτύπου ή πληροφοριακού εγγράφου τεχνικού προτύπου.</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8</w:t>
      </w:r>
    </w:p>
    <w:p w:rsidR="00E16F77" w:rsidRPr="008015BE" w:rsidRDefault="00E16F77" w:rsidP="00BB519B">
      <w:pPr>
        <w:keepNext/>
        <w:keepLines/>
        <w:widowControl/>
        <w:shd w:val="clear" w:color="auto" w:fill="FFFFFF"/>
        <w:jc w:val="center"/>
        <w:rPr>
          <w:b/>
          <w:bCs/>
          <w:color w:val="000000"/>
        </w:rPr>
      </w:pPr>
      <w:r>
        <w:rPr>
          <w:b/>
          <w:color w:val="000000"/>
        </w:rPr>
        <w:t>Κατάρτιση του τεχνικού σχεδίου τυποποίησης</w:t>
      </w:r>
    </w:p>
    <w:p w:rsidR="00D0380A"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Η Υπηρεσία, ως ο σλοβακικός εθνικός οργανισμός τυποποίησης, καταρτίζει το τεχνικό σχέδιο τυποποίησης και το δημοσιεύει στον δικτυακό τόπος της έως τη δέκατη ημέρα του ημερολογιακού μήνα μετά τον μήνα κατά τον οποίο καταρτίστηκε το τεχνικό σχέδιο τυποποίησης.</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Για ευρωπαϊκά πρότυπα, παραδοτέα ευρωπαϊκής τυποποίησης, διεθνή πρότυπα και λοιπά πληροφοριακά έγγραφα τεχνικών προτύπων, η Υπηρεσία, ως ο σλοβακικός εθνικός οργανισμός τυποποίησης, προσδιορίζει στο τεχνικό σχέδιο τυποποίησης τον τρόπο που θα γίνουν δεκτά ως μέρος του συστήματος των σλοβακικών τεχνικών προτύπων που μπορεί να προϋποθέτει μεταφορά</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lastRenderedPageBreak/>
        <w:t>μέσω μετάφρασης στη γλώσσα του κράτους,</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χωρίς μετάφραση στη γλώσσα του κράτους ή</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χωρίς μετάφραση στη γλώσσα του κράτους με σχολιασμό στη γλώσσα του κράτους.</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Η Υπηρεσία, ως ο σλοβακικός εθνικός οργανισμός τυποποίησης, αναφέρει στο τεχνικό σχέδιο τυποποίησης την πρόθεση σύνταξης ενός γνήσιου σλοβακικού τεχνικού προτύπου ή του πληροφοριακού εγγράφου γνήσιου τεχνικού προτύπου που έχει αποφασίσει να συντάξει και να δεχτεί ως μέρος του συστήματος σλοβακικών τεχνικών προτύπων.</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9</w:t>
      </w:r>
    </w:p>
    <w:p w:rsidR="00E16F77" w:rsidRPr="008015BE" w:rsidRDefault="00E16F77" w:rsidP="00BB519B">
      <w:pPr>
        <w:keepNext/>
        <w:keepLines/>
        <w:widowControl/>
        <w:shd w:val="clear" w:color="auto" w:fill="FFFFFF"/>
        <w:jc w:val="center"/>
        <w:rPr>
          <w:b/>
          <w:bCs/>
          <w:color w:val="000000"/>
        </w:rPr>
      </w:pPr>
      <w:r>
        <w:rPr>
          <w:b/>
          <w:color w:val="000000"/>
        </w:rPr>
        <w:t xml:space="preserve">Σύνταξη σλοβακικών τεχνικών προτύπων και πληροφοριακών εγγράφων τεχνικών προτύπων </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Κατά τη σύνταξη γνήσιων σλοβακικών τεχνικών προτύπων ή πληροφοριακών εγγράφων γνήσιων τεχνικών προτύπων ή κατά τη σύνταξη σλοβακικών τεχνικών προτύπων ή πληροφοριακών εγγράφων τεχνικών προτύπων κατά τον τρόπο που αναφέρεται στο άρθρο 8 παράγραφος 2 στοιχείο α) ή γ), η Υπηρεσία, ως ο σλοβακικός εθνικός οργανισμός τυποποίησης, επιλέγει τον συντάκτη σύμφωνα με ειδική νομοθεσία</w:t>
      </w:r>
      <w:r>
        <w:rPr>
          <w:color w:val="000000"/>
          <w:vertAlign w:val="superscript"/>
        </w:rPr>
        <w:t>16)</w:t>
      </w:r>
      <w:r>
        <w:rPr>
          <w:color w:val="000000"/>
        </w:rPr>
        <w:t>. Η διαδικασία αυτή δεν εφαρμόζεται αν το κόστος σύνταξης του σλοβακικού τεχνικού προτύπου ή πληροφοριακού εγγράφου τεχνικού προτύπου δεν καλύπτεται από την Υπηρεσία.</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Κατά τη σύνταξη γνήσιου σλοβακικού τεχνικού προτύπου ή πληροφοριακού εγγράφου γνήσιου σλοβακικού τεχνικού προτύπου, ο συντάκτης ή Υπηρεσία, ως ο σλοβακικός εθνικός οργανισμός τυποποίησης</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εκπονεί το σχέδιο του γνήσιου σλοβακικού τεχνικού προτύπου ή πληροφοριακού εγγράφου γνήσιου τεχνικού προτύπου,</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υποβάλλει το σχέδιο γνήσιου σλοβακικού τεχνικού προτύπου ή το σχέδιο πληροφοριακού εγγράφου γνήσιου τεχνικού προτύπου για σχόλια σε μέλη της τεχνικής επιτροπής ή μέλη της ομάδας εργασίας που συστήθηκε για τον σκοπό αυτό,</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τροποποιεί το σχέδιο γνήσιου σλοβακικού τεχνικού προτύπου ή το σχέδιο πληροφοριακού εγγράφου γνήσιου τεχνικού προτύπου σύμφωνα με τα σχόλια που υποβλήθηκαν από την τεχνική επιτροπή ή την ομάδα εργασίας που συστήθηκε για τον σκοπό αυτό· το τροποποιημένο σχέδιο υποβάλλεται έπειτα από την Υπηρεσία, ως τον σλοβακικό εθνικό οργανισμό τυποποίησης, για δημόσια διαβούλευση με δημοσίευση ανακοίνωσης στον δικτυακό τόπο της εντός 15 ημερών από την παραλαβή του σχεδίου γνήσιου σλοβακικού τεχνικού προτύπου ή του σχεδίου πληροφοριακού εγγράφου γνήσιου τεχνικού προτύπου· αν συντάχθηκε από την Υπηρεσία, ως τον σλοβακικό εθνικό οργανισμό τυποποίησης, υποβάλλει το σχέδιο γνήσιου σλοβακικού τεχνικού προτύπου ή το σχέδιο πληροφοριακού εγγράφου γνήσιου τεχνικού προτύπου για δημόσια διαβούλευση με δημοσίευση σχετικής ανακοίνωσης στον δικτυακό τόπο της χωρίς καθυστέρηση, το αργότερο εντός 15 ημερών από την ολοκλήρωση του σχεδίου· και</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τροποποιεί το σχέδιο γνήσιου σλοβακικού τεχνικού προτύπου ή το σχέδιο πληροφοριακού εγγράφου γνήσιου τεχνικού προτύπου σύμφωνα με τα σχόλια από τη δημόσια διαβούλευση.</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Κατά τη σύνταξη σλοβακικών τεχνικών προτύπων ή πληροφοριακών εγγράφων τεχνικών προτύπων κατά τον τρόπο που αναφέρεται στο άρθρο 8 παράγραφος 2 στοιχείο α) ή γ), ο συντάκτης ή η Υπηρεσία, ως ο σλοβακικός εθνικός οργανισμός τυποποίησης</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συντάσσει το σχέδιο του σλοβακικού τεχνικού προτύπου ή πληροφοριακού εγγράφου τεχνικού προτύπου,</w:t>
      </w:r>
    </w:p>
    <w:p w:rsidR="00D0380A"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υποβάλλει το τελικό σχέδιο σλοβακικού τεχνικού προτύπου ή το πληροφοριακό έγγραφο τεχνικού προτύπου για σχόλια προς τα μέλη της τεχνικής επιτροπής και κάθε πρόσωπο που αιτείται συμμετοχή στις διαβουλεύσεις εντός της προθεσμίας που προσδιορίζεται στο τεχνικό σχέδιο τυποποίησης το οποίο δημοσιεύτηκε στον δικτυακό τόπο της Υπηρεσίας, του σλοβακικού εθνικού οργανισμού τυποποίησης,</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τροποποιεί το σχέδιο σλοβακικού τεχνικού προτύπου ή το σχέδιο πληροφοριακού εγγράφου τεχνικού προτύπου σύμφωνα με τα σχόλια που υποβλήθηκαν από την τεχνική επιτροπή ή πρόσωπα που αιτήθηκαν τη συμμετοχή στις διαβουλεύσεις.</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 xml:space="preserve">Κατά τη σύνταξη σλοβακικών τεχνικών προτύπων ή πληροφοριακών εγγράφων τεχνικών προτύπων κατά τον τρόπο που αναφέρονται στο άρθρο 8 παράγραφος 2 στοιχείο β), η Υπηρεσία, </w:t>
      </w:r>
      <w:r>
        <w:rPr>
          <w:color w:val="000000"/>
        </w:rPr>
        <w:lastRenderedPageBreak/>
        <w:t>ως ο σλοβακικός εθνικός οργανισμός τυποποίησης, συντάσσει τον τίτλο του σλοβακικού τεχνικού προτύπου ή του πληροφοριακού εγγράφου τεχνικού προτύπου στη γλώσσα του κράτους.</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Κατά τη σύνταξη ενός σλοβακικού τεχνικού προτύπου ή πληροφοριακού εγγράφου τεχνικού προτύπου, ο συντάκτης ή η Υπηρεσία, ως ο σλοβακικός εθνικός οργανισμός τυποποίησης, διασφαλίζει τη συμμόρφωση του σχεδίου σλοβακικού τεχνικού προτύπου και σχεδίου πληροφοριακού εγγράφου τεχνικού προτύπου με τα σλοβακικά τεχνικά πρότυπα και τα πληροφοριακά έγγραφα τεχνικών προτύπων που έχουν εκδοθεί και κοινοποιηθεί και τη συμμόρφωση του σχεδίου σλοβακικού τεχνικού προτύπου και πληροφοριακού εγγράφου σχεδίου τεχνικού προτύπου με νόμους γενικής εφαρμογής και δεσμευτικές νομοθετικές πράξεις της Ευρωπαϊκής Ένωσης.</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Αφού ολοκληρωθούν τα στάδια που αναφέρονται στις παραγράφους 2, 3 ή 4, η Υπηρεσία, ως ο σλοβακικός εθνικός οργανισμός τυποποίησης, εξασφαλίζει τη γλωσσική και ορολογική αναθεώρηση του σχεδίου.</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10</w:t>
      </w:r>
    </w:p>
    <w:p w:rsidR="00E16F77" w:rsidRPr="008015BE" w:rsidRDefault="00E16F77" w:rsidP="00BB519B">
      <w:pPr>
        <w:keepNext/>
        <w:keepLines/>
        <w:widowControl/>
        <w:shd w:val="clear" w:color="auto" w:fill="FFFFFF"/>
        <w:jc w:val="center"/>
        <w:rPr>
          <w:b/>
          <w:bCs/>
          <w:color w:val="000000"/>
        </w:rPr>
      </w:pPr>
      <w:r>
        <w:rPr>
          <w:b/>
          <w:color w:val="000000"/>
        </w:rPr>
        <w:t xml:space="preserve">Έκδοση και κοινοποίηση της έκδοσης σλοβακικών τεχνικών προτύπων και πληροφοριακών εγγράφων τεχνικών προτύπων </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Μετά την ολοκλήρωση του σχεδίου σλοβακικού τεχνικού προτύπου ή σχεδίου πληροφοριακού εγγράφου τεχνικού προτύπου σύμφωνα με την παράγραφο 9, η Υπηρεσία, ως ο σλοβακικός εθνικός οργανισμός τυποποίησης, αναγνωρίζει το σλοβακικό τεχνικό πρότυπο ή το πληροφοριακό έγγραφο τεχνικού προτύπου ως μέρος του συστήματος σλοβακικών τεχνικών προτύπων.</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Η Υπηρεσία γνωστοποιεί την έκδοση ενός σλοβακικού τεχνικού προτύπου ή πληροφοριακού εγγράφου τεχνικού προτύπου στην Επίσημη Εφημερίδα ή, σε αιτιολογημένες περιπτώσεις, στον δικτυακό τόπο της.</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Τα σλοβακικά τεχνικά πρότυπα ή τα πληροφοριακά έγγραφα τεχνικών προτύπων αρχίζουν να ισχύουν την πρώτη ημέρα του ημερολογιακού μήνα που έπεται του μήνα κοινοποίησής τους στην Επίσημη Εφημερίδα, ή αν κοινοποιήθηκαν στον δικτυακό τόπο της Υπηρεσίας, την ημερομηνία γνωστοποίησης στον δικτυακό τόπο της Υπηρεσίας.</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11</w:t>
      </w:r>
    </w:p>
    <w:p w:rsidR="00E16F77" w:rsidRPr="008015BE" w:rsidRDefault="00E16F77" w:rsidP="00BB519B">
      <w:pPr>
        <w:keepNext/>
        <w:keepLines/>
        <w:widowControl/>
        <w:shd w:val="clear" w:color="auto" w:fill="FFFFFF"/>
        <w:jc w:val="center"/>
        <w:rPr>
          <w:b/>
          <w:bCs/>
          <w:color w:val="000000"/>
        </w:rPr>
      </w:pPr>
      <w:r>
        <w:rPr>
          <w:b/>
          <w:color w:val="000000"/>
        </w:rPr>
        <w:t xml:space="preserve">Τροποποιήσεις σλοβακικών τεχνικών προτύπων και διόρθωση και ακύρωση σλοβακικών τεχνικών προτύπων και πληροφοριακών εγγράφων τεχνικών προτύπων </w:t>
      </w:r>
    </w:p>
    <w:p w:rsidR="00E16F77" w:rsidRPr="00D06F2A" w:rsidRDefault="00E16F77" w:rsidP="00B3535A">
      <w:pPr>
        <w:widowControl/>
        <w:shd w:val="clear" w:color="auto" w:fill="FFFFFF"/>
        <w:spacing w:before="120"/>
        <w:jc w:val="both"/>
        <w:rPr>
          <w:color w:val="000000"/>
        </w:rPr>
      </w:pPr>
      <w:r>
        <w:rPr>
          <w:color w:val="000000"/>
        </w:rPr>
        <w:t>Κατά την τροποποίηση, διόρθωση ή ακύρωση σλοβακικών τεχνικών προτύπων ή πληροφοριακών εγγράφων τεχνικών προτύπων, η Υπηρεσία, ως ο σλοβακικός εθνικός οργανισμός τυποποίησης, πράττει, τηρουμένων των αναλογιών, βάσει των άρθρων 8 έως 10.</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12</w:t>
      </w:r>
    </w:p>
    <w:p w:rsidR="00E16F77" w:rsidRPr="008015BE" w:rsidRDefault="00E16F77" w:rsidP="00BB519B">
      <w:pPr>
        <w:keepNext/>
        <w:keepLines/>
        <w:widowControl/>
        <w:shd w:val="clear" w:color="auto" w:fill="FFFFFF"/>
        <w:jc w:val="center"/>
        <w:rPr>
          <w:b/>
          <w:bCs/>
          <w:color w:val="000000"/>
        </w:rPr>
      </w:pPr>
      <w:r>
        <w:rPr>
          <w:b/>
          <w:color w:val="000000"/>
        </w:rPr>
        <w:t xml:space="preserve">Δαπάνες για την εκπόνηση σλοβακικών τεχνικών προτύπων και πληροφοριακών εγγράφων τεχνικών προτύπων </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Οι δαπάνες εκπόνησης στη γλώσσα του κράτους και διόρθωσης σλοβακικών τεχνικών προτύπων και πληροφοριακών εγγράφων τεχνικών προτύπων που συμμορφώνονται με τα κριτήρια που εγκρίθηκαν και δημοσιεύτηκαν σύμφωνα με άρθρο 4 παράγραφο 2 στοιχείο γ) βαρύνουν την Υπηρεσία. Εναλλακτικά, οι δαπάνες σύνταξης σλοβακικών τεχνικών προτύπων και πληροφοριακών εγγράφων τεχνικών προτύπων στη γλώσσα του κράτους βαρύνουν το ενδιαφερόμενο μέρος που ζήτησε την εκπόνησή τους.</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Οι δαπάνες σύνταξης, στη γλώσσα του κράτους σλοβακικών τεχνικών προτύπων που περιέχουν άμεσες παραπομπές στο κείμενο ενός νόμου γενικής εφαρμογής και οι δαπάνες για την παροχή σλοβακικών τεχνικών προτύπων που περιέχουν άμεσες παραπομπές στο κείμενο ενός νόμου γενικής εφαρμογής βαρύνουν την κυβερνητική αρχή που είναι αρμόδια για την υποβολή του σχεδίου νόμου γενικής εφαρμογής στο οποίο παραπέμπει άμεσα το σλοβακικό τεχνικό πρότυπο.</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Άρθρο 13</w:t>
      </w:r>
    </w:p>
    <w:p w:rsidR="00E16F77" w:rsidRPr="008015BE" w:rsidRDefault="00E16F77" w:rsidP="00BB519B">
      <w:pPr>
        <w:keepNext/>
        <w:keepLines/>
        <w:widowControl/>
        <w:shd w:val="clear" w:color="auto" w:fill="FFFFFF"/>
        <w:jc w:val="center"/>
        <w:rPr>
          <w:b/>
          <w:bCs/>
          <w:color w:val="000000"/>
        </w:rPr>
      </w:pPr>
      <w:r>
        <w:rPr>
          <w:b/>
          <w:color w:val="000000"/>
        </w:rPr>
        <w:t>Εναρμονισμένα τεχνικά πρότυπα και σλοβακικά τεχνικά πρότυπα κατάλληλα για αξιολόγηση της συμμόρφωσης</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Η συμμόρφωση με εναρμονισμένο τεχνικό πρότυπο</w:t>
      </w:r>
      <w:r>
        <w:rPr>
          <w:color w:val="000000"/>
          <w:vertAlign w:val="superscript"/>
        </w:rPr>
        <w:t>17)</w:t>
      </w:r>
      <w:r>
        <w:rPr>
          <w:color w:val="000000"/>
        </w:rPr>
        <w:t xml:space="preserve"> ή σλοβακικό τεχνικό πρότυπο κατάλληλο για αξιολόγηση συμμόρφωσης ή μέρος αυτού θεωρείται ότι συμμορφώνεται με τις τεχνικές απαιτήσεις που προβλέπονται από τον τεχνικό κανονισμό, τον οποίο εφαρμόζει το εναρμονισμένο τεχνικό πρότυπο ή το σλοβακικό τεχνικό πρότυπο που είναι κατάλληλο για αξιολόγηση συμμόρφωσης ή μέρος αυτού.</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Όπου δεν υπάρχουν εναρμονισμένα τεχνικά πρότυπα, η Υπηρεσία, κατόπιν διαβούλευσης με το αρμόδιο Υπουργείο ή άλλη κεντρική κυβερνητική αρχή χαρακτηρίζουν το σλοβακικό τεχνικό πρότυπο κατάλληλο για αξιολόγηση συμμόρφωσης. Ο χαρακτηρισμός του σλοβακικού τεχνικού προτύπου ως κατάλληλου για αξιολόγηση συμμόρφωσης γνωστοποιείται από την Υπηρεσία στην Επίσημη Εφημερίδα. Στη γνωστοποίηση η Υπηρεσία αναφέρει τον τίτλο του τεχνικού κανονισμού, τον οποίο εφαρμόζει το σλοβακικό τεχνικό πρότυπο που είναι κατάλληλο για αξιολόγηση συμμόρφωσης.</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Ενστάσεις για τα εναρμονισμένα τεχνικά πρότυπα που αναφέρονται στην ειδική νομοθεσία</w:t>
      </w:r>
      <w:r>
        <w:rPr>
          <w:color w:val="000000"/>
          <w:vertAlign w:val="superscript"/>
        </w:rPr>
        <w:t>18)</w:t>
      </w:r>
      <w:r>
        <w:rPr>
          <w:color w:val="000000"/>
        </w:rPr>
        <w:t xml:space="preserve"> υποβάλλονται από την Υπηρεσία κατόπιν πρωτοβουλίας του αρμόδιου Υπουργείου, λοιπών κυβερνητικών αρχών ή της επιβλέπουσας αρχής.</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Προτάσεις ανάκλησης του χαρακτηρισμού ενός σλοβακικού τεχνικού προτύπου ως κατάλληλου για αξιολόγηση συμμόρφωσης υποβάλλονται από το αρμόδιο υπουργείο ή άλλη κεντρική κυβερνητική αρχή στην Υπηρεσία, η οποία κοινοποιεί την ανάκληση του χαρακτηρισμού του σλοβακικού τεχνικού προτύπου ως κατάλληλου για αξιολόγηση συμμόρφωσης στην Επίσημη Εφημερίδα.</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14</w:t>
      </w:r>
    </w:p>
    <w:p w:rsidR="00E16F77" w:rsidRPr="008015BE" w:rsidRDefault="00E16F77" w:rsidP="00BB519B">
      <w:pPr>
        <w:keepNext/>
        <w:keepLines/>
        <w:widowControl/>
        <w:shd w:val="clear" w:color="auto" w:fill="FFFFFF"/>
        <w:jc w:val="center"/>
        <w:rPr>
          <w:b/>
          <w:bCs/>
          <w:color w:val="000000"/>
        </w:rPr>
      </w:pPr>
      <w:r>
        <w:rPr>
          <w:b/>
          <w:color w:val="000000"/>
        </w:rPr>
        <w:t xml:space="preserve">Μέσα προστασίας σλοβακικών τεχνικών προτύπων και πληροφοριακών εγγράφων τεχνικών προτύπων </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Η ονομασία «σλοβακικό τεχνικό πρότυπο» και το σύμβολο «STN», η ονομασία «σλοβακικό τεχνικό προκαταρκτικό πρότυπο» και το σύμβολο «STN P» και η ονομασία «πληροφοριακό έγγραφο τεχνικού προτύπου» και το σύμβολο «TNI» δεν χρησιμοποιούνται για την αναγνώριση άλλων εγγράφων.</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Η Υπηρεσία, ως ο σλοβακικός εθνικός οργανισμός τυποποίησης, θα έχει δικαίωμα σε αποζημιώσεις για οποιεσδήποτε πληρωμές που έχουν πραγματοποιηθεί για την παροχή σλοβακικού τεχνικού προτύπου, σλοβακικού τεχνικού προκαταρκτικού προτύπου ή πληροφοριακού εγγράφου τεχνικού προτύπου ή την αναπαραγωγή σλοβακικού τεχνικού προτύπου, σλοβακικού τεχνικού προκαταρκτικού προτύπου ή πληροφοριακού εγγράφου τεχνικού προτύπου από το άτομο που προέβη στην αναπαραγωγή σλοβακικού τεχνικού προτύπου, σλοβακικού τεχνικού προκαταρκτικού προτύπου ή πληροφοριακού εγγράφου τεχνικού προτύπου χωρίς άδεια της Υπηρεσίας, ως σλοβακικού εθνικού οργανισμού τυποποίησης.</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Η μη εξουσιοδοτημένη διανομή σλοβακικών τεχνικών προτύπων ή πληροφοριακών εγγράφων τεχνικών προτύπων συνεπάγεται την παροχή ενός σλοβακικού τεχνικού προτύπου ή πληροφοριακού εγγράφου τεχνικού προτύπου ή μερών αυτού, συμπεριλαμβανομένης μιας προσφοράς παροχής αυτών, ανεξάρτητα από το μέσο και τη μορφή, χωρίς άδεια της Υπηρεσίας, του σλοβακικού εθνικού οργανισμού τυποποίησης.</w:t>
      </w:r>
    </w:p>
    <w:p w:rsidR="00E16F77" w:rsidRPr="00D06F2A" w:rsidRDefault="00E16F77" w:rsidP="003E6A72">
      <w:pPr>
        <w:pStyle w:val="ListParagraph"/>
        <w:keepNext/>
        <w:keepLines/>
        <w:widowControl/>
        <w:numPr>
          <w:ilvl w:val="0"/>
          <w:numId w:val="25"/>
        </w:numPr>
        <w:shd w:val="clear" w:color="auto" w:fill="FFFFFF"/>
        <w:spacing w:before="120"/>
        <w:ind w:left="284" w:hanging="284"/>
        <w:contextualSpacing w:val="0"/>
        <w:jc w:val="both"/>
        <w:rPr>
          <w:color w:val="000000"/>
        </w:rPr>
      </w:pPr>
      <w:r>
        <w:rPr>
          <w:color w:val="000000"/>
        </w:rPr>
        <w:t>Τα παρακάτω δεν θεωρούνται μη εξουσιοδοτημένη αναπαραγωγή ή μη εξουσιοδοτημένη διανομή σλοβακικών τεχνικών προτύπων ή πληροφοριακών εγγράφων τεχνικών προτύπων:</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παράθεση αποσπάσματος σλοβακικού τεχνικού προτύπου ή πληροφοριακού εγγράφου τεχνικού προτύπου, αν η Υπηρεσία, ως ο σλοβακικός εθνικός οργανισμός τυποποίησης, έχει χορηγήσει άδεια για παράθεση του αποσπάσματος σλοβακικού τεχνικού προτύπου ή πληροφοριακού εγγράφου τεχνικού προτύπου βάσει αίτησης,</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πληροφορίες σχετικά με σλοβακικό τεχνικό πρότυπο και πληροφοριακό έγγραφο τεχνικού προτύπου που κοινοποιήθηκε στην Επίσημη Εφημερίδα ή δημοσιεύτηκε στον δικτυακό τόπο της Υπηρεσίας σύμφωνα με το άρθρο 10 παράγραφος 2.</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 xml:space="preserve">Η Υπηρεσία, ως ο σλοβακικός εθνικός οργανισμός τυποποίησης, χορηγεί άδεια παράθεσης αποσπάσματος ενός σλοβακικού τεχνικού προτύπου ή πληροφοριακού εγγράφου τεχνικού προτύπου για πληρωμή χωρίς καθυστέρηση, το αργότερο εντός 30 ημερών από την παραλαβή της αίτησης χορήγησης της άδειας. Η αίτηση περιλαμβάνει συγκεκριμένα στοιχεία ταυτοποίησης του </w:t>
      </w:r>
      <w:r>
        <w:rPr>
          <w:color w:val="000000"/>
        </w:rPr>
        <w:lastRenderedPageBreak/>
        <w:t>αιτούντος, τον σκοπό και το πεδίο εφαρμογής της παράθεσης αποσπάσματος ενός σλοβακικού τεχνικού προτύπου ή πληροφοριακού εγγράφου τεχνικού προτύπου και τον τίτλο του σλοβακικού τεχνικού προτύπου ή πληροφοριακού εγγράφου τεχνικού προτύπου, από το οποίο θα γίνει παράθεση.</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Η Υπηρεσία, ως ο σλοβακικός εθνικός οργανισμός τυποποίησης, χορηγεί άδεια παράθεσης αποσπάσματος ενός σλοβακικού τεχνικού προτύπου ή πληροφοριακού εγγράφου τεχνικού προτύπου δωρεάν χωρίς καθυστέρηση, το αργότερο εντός δέκα ημερών από την παραλαβή της αίτησης χορήγησης της άδειας για τους εξής σκοπούς:</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παροχή</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εκπαίδευσης και κατάρτισης σύμφωνα με ξεχωριστή νομοθεσία,</w:t>
      </w:r>
      <w:r>
        <w:rPr>
          <w:color w:val="000000"/>
          <w:vertAlign w:val="superscript"/>
        </w:rPr>
        <w:t>19)</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εκπαίδευση ως μέρος ενός διαπιστευμένου πανεπιστημιακού προγράμματος σπουδών ή</w:t>
      </w:r>
    </w:p>
    <w:p w:rsidR="00E16F77" w:rsidRPr="00D06F2A" w:rsidRDefault="00E16F77" w:rsidP="003E6A72">
      <w:pPr>
        <w:widowControl/>
        <w:numPr>
          <w:ilvl w:val="0"/>
          <w:numId w:val="9"/>
        </w:numPr>
        <w:shd w:val="clear" w:color="auto" w:fill="FFFFFF"/>
        <w:tabs>
          <w:tab w:val="left" w:pos="1134"/>
        </w:tabs>
        <w:spacing w:before="120"/>
        <w:ind w:left="1134" w:hanging="283"/>
        <w:jc w:val="both"/>
        <w:rPr>
          <w:color w:val="000000"/>
        </w:rPr>
      </w:pPr>
      <w:r>
        <w:rPr>
          <w:color w:val="000000"/>
        </w:rPr>
        <w:t>συνεχής εκπαίδευση και πιστοποίηση εκπαιδευτικών και εξειδικευμένου σχολικού προσωπικού</w:t>
      </w:r>
      <w:r>
        <w:rPr>
          <w:color w:val="000000"/>
          <w:vertAlign w:val="superscript"/>
        </w:rPr>
        <w:t>20)</w:t>
      </w:r>
      <w:r>
        <w:rPr>
          <w:color w:val="000000"/>
        </w:rPr>
        <w:t xml:space="preserve"> μη εμπορικού χαρακτήρα,</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κατάρτιση και υποστήριξη</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ολοκληρωμένου τεχνικού εγγράφου ή έγγραφο ανταγωνισμού ή απολυτήριο κατόπιν εξετάσεων στο πλαίσιο της εκπαίδευσης και κατάρτισης</w:t>
      </w:r>
      <w:r>
        <w:rPr>
          <w:color w:val="000000"/>
          <w:vertAlign w:val="superscript"/>
        </w:rPr>
        <w:t>21)</w:t>
      </w:r>
      <w:r>
        <w:rPr>
          <w:color w:val="000000"/>
        </w:rPr>
        <w:t>.</w:t>
      </w:r>
    </w:p>
    <w:p w:rsidR="00E16F77" w:rsidRPr="00D06F2A" w:rsidRDefault="00E16F77" w:rsidP="003E6A72">
      <w:pPr>
        <w:widowControl/>
        <w:numPr>
          <w:ilvl w:val="0"/>
          <w:numId w:val="10"/>
        </w:numPr>
        <w:shd w:val="clear" w:color="auto" w:fill="FFFFFF"/>
        <w:tabs>
          <w:tab w:val="left" w:pos="1134"/>
        </w:tabs>
        <w:spacing w:before="120"/>
        <w:ind w:left="1134" w:hanging="283"/>
        <w:rPr>
          <w:color w:val="000000"/>
        </w:rPr>
      </w:pPr>
      <w:r>
        <w:rPr>
          <w:color w:val="000000"/>
        </w:rPr>
        <w:t>πτυχιακή εργασία</w:t>
      </w:r>
      <w:r>
        <w:rPr>
          <w:color w:val="000000"/>
          <w:vertAlign w:val="superscript"/>
        </w:rPr>
        <w:t>22)</w:t>
      </w:r>
      <w:r>
        <w:rPr>
          <w:color w:val="000000"/>
        </w:rPr>
        <w:t>, ή</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ένα τελικό έγγραφο στο πλαίσιο της συνεχούς εκπαίδευσης εκπαιδευτικών και εξειδικευμένου σχολικού προσωπικού μη εμπορικού χαρακτήρα και εγγράφων πιστοποίησης εκπαιδευτικών και εξειδικευμένου σχολικού προσωπικού</w:t>
      </w:r>
      <w:r>
        <w:rPr>
          <w:color w:val="000000"/>
          <w:vertAlign w:val="superscript"/>
        </w:rPr>
        <w:t>23)</w:t>
      </w:r>
      <w:r>
        <w:rPr>
          <w:color w:val="000000"/>
        </w:rPr>
        <w:t>.</w:t>
      </w:r>
    </w:p>
    <w:p w:rsidR="00B3535A" w:rsidRPr="00D06F2A" w:rsidRDefault="00E16F77" w:rsidP="00BB519B">
      <w:pPr>
        <w:keepNext/>
        <w:keepLines/>
        <w:widowControl/>
        <w:shd w:val="clear" w:color="auto" w:fill="FFFFFF"/>
        <w:spacing w:before="360"/>
        <w:jc w:val="center"/>
        <w:rPr>
          <w:b/>
          <w:bCs/>
          <w:color w:val="000000"/>
        </w:rPr>
      </w:pPr>
      <w:r>
        <w:rPr>
          <w:b/>
          <w:color w:val="000000"/>
        </w:rPr>
        <w:t>Άρθρο 15</w:t>
      </w:r>
    </w:p>
    <w:p w:rsidR="00E16F77" w:rsidRPr="008015BE" w:rsidRDefault="00E16F77" w:rsidP="00BB519B">
      <w:pPr>
        <w:keepNext/>
        <w:keepLines/>
        <w:widowControl/>
        <w:shd w:val="clear" w:color="auto" w:fill="FFFFFF"/>
        <w:jc w:val="center"/>
        <w:rPr>
          <w:b/>
          <w:bCs/>
          <w:color w:val="000000"/>
        </w:rPr>
      </w:pPr>
      <w:r>
        <w:rPr>
          <w:b/>
          <w:color w:val="000000"/>
        </w:rPr>
        <w:t>Παροχή σλοβακικών τεχνικών προτύπων, πληροφοριακών εγγράφων τεχνικών προτύπων, λοιπών τεχνικών προτύπων και η Επίσημη Εφημερίδα</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Τα σλοβακικά τεχνικά πρότυπα, τα πληροφοριακά έγγραφα τεχνικών προτύπων, λοιπά τεχνικά πρότυπα και οι τροποποιήσεις τους καθώς και η Επίσημη Εφημερίδα παρέχονται έναντι αμοιβής, εκτός εάν ορίζεται διαφορετικά στην παράγραφο 4.</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Τα σλοβακικά τεχνικά πρότυπα και τα πληροφοριακά έγγραφα τεχνικών προτύπων και οι διορθώσεις τους παρέχονται σε έντυπη μορφή, ηλεκτρονική μορφή ή μέσω της πύλης. Λοιπά τεχνικά πρότυπα και οι τροποποιήσεις και διορθώσεις τους και λοιπά πληροφοριακά έγγραφα τεχνικών προτύπων και οι διορθώσεις τους παρέχονται σε έντυπη μορφή. Περαιτέρω πληροφορίες της πύλης δημοσιεύονται από την Υπηρεσία, ως τον σλοβακικό εθνικό οργανισμό τυποποίησης, στον δικτυακό τόπο της.</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Η Υπηρεσία, ως ο σλοβακικός εθνικός οργανισμός τυποποίησης, παρέχει σλοβακικά τεχνικά πρότυπα έναντι αμοιβής σύμφωνα με το άρθρο 12 παράγραφος 2 μέσω της πύλης σε οποιονδήποτε τα ζητήσει· και τούτο δίχως υποχρέωση έναντι των κυβερνητικών αρχών που αναφέρεται στο άρθρο 12 παράγραφος 2.</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Οι συντάκτες γνήσιων σλοβακικών τεχνικών προτύπων ή πληροφοριακών εγγράφων γνήσιων τεχνικών προτύπων δικαιούνται ένα δωρεάν αντίτυπο του γνήσιου σλοβακικού τεχνικού προτύπου ή του πληροφοριακού εγγράφου τεχνικού προτύπου, στου οποίου τη σύνταξη συμμετείχαν.</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Τα διορθωτικά σλοβακικών τεχνικών προτύπων, πληροφοριακών εγγράφων τεχνικών προτύπων, λοιπών τεχνικών προτύπων και λοιπών πληροφοριακών εγγράφων τεχνικών προτύπων παρέχονται δωρεάν από την Υπηρεσία, ως τον σλοβακικό εθνικό οργανισμό τυποποίησης.</w:t>
      </w:r>
    </w:p>
    <w:p w:rsidR="00E16F77" w:rsidRPr="00D06F2A" w:rsidRDefault="00E16F77" w:rsidP="003E6A72">
      <w:pPr>
        <w:pStyle w:val="ListParagraph"/>
        <w:keepNext/>
        <w:keepLines/>
        <w:widowControl/>
        <w:numPr>
          <w:ilvl w:val="0"/>
          <w:numId w:val="27"/>
        </w:numPr>
        <w:shd w:val="clear" w:color="auto" w:fill="FFFFFF"/>
        <w:spacing w:before="120"/>
        <w:ind w:left="284" w:hanging="284"/>
        <w:contextualSpacing w:val="0"/>
        <w:jc w:val="both"/>
        <w:rPr>
          <w:color w:val="000000"/>
        </w:rPr>
      </w:pPr>
      <w:r>
        <w:rPr>
          <w:color w:val="000000"/>
        </w:rPr>
        <w:t xml:space="preserve">Δικαίωμα επιστροφής χρημάτων από τα τέλη παροχής σλοβακικών τεχνικών προτύπων, πληροφοριακών εγγράφων τεχνικών προτύπων και λοιπών τεχνικών προτύπων και των τροποποιήσεών τους σε έντυπη μορφή προκύπτει αν </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λείπει μέρος του κειμένου ή σελίδα ή</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 xml:space="preserve">η βιβλιοδεσία έχει υποστεί φθορά. </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Δικαίωμα επιστροφής χρημάτων από το τέλος παροχής σλοβακικών τεχνικών προτύπων ή πληροφοριακών εγγράφων τεχνικών προτύπων σε ηλεκτρονική μορφή προκύπτει σε περίπτωση καταστροφής του αποθηκευτικού μέσου στο οποίο αποθηκεύτηκε το σλοβακικό τεχνικό πρότυπο ή το πληροφοριακό έγγραφο τεχνικού προτύπου.</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lastRenderedPageBreak/>
        <w:t>Δικαίωμα επιστροφής χρημάτων το οποίο αναφέρεται στις παραγράφους 6 και 7 μπορεί να αξιωθεί κατόπιν παραλαβής του σλοβακικού τεχνικού προτύπου, πληροφοριακού εγγράφου τεχνικού προτύπου ή άλλου τεχνικού προτύπου και των τροποποιήσεών τους· η Υπηρεσία, ως ο σλοβακικός εθνικός οργανισμός τυποποίησης, αντί της επιστροφής του τέλους παροχής του σλοβακικού τεχνικού προτύπου, του πληροφοριακού εγγράφου τεχνικού προτύπου ή άλλου τεχνικού προτύπου και των τροποποιήσεών τους, μπορεί να παρέχει ένα πλήρες ή χωρίς φθορά αντίτυπο του σλοβακικού τεχνικού προτύπου, του πληροφοριακού εγγράφου τεχνικού προτύπου ή άλλου τεχνικού προτύπου και των τροποποιήσεών τους, ή ένα χωρίς φθορά αποθηκευτικό μέσο, όπου καταγράφηκε σε ηλεκτρονική μορφή το σλοβακικό τεχνικό πρότυπο ή το πληροφοριακό έγγραφο τεχνικού προτύπου.</w:t>
      </w:r>
    </w:p>
    <w:p w:rsidR="00E16F77" w:rsidRPr="008015BE" w:rsidRDefault="00E16F77" w:rsidP="00BB519B">
      <w:pPr>
        <w:keepNext/>
        <w:keepLines/>
        <w:widowControl/>
        <w:shd w:val="clear" w:color="auto" w:fill="FFFFFF"/>
        <w:spacing w:before="360"/>
        <w:jc w:val="center"/>
        <w:rPr>
          <w:b/>
          <w:bCs/>
          <w:color w:val="000000"/>
        </w:rPr>
      </w:pPr>
      <w:r>
        <w:rPr>
          <w:b/>
          <w:color w:val="000000"/>
        </w:rPr>
        <w:t>Παραβάσεις και λοιπές διοικητικές παραβάσεις</w:t>
      </w:r>
    </w:p>
    <w:p w:rsidR="00E16F77" w:rsidRPr="008015BE" w:rsidRDefault="00E16F77" w:rsidP="00BB519B">
      <w:pPr>
        <w:keepNext/>
        <w:keepLines/>
        <w:widowControl/>
        <w:shd w:val="clear" w:color="auto" w:fill="FFFFFF"/>
        <w:jc w:val="center"/>
        <w:rPr>
          <w:b/>
          <w:bCs/>
          <w:color w:val="000000"/>
        </w:rPr>
      </w:pPr>
      <w:r>
        <w:rPr>
          <w:b/>
          <w:color w:val="000000"/>
        </w:rPr>
        <w:t>Άρθρο 16</w:t>
      </w:r>
    </w:p>
    <w:p w:rsidR="00E16F77" w:rsidRPr="00D06F2A" w:rsidRDefault="00E16F77" w:rsidP="003E6A72">
      <w:pPr>
        <w:pStyle w:val="ListParagraph"/>
        <w:keepNext/>
        <w:keepLines/>
        <w:widowControl/>
        <w:numPr>
          <w:ilvl w:val="0"/>
          <w:numId w:val="30"/>
        </w:numPr>
        <w:shd w:val="clear" w:color="auto" w:fill="FFFFFF"/>
        <w:spacing w:before="120"/>
        <w:ind w:left="284" w:hanging="284"/>
        <w:contextualSpacing w:val="0"/>
        <w:jc w:val="both"/>
        <w:rPr>
          <w:color w:val="000000"/>
        </w:rPr>
      </w:pPr>
      <w:r>
        <w:rPr>
          <w:color w:val="000000"/>
        </w:rPr>
        <w:t>Διαπράττεται παράβαση σε περίπτωση που ένα άτομο προβαίνει:</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στη διανομή ενός σλοβακικού τεχνικού προκαταρκτικού προτύπου ή πληροφοριακού εγγράφου τεχνικού προτύπου ή μέρους αυτού χωρίς άδεια,</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στη σήμανση ενός εγγράφου με το σύμβολο «STN P» χωρίς άδεια,</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στη διανομή δωρεάν ενός σλοβακικού τεχνικού προτύπου ή πληροφοριακού εγγράφου τεχνικού προτύπου ή μέρους αυτού χωρίς άδεια,</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στη σήμανση ενός εγγράφου με το σύμβολο «STN» χωρίς άδεια,</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στη διανομή ενός σλοβακικού τεχνικού προτύπου ή μέρους αυτού έναντι αμοιβής.</w:t>
      </w:r>
    </w:p>
    <w:p w:rsidR="00E16F77" w:rsidRPr="00D06F2A"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Pr>
          <w:color w:val="000000"/>
        </w:rPr>
        <w:t>Η Υπηρεσία επιβάλλει πρόστιμο ύψους 30 EUR έως 1 500 EUR για τις παραβάσεις που αναφέρονται στην παράγραφο 1 στοιχείο α) ή β), πρόστιμο ύψους 45 EUR έως 3 000 EUR για την παράβαση που αναφέρεται στην παράγραφο 1 στοιχείο γ) και πρόστιμο ύψους 175 EUR έως 10 000 EUR για τις παραβάσεις που αναφέρονται στην παράγραφο 1 στοιχείο δ) ή ε).</w:t>
      </w:r>
    </w:p>
    <w:p w:rsidR="00E16F77" w:rsidRPr="00D06F2A"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Pr>
          <w:color w:val="000000"/>
        </w:rPr>
        <w:t>Οι παραβάσεις και οι συναφείς διαδικασίες υπόκεινται στις διατάξεις τη γενικής νομοθεσίας περί παραβάσεων</w:t>
      </w:r>
      <w:r>
        <w:rPr>
          <w:color w:val="000000"/>
          <w:vertAlign w:val="superscript"/>
        </w:rPr>
        <w:t>24)</w:t>
      </w:r>
      <w:r>
        <w:rPr>
          <w:color w:val="000000"/>
        </w:rPr>
        <w:t>.</w:t>
      </w:r>
    </w:p>
    <w:p w:rsidR="00E16F77" w:rsidRPr="00E35FA4" w:rsidRDefault="00E16F77" w:rsidP="00BB519B">
      <w:pPr>
        <w:keepNext/>
        <w:keepLines/>
        <w:widowControl/>
        <w:shd w:val="clear" w:color="auto" w:fill="FFFFFF"/>
        <w:spacing w:before="360"/>
        <w:jc w:val="center"/>
        <w:rPr>
          <w:b/>
          <w:bCs/>
          <w:color w:val="000000"/>
        </w:rPr>
      </w:pPr>
      <w:r>
        <w:rPr>
          <w:b/>
          <w:color w:val="000000"/>
        </w:rPr>
        <w:t>Άρθρο 17</w:t>
      </w:r>
    </w:p>
    <w:p w:rsidR="00E16F77" w:rsidRPr="00D06F2A"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Pr>
          <w:color w:val="000000"/>
        </w:rPr>
        <w:t>Η Υπηρεσία επιβάλλει πρόστιμο ύψους 30 EUR έως 500 EUR σε ατομική επιχείρηση ή νομικό πρόσωπο που διανέμει ένα σλοβακικό τεχνικό προκαταρκτικό πρότυπο ή πληροφοριακό έγγραφο τεχνικού προτύπου ή μέρος αυτού χωρίς άδεια ή επισημαίνει ένα έγγραφο με το σύμβολο «STN P» χωρίς άδεια.</w:t>
      </w:r>
    </w:p>
    <w:p w:rsidR="00E16F77" w:rsidRPr="00D06F2A"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Pr>
          <w:color w:val="000000"/>
        </w:rPr>
        <w:t>Η Υπηρεσία επιβάλλει πρόστιμο ύψους 50 EUR έως 5 000 EUR σε ατομική επιχείρηση ή νομικό πρόσωπο που διανέμει ένα σλοβακικό τεχνικό πρότυπο ή μέρος αυτού χωρίς άδεια.</w:t>
      </w:r>
    </w:p>
    <w:p w:rsidR="00E16F77" w:rsidRPr="00D06F2A" w:rsidRDefault="00E16F77" w:rsidP="003E6A72">
      <w:pPr>
        <w:pStyle w:val="ListParagraph"/>
        <w:keepNext/>
        <w:keepLines/>
        <w:widowControl/>
        <w:numPr>
          <w:ilvl w:val="0"/>
          <w:numId w:val="29"/>
        </w:numPr>
        <w:shd w:val="clear" w:color="auto" w:fill="FFFFFF"/>
        <w:spacing w:before="120"/>
        <w:ind w:left="284" w:hanging="284"/>
        <w:contextualSpacing w:val="0"/>
        <w:jc w:val="both"/>
        <w:rPr>
          <w:color w:val="000000"/>
        </w:rPr>
      </w:pPr>
      <w:r>
        <w:rPr>
          <w:color w:val="000000"/>
        </w:rPr>
        <w:t>Η Υπηρεσία επιβάλλει πρόστιμο ύψους 350 EUR έως 35 000 EUR σε ατομική επιχείρηση ή νομικό πρόσωπο που χωρίς άδεια</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επισημαίνει έγγραφο με το σύμβολο «STN» ή</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στη διανομή ενός σλοβακικού τεχνικού προτύπου ή μέρους αυτού έναντι αμοιβής.</w:t>
      </w:r>
    </w:p>
    <w:p w:rsidR="00E16F77" w:rsidRPr="00E35FA4" w:rsidRDefault="00E16F77" w:rsidP="00BB519B">
      <w:pPr>
        <w:keepNext/>
        <w:keepLines/>
        <w:widowControl/>
        <w:shd w:val="clear" w:color="auto" w:fill="FFFFFF"/>
        <w:spacing w:before="360"/>
        <w:jc w:val="center"/>
        <w:rPr>
          <w:b/>
          <w:bCs/>
          <w:color w:val="000000"/>
        </w:rPr>
      </w:pPr>
      <w:r>
        <w:rPr>
          <w:b/>
          <w:color w:val="000000"/>
        </w:rPr>
        <w:t>Άρθρο 18</w:t>
      </w:r>
    </w:p>
    <w:p w:rsidR="000D1A6C"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Οι διαδικασίες επιβολής προστίμου μπορούν να ξεκινήσουν εντός τριών ετών από την ημέρα τέλεσης της παράνομης πράξης.</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Κατά την επιβολή προστίμου, εξετάζεται η βαρύτητα, ο τρόπος, η διάρκεια και οι συνέπειες της παράνομης πράξης.</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Τα πρόστιμα καταβάλλονται στον κρατικό προϋπολογισμό.</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Σε περίπτωση επανάληψης της παράνομης πράξης εντός ενός έτους από την ημερομηνία που καταστεί τελεσίδικη η απόφαση για την επιβολή προστίμου, η Υπηρεσία επιβάλλει πρόστιμο έως δύο φορές το ποσό του επιβαλλόμενου προστίμου.</w:t>
      </w:r>
    </w:p>
    <w:p w:rsidR="00BB519B" w:rsidRPr="00D06F2A" w:rsidRDefault="00E16F77" w:rsidP="00BB519B">
      <w:pPr>
        <w:keepNext/>
        <w:keepLines/>
        <w:widowControl/>
        <w:shd w:val="clear" w:color="auto" w:fill="FFFFFF"/>
        <w:spacing w:before="360"/>
        <w:jc w:val="center"/>
        <w:rPr>
          <w:b/>
          <w:bCs/>
          <w:color w:val="000000"/>
        </w:rPr>
      </w:pPr>
      <w:r>
        <w:rPr>
          <w:b/>
          <w:color w:val="000000"/>
        </w:rPr>
        <w:lastRenderedPageBreak/>
        <w:t>Άρθρο 19</w:t>
      </w:r>
    </w:p>
    <w:p w:rsidR="00E16F77" w:rsidRPr="008015BE" w:rsidRDefault="00E16F77" w:rsidP="00BB519B">
      <w:pPr>
        <w:keepNext/>
        <w:keepLines/>
        <w:widowControl/>
        <w:shd w:val="clear" w:color="auto" w:fill="FFFFFF"/>
        <w:jc w:val="center"/>
        <w:rPr>
          <w:b/>
          <w:bCs/>
          <w:color w:val="000000"/>
        </w:rPr>
      </w:pPr>
      <w:r>
        <w:rPr>
          <w:b/>
          <w:color w:val="000000"/>
        </w:rPr>
        <w:t>Διατάξεις αδειοδότησης</w:t>
      </w:r>
    </w:p>
    <w:p w:rsidR="00E16F77" w:rsidRPr="00D06F2A" w:rsidRDefault="00E16F77" w:rsidP="00D65D8D">
      <w:pPr>
        <w:keepNext/>
        <w:keepLines/>
        <w:widowControl/>
        <w:shd w:val="clear" w:color="auto" w:fill="FFFFFF"/>
        <w:spacing w:before="120"/>
        <w:rPr>
          <w:color w:val="000000"/>
        </w:rPr>
      </w:pPr>
      <w:r>
        <w:rPr>
          <w:color w:val="000000"/>
        </w:rPr>
        <w:t>Η Υπηρεσία θα εκδώσει νόμο γενικής εφαρμογής στον οποίο θα καθορίζει</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το ποσό του τέλους συνδρομής για την παροχή σλοβακικών τεχνικών προτύπων, πληροφοριακών εγγράφων τεχνικών προτύπων, λοιπών τεχνικών προτύπων και των τροποποιήσεών τους και την Επίσημη Εφημερίδα και για τη χορήγηση αδειών για παράθεση αποσπασμάτων από σλοβακικά τεχνικά πρότυπα ή πληροφοριακά έγγραφα τεχνικών προτύπων,</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το ποσό των τελών συνδρομής για δραστηριότητες που αφορούν την παροχή σλοβακικών τεχνικών προτύπων, πληροφοριακών εγγράφων τεχνικών προτύπων και λοιπών τεχνικών προτύπων και των διορθωτικών τους,</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την ελάχιστη αμοιβή για την παροχή ηλεκτρονικών υπηρεσιών STN μέσω της πύλης και το ποσό του τέλους συνδρομής για την παροχή ηλεκτρονικών υπηρεσιών STN μέσω της πύλης,</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τον τρόπο με τον οποίο παρέχονται τα σλοβακικά τεχνικά πρότυπα, τα πληροφοριακά έγγραφα τεχνικών προτύπων και λοιπά τεχνικά πρότυπα και οι τροποποιήσεις τους,</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τις λεπτομέρειες χορήγησης άδειας από παραθέσεις αποσπασμάτων από σλοβακικά τεχνικά πρότυπα ή πληροφοριακά έγγραφα τεχνικών προτύπων, το έντυπο αίτησης για άδεια παράθεσης αποσπασμάτων από σλοβακικά τεχνικά πρότυπα ή πληροφοριακά έγγραφα τεχνικών προτύπων και το έντυπο χορήγησης άδειας για παράθεση αποσπασμάτων από σλοβακικά τεχνικά πρότυπα ή πληροφοριακά έγγραφα τεχνικών προτύπων,</w:t>
      </w:r>
    </w:p>
    <w:p w:rsidR="00E16F77" w:rsidRPr="00D06F2A" w:rsidRDefault="00E16F77" w:rsidP="003E6A72">
      <w:pPr>
        <w:widowControl/>
        <w:numPr>
          <w:ilvl w:val="0"/>
          <w:numId w:val="14"/>
        </w:numPr>
        <w:shd w:val="clear" w:color="auto" w:fill="FFFFFF"/>
        <w:tabs>
          <w:tab w:val="left" w:pos="567"/>
        </w:tabs>
        <w:spacing w:before="120"/>
        <w:ind w:left="567" w:hanging="283"/>
        <w:rPr>
          <w:color w:val="000000"/>
        </w:rPr>
      </w:pPr>
      <w:r>
        <w:rPr>
          <w:color w:val="000000"/>
        </w:rPr>
        <w:t>τις εκπτώσεις από τέλη που αναφέρονται στα στοιχεία α) και β).</w:t>
      </w:r>
    </w:p>
    <w:p w:rsidR="00BB519B" w:rsidRPr="00D06F2A" w:rsidRDefault="00E16F77" w:rsidP="00BB519B">
      <w:pPr>
        <w:keepNext/>
        <w:keepLines/>
        <w:widowControl/>
        <w:shd w:val="clear" w:color="auto" w:fill="FFFFFF"/>
        <w:spacing w:before="360"/>
        <w:jc w:val="center"/>
        <w:rPr>
          <w:b/>
          <w:bCs/>
          <w:color w:val="000000"/>
        </w:rPr>
      </w:pPr>
      <w:r>
        <w:rPr>
          <w:b/>
          <w:color w:val="000000"/>
        </w:rPr>
        <w:t>Άρθρο 20</w:t>
      </w:r>
    </w:p>
    <w:p w:rsidR="00E16F77" w:rsidRPr="008015BE" w:rsidRDefault="00E16F77" w:rsidP="00BB519B">
      <w:pPr>
        <w:keepNext/>
        <w:keepLines/>
        <w:widowControl/>
        <w:shd w:val="clear" w:color="auto" w:fill="FFFFFF"/>
        <w:jc w:val="center"/>
        <w:rPr>
          <w:b/>
          <w:bCs/>
          <w:color w:val="000000"/>
        </w:rPr>
      </w:pPr>
      <w:r>
        <w:rPr>
          <w:b/>
          <w:color w:val="000000"/>
        </w:rPr>
        <w:t>Μεταβατικές διατάξεις</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Οι διαδικασίες που ξεκινούν πριν από την 1η Απριλίου 2018 ολοκληρώνονται σύμφωνα με την ισχύουσα νομοθεσία έως τις 31 Μαρτίου 2018.</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Η Υπηρεσία, το αργότερο έως τις 31 Μαρτίου 2019, εναρμονίζει τις έννομες σχέσεις που αφορούν την παροχή σλοβακικών τεχνικών προτύπων και λοιπών τεχνικών προτύπων που παρέχονται πριν από την 1η Απριλίου 2018 με την ισχύουσα νομοθεσία από 1 Απριλίου 2018.</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Τα σλοβακικά τεχνικά πρότυπα, τα σλοβακικά τεχνικά προκαταρκτικά πρότυπα και τα πληροφοριακά έγγραφα τεχνικών προτύπων που γίνονται δεκτά ως μέρος του συστήματος σλοβακικών τεχνικών προτύπων πριν την 1η Απριλίου 2018 θεωρούνται σλοβακικά τεχνικά πρότυπα, σλοβακικά τεχνικά προκαταρκτικά πρότυπα και πληροφοριακά έγγραφα τεχνικών προτύπων βάσει του παρόντος νόμου.</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Οι υπάρχουσες τεχνικές επιτροπές θεωρούνται τεχνικές επιτροπές βάσει του παρόντος νόμου.</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Η ισχύουσα νομοθεσία που εκδίδεται με βάση τις διατάξεις χορήγησης άδειας σύμφωνα με τον ισχύοντα νόμο θεωρείται ισχύουσα νομοθεσία σύμφωνα με τον παρόντα νόμο έως την έκδοση της νομοθεσίας που αναφέρεται στο άρθρο 19, αλλά όχι μετά την 1η Απριλίου 2019.</w:t>
      </w:r>
    </w:p>
    <w:p w:rsidR="00BB519B" w:rsidRPr="00D06F2A" w:rsidRDefault="00E16F77" w:rsidP="00BB519B">
      <w:pPr>
        <w:keepNext/>
        <w:keepLines/>
        <w:widowControl/>
        <w:shd w:val="clear" w:color="auto" w:fill="FFFFFF"/>
        <w:spacing w:before="360"/>
        <w:jc w:val="center"/>
        <w:rPr>
          <w:b/>
          <w:bCs/>
          <w:color w:val="000000"/>
        </w:rPr>
      </w:pPr>
      <w:r>
        <w:rPr>
          <w:b/>
          <w:color w:val="000000"/>
        </w:rPr>
        <w:t>Άρθρο 21</w:t>
      </w:r>
    </w:p>
    <w:p w:rsidR="00E16F77" w:rsidRPr="008015BE" w:rsidRDefault="00E16F77" w:rsidP="00BB519B">
      <w:pPr>
        <w:keepNext/>
        <w:keepLines/>
        <w:widowControl/>
        <w:shd w:val="clear" w:color="auto" w:fill="FFFFFF"/>
        <w:jc w:val="center"/>
        <w:rPr>
          <w:b/>
          <w:bCs/>
          <w:color w:val="000000"/>
        </w:rPr>
      </w:pPr>
      <w:r>
        <w:rPr>
          <w:b/>
          <w:color w:val="000000"/>
        </w:rPr>
        <w:t>Θέση σε ισχύ</w:t>
      </w:r>
    </w:p>
    <w:p w:rsidR="00E16F77" w:rsidRPr="00D06F2A" w:rsidRDefault="00E16F77" w:rsidP="00B3535A">
      <w:pPr>
        <w:widowControl/>
        <w:shd w:val="clear" w:color="auto" w:fill="FFFFFF"/>
        <w:spacing w:before="120"/>
        <w:jc w:val="both"/>
        <w:rPr>
          <w:color w:val="000000"/>
        </w:rPr>
      </w:pPr>
      <w:r>
        <w:rPr>
          <w:color w:val="000000"/>
        </w:rPr>
        <w:t>Ο νόμος τίθεται σε ισχύ την 1η Απριλίου 2018, εκτός από την πρόταση μετά την άνω τελεία στο άρθρο 14 παράγραφος 4 στοιχείο α), η οποία τίθεται σε ισχύ την 1η Απριλίου 2020.</w:t>
      </w:r>
    </w:p>
    <w:p w:rsidR="00E16F77" w:rsidRPr="007D1E66" w:rsidRDefault="00E16F77" w:rsidP="00B3535A">
      <w:pPr>
        <w:widowControl/>
        <w:shd w:val="clear" w:color="auto" w:fill="FFFFFF"/>
        <w:spacing w:before="360"/>
        <w:jc w:val="center"/>
        <w:rPr>
          <w:color w:val="000000"/>
        </w:rPr>
      </w:pPr>
      <w:r>
        <w:rPr>
          <w:b/>
          <w:color w:val="000000"/>
        </w:rPr>
        <w:t>Andrej Kiska (ιδιόχειρη υπογραφή)</w:t>
      </w:r>
    </w:p>
    <w:p w:rsidR="00E16F77" w:rsidRPr="007D1E66" w:rsidRDefault="00E16F77" w:rsidP="00B3535A">
      <w:pPr>
        <w:widowControl/>
        <w:shd w:val="clear" w:color="auto" w:fill="FFFFFF"/>
        <w:spacing w:before="360"/>
        <w:jc w:val="center"/>
        <w:rPr>
          <w:b/>
          <w:bCs/>
          <w:color w:val="000000"/>
        </w:rPr>
      </w:pPr>
      <w:r>
        <w:rPr>
          <w:b/>
          <w:color w:val="000000"/>
        </w:rPr>
        <w:t>Andrej Danko (ιδιόχειρη υπογραφή)</w:t>
      </w:r>
    </w:p>
    <w:p w:rsidR="00E16F77" w:rsidRPr="00D06F2A" w:rsidRDefault="00E16F77" w:rsidP="00B3535A">
      <w:pPr>
        <w:widowControl/>
        <w:shd w:val="clear" w:color="auto" w:fill="FFFFFF"/>
        <w:spacing w:before="360"/>
        <w:jc w:val="center"/>
        <w:rPr>
          <w:b/>
          <w:bCs/>
          <w:color w:val="000000"/>
        </w:rPr>
      </w:pPr>
      <w:r>
        <w:rPr>
          <w:b/>
          <w:color w:val="000000"/>
        </w:rPr>
        <w:t>Robert Fico (ιδιόχειρη υπογραφή)</w:t>
      </w:r>
    </w:p>
    <w:p w:rsidR="00F6126B" w:rsidRPr="00D06F2A" w:rsidRDefault="00F6126B" w:rsidP="00BB519B">
      <w:pPr>
        <w:pageBreakBefore/>
        <w:widowControl/>
        <w:autoSpaceDE/>
        <w:autoSpaceDN/>
        <w:adjustRightInd/>
        <w:spacing w:before="120"/>
        <w:jc w:val="both"/>
        <w:rPr>
          <w:color w:val="000000"/>
        </w:rPr>
      </w:pPr>
      <w:r>
        <w:rPr>
          <w:color w:val="000000"/>
        </w:rPr>
        <w:lastRenderedPageBreak/>
        <w:t>1) Άρθρο 2 παράγραφος 1 στοιχεία α) και δ) του κανονισμού (ΕΕ) αριθ. 1025/2012 του Ευρωπαϊκού Κοινοβουλίου και του Συμβουλίου, της 25ης Οκτωβρίου 2012, σχετικά με την ευρωπαϊκή τυποποίηση, την τροποποίηση των οδηγιών του Συμβουλίου 89/686/ΕΟΚ και 93/15/ΕΟΚ και των οδηγιών του Ευρωπαϊκού Κοινοβουλίου και του Συμβουλίου 94/9/ΕΚ, 94/25/ΕΚ, 95/16/ΕΚ, 97/23/ΕΚ, 98/34/ΕΚ, 2004/22/ΕΚ, 2007/23/ΕΚ, 2009/23/ΕΚ και 2009/105/ΕΚ και την κατάργηση της απόφασης 87/95/ΕΟΚ του Συμβουλίου και της απόφασης αριθ. 1673/2006/ΕΚ του Ευρωπαϊκού Κοινοβουλίου και του Συμβουλίου (ΕΕ L 316 της 14.11.2012),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2) Άρθρο 2 παράγραφος 1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3) Άρθρο 2 σημείο i) του νόμου αριθ. 55/2018 για την πληροφόρηση σχετικά με τους τεχνικούς κανονισμούς και τα εμπόδια για την ελεύθερη κυκλοφορίας αγαθών, όπως τροποποιήθηκε.</w:t>
      </w:r>
    </w:p>
    <w:p w:rsidR="00F6126B" w:rsidRPr="00D06F2A" w:rsidRDefault="00F6126B" w:rsidP="00B3535A">
      <w:pPr>
        <w:widowControl/>
        <w:autoSpaceDE/>
        <w:autoSpaceDN/>
        <w:adjustRightInd/>
        <w:spacing w:before="120"/>
        <w:jc w:val="both"/>
        <w:rPr>
          <w:color w:val="000000"/>
        </w:rPr>
      </w:pPr>
      <w:r>
        <w:rPr>
          <w:color w:val="000000"/>
        </w:rPr>
        <w:t>4) Άρθρο 2 παράγραφος 1 στοιχείο β)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5) Άρθρο 2 παράγραφος 1 στοιχείο α)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6) Παράρτημα 1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7) Άρθρο 2 παράγραφος 9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8) Νόμος αριθ. 211/2000 για την ελεύθερη πρόσβαση στις πληροφορίες και σχετικά με την τροποποίηση ορισμένων νόμων (νόμος περί ελεύθερης πληροφόρησης), όπως τροποποιήθηκε.</w:t>
      </w:r>
    </w:p>
    <w:p w:rsidR="00F6126B" w:rsidRPr="00D06F2A" w:rsidRDefault="00F6126B" w:rsidP="00B3535A">
      <w:pPr>
        <w:widowControl/>
        <w:autoSpaceDE/>
        <w:autoSpaceDN/>
        <w:adjustRightInd/>
        <w:spacing w:before="120"/>
        <w:jc w:val="both"/>
        <w:rPr>
          <w:color w:val="000000"/>
        </w:rPr>
      </w:pPr>
      <w:r>
        <w:rPr>
          <w:color w:val="000000"/>
        </w:rPr>
        <w:t>9) Άρθρο 41 παράγραφος 1 στοιχείο γ) δεύτερο σημείο του νόμου αριθ. 55/2018.</w:t>
      </w:r>
    </w:p>
    <w:p w:rsidR="00F6126B" w:rsidRPr="00D06F2A" w:rsidRDefault="00F6126B" w:rsidP="00B3535A">
      <w:pPr>
        <w:widowControl/>
        <w:autoSpaceDE/>
        <w:autoSpaceDN/>
        <w:adjustRightInd/>
        <w:spacing w:before="120"/>
        <w:jc w:val="both"/>
        <w:rPr>
          <w:color w:val="000000"/>
        </w:rPr>
      </w:pPr>
      <w:r>
        <w:rPr>
          <w:color w:val="000000"/>
        </w:rPr>
        <w:t>10) Άρθρο 27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11) Άρθρο 2 παράγραφος 10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12) Άρθρο 2 παράγραφος 2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13) Άρθρο 5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14) Άρθρο 2 παράγραφος 2 του παραρτήματος I του κανονισμού (ΕΕ) αριθ. 651/2014, της 17ης Ιουνίου 2014, για την κήρυξη ορισμένων κατηγοριών ενισχύσεων ως συμβατών με την ενιαία αγορά κατ' εφαρμογή των άρθρων 107 και 108 της Συνθήκης.</w:t>
      </w:r>
    </w:p>
    <w:p w:rsidR="00F6126B" w:rsidRPr="00D06F2A" w:rsidRDefault="00F6126B" w:rsidP="00B3535A">
      <w:pPr>
        <w:widowControl/>
        <w:autoSpaceDE/>
        <w:autoSpaceDN/>
        <w:adjustRightInd/>
        <w:spacing w:before="120"/>
        <w:jc w:val="both"/>
        <w:rPr>
          <w:color w:val="000000"/>
        </w:rPr>
      </w:pPr>
      <w:r>
        <w:rPr>
          <w:color w:val="000000"/>
        </w:rPr>
        <w:t>15) Άρθρο 2 του παραρτήματος I του κανονισμού (ΕΕ) αριθ. 651/2014.</w:t>
      </w:r>
    </w:p>
    <w:p w:rsidR="00F6126B" w:rsidRPr="00D06F2A" w:rsidRDefault="00F6126B" w:rsidP="00B3535A">
      <w:pPr>
        <w:widowControl/>
        <w:autoSpaceDE/>
        <w:autoSpaceDN/>
        <w:adjustRightInd/>
        <w:spacing w:before="120"/>
        <w:jc w:val="both"/>
        <w:rPr>
          <w:color w:val="000000"/>
        </w:rPr>
      </w:pPr>
      <w:r>
        <w:rPr>
          <w:color w:val="000000"/>
        </w:rPr>
        <w:t>16) Νόμος αριθ. 343/2015 για τις δημόσιες συμβάσεις και τις τροποποιήσεις ορισμένων νόμων, όπως τροποποιήθηκε.</w:t>
      </w:r>
    </w:p>
    <w:p w:rsidR="00F6126B" w:rsidRPr="00D06F2A" w:rsidRDefault="00F6126B" w:rsidP="00B3535A">
      <w:pPr>
        <w:widowControl/>
        <w:autoSpaceDE/>
        <w:autoSpaceDN/>
        <w:adjustRightInd/>
        <w:spacing w:before="120"/>
        <w:jc w:val="both"/>
        <w:rPr>
          <w:color w:val="000000"/>
        </w:rPr>
      </w:pPr>
      <w:r>
        <w:rPr>
          <w:color w:val="000000"/>
        </w:rPr>
        <w:t>17) Άρθρο 2 παράγραφος 1 στοιχείο γ)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18) Άρθρο 11 του κανονισμού (ΕΕ) αριθ. 1025/2012, όπως τροποποιήθηκε.</w:t>
      </w:r>
    </w:p>
    <w:p w:rsidR="00F6126B" w:rsidRPr="00D06F2A" w:rsidRDefault="00F6126B" w:rsidP="00B3535A">
      <w:pPr>
        <w:widowControl/>
        <w:autoSpaceDE/>
        <w:autoSpaceDN/>
        <w:adjustRightInd/>
        <w:spacing w:before="120"/>
        <w:jc w:val="both"/>
        <w:rPr>
          <w:color w:val="000000"/>
        </w:rPr>
      </w:pPr>
      <w:r>
        <w:rPr>
          <w:color w:val="000000"/>
        </w:rPr>
        <w:t>19) Νόμος αριθ. 245/2008 για την εκπαίδευση και κατάρτιση (νόμος περί σχολείων) και τροποποιήσεις ορισμένων νόμων, όπως τροποποιήθηκε.</w:t>
      </w:r>
    </w:p>
    <w:p w:rsidR="00F6126B" w:rsidRPr="00D06F2A" w:rsidRDefault="00F6126B" w:rsidP="00B3535A">
      <w:pPr>
        <w:widowControl/>
        <w:autoSpaceDE/>
        <w:autoSpaceDN/>
        <w:adjustRightInd/>
        <w:spacing w:before="120"/>
        <w:jc w:val="both"/>
        <w:rPr>
          <w:color w:val="000000"/>
        </w:rPr>
      </w:pPr>
      <w:r>
        <w:rPr>
          <w:color w:val="000000"/>
        </w:rPr>
        <w:t>20) Νόμος αριθ. 317/2009 σχετικά με εκπαιδευτικούς και εξειδικευμένο προσωπικό και τροποποιήσεις ορισμένων νόμων, όπως τροποποιήθηκε.</w:t>
      </w:r>
    </w:p>
    <w:p w:rsidR="00F6126B" w:rsidRPr="00D06F2A" w:rsidRDefault="00F6126B" w:rsidP="00B3535A">
      <w:pPr>
        <w:widowControl/>
        <w:autoSpaceDE/>
        <w:autoSpaceDN/>
        <w:adjustRightInd/>
        <w:spacing w:before="120"/>
        <w:jc w:val="both"/>
        <w:rPr>
          <w:color w:val="000000"/>
        </w:rPr>
      </w:pPr>
      <w:r>
        <w:rPr>
          <w:color w:val="000000"/>
        </w:rPr>
        <w:t>21) άρθρα 73, 76 και 79 του νόμου αριθ. 245/2008, όπως τροποποιήθηκε.</w:t>
      </w:r>
    </w:p>
    <w:p w:rsidR="00F6126B" w:rsidRPr="00D06F2A" w:rsidRDefault="00F6126B" w:rsidP="00B3535A">
      <w:pPr>
        <w:widowControl/>
        <w:autoSpaceDE/>
        <w:autoSpaceDN/>
        <w:adjustRightInd/>
        <w:spacing w:before="120"/>
        <w:jc w:val="both"/>
        <w:rPr>
          <w:color w:val="000000"/>
        </w:rPr>
      </w:pPr>
      <w:r>
        <w:rPr>
          <w:color w:val="000000"/>
        </w:rPr>
        <w:t>22) άρθρο 51 του νόμου αριθ. 131/2002 για την ανώτερη εκπαίδευση και για τροποποιήσεις ορισμένων νόμων, όπως τροποποιήθηκε.</w:t>
      </w:r>
    </w:p>
    <w:p w:rsidR="00F6126B" w:rsidRPr="00D06F2A" w:rsidRDefault="00F6126B" w:rsidP="00B3535A">
      <w:pPr>
        <w:widowControl/>
        <w:autoSpaceDE/>
        <w:autoSpaceDN/>
        <w:adjustRightInd/>
        <w:spacing w:before="120"/>
        <w:jc w:val="both"/>
        <w:rPr>
          <w:color w:val="000000"/>
        </w:rPr>
      </w:pPr>
      <w:r>
        <w:rPr>
          <w:color w:val="000000"/>
        </w:rPr>
        <w:t>23) άρθρο 49 παράγραφος 6 του νόμου αριθ. 317/2009, όπως τροποποιήθηκε από τον νόμο αριθ. 390/2011.</w:t>
      </w:r>
    </w:p>
    <w:p w:rsidR="00F6126B" w:rsidRPr="00D06F2A" w:rsidRDefault="00F6126B" w:rsidP="00B3535A">
      <w:pPr>
        <w:widowControl/>
        <w:autoSpaceDE/>
        <w:autoSpaceDN/>
        <w:adjustRightInd/>
        <w:spacing w:before="120"/>
        <w:jc w:val="both"/>
        <w:rPr>
          <w:color w:val="000000"/>
        </w:rPr>
      </w:pPr>
      <w:r>
        <w:rPr>
          <w:color w:val="000000"/>
        </w:rPr>
        <w:t>24) Νόμος αριθ. 372/1990 του Σλοβακικού Εθνικού Συμβουλίου περί παραβάσεων, όπως τροποποιήθηκε.</w:t>
      </w:r>
    </w:p>
    <w:p w:rsidR="00E16F77" w:rsidRPr="00D06F2A" w:rsidRDefault="00E16F77" w:rsidP="00BB519B">
      <w:pPr>
        <w:pageBreakBefore/>
        <w:widowControl/>
        <w:autoSpaceDE/>
        <w:autoSpaceDN/>
        <w:adjustRightInd/>
        <w:spacing w:before="120"/>
        <w:jc w:val="right"/>
        <w:rPr>
          <w:b/>
          <w:bCs/>
          <w:color w:val="000000"/>
        </w:rPr>
      </w:pPr>
      <w:r>
        <w:rPr>
          <w:b/>
          <w:color w:val="000000"/>
        </w:rPr>
        <w:lastRenderedPageBreak/>
        <w:t>Παράρτημα του νόμου αριθ. 60/2018</w:t>
      </w:r>
    </w:p>
    <w:p w:rsidR="00BB519B" w:rsidRPr="00D06F2A" w:rsidRDefault="00BB519B" w:rsidP="00BB519B">
      <w:pPr>
        <w:spacing w:before="120" w:after="120"/>
        <w:rPr>
          <w:sz w:val="24"/>
          <w:szCs w:val="24"/>
        </w:rPr>
      </w:pPr>
      <w:r>
        <w:rPr>
          <w:sz w:val="24"/>
        </w:rPr>
        <w:t>1. Το σύμβολο «STN»:</w:t>
      </w:r>
    </w:p>
    <w:p w:rsidR="00BB519B" w:rsidRPr="00D06F2A" w:rsidRDefault="002B17BF" w:rsidP="00BB519B">
      <w:pPr>
        <w:rPr>
          <w:rFonts w:ascii="Calibri" w:hAnsi="Calibri" w:cs="Calibri"/>
          <w:sz w:val="22"/>
          <w:szCs w:val="22"/>
        </w:rPr>
      </w:pPr>
      <w:r>
        <w:rPr>
          <w:noProof/>
        </w:rPr>
        <w:pict>
          <v:shape id="Obrázok 3" o:spid="_x0000_i1026" type="#_x0000_t75" alt="01" style="width:193.5pt;height:85.5pt;visibility:visible">
            <v:imagedata r:id="rId9" o:title="01"/>
          </v:shape>
        </w:pict>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2. Το σύμβολο «STN-P»:</w:t>
      </w:r>
    </w:p>
    <w:p w:rsidR="00BB519B" w:rsidRPr="00D06F2A" w:rsidRDefault="002B17BF" w:rsidP="00BB519B">
      <w:pPr>
        <w:rPr>
          <w:rFonts w:ascii="Calibri" w:hAnsi="Calibri" w:cs="Calibri"/>
          <w:sz w:val="22"/>
          <w:szCs w:val="22"/>
        </w:rPr>
      </w:pPr>
      <w:r>
        <w:rPr>
          <w:noProof/>
        </w:rPr>
        <w:pict>
          <v:shape id="Obrázok 2" o:spid="_x0000_i1027" type="#_x0000_t75" alt="04" style="width:262.5pt;height:169.5pt;visibility:visible">
            <v:imagedata r:id="rId10" o:title="04"/>
          </v:shape>
        </w:pict>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3. Το σύμβολο «TNI»:</w:t>
      </w:r>
    </w:p>
    <w:p w:rsidR="00BB519B" w:rsidRPr="00D06F2A" w:rsidRDefault="002B17BF" w:rsidP="00BB519B">
      <w:pPr>
        <w:rPr>
          <w:rFonts w:ascii="Calibri" w:hAnsi="Calibri" w:cs="Calibri"/>
          <w:sz w:val="22"/>
          <w:szCs w:val="22"/>
        </w:rPr>
      </w:pPr>
      <w:r>
        <w:rPr>
          <w:noProof/>
        </w:rPr>
        <w:pict>
          <v:shape id="Obrázok 1" o:spid="_x0000_i1028" type="#_x0000_t75" alt="03" style="width:193.5pt;height:85.5pt;visibility:visible">
            <v:imagedata r:id="rId11" o:title="03"/>
          </v:shape>
        </w:pict>
      </w: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C45F85" w:rsidRPr="00D06F2A" w:rsidRDefault="00C45F85" w:rsidP="00B3535A">
      <w:pPr>
        <w:widowControl/>
        <w:autoSpaceDE/>
        <w:autoSpaceDN/>
        <w:adjustRightInd/>
        <w:spacing w:before="12000"/>
        <w:jc w:val="center"/>
        <w:rPr>
          <w:color w:val="000000"/>
          <w:sz w:val="2"/>
          <w:szCs w:val="2"/>
        </w:rPr>
      </w:pPr>
    </w:p>
    <w:p w:rsidR="00E16F77" w:rsidRPr="00CA7C88" w:rsidRDefault="00993D3C" w:rsidP="00CA7C88">
      <w:pPr>
        <w:widowControl/>
        <w:autoSpaceDE/>
        <w:autoSpaceDN/>
        <w:adjustRightInd/>
        <w:spacing w:before="13320"/>
        <w:jc w:val="center"/>
        <w:rPr>
          <w:color w:val="000000"/>
          <w:sz w:val="16"/>
        </w:rPr>
      </w:pPr>
      <w:r>
        <w:rPr>
          <w:color w:val="000000"/>
          <w:sz w:val="16"/>
        </w:rPr>
        <w:pict>
          <v:line id="Rovná spojnica 3" o:spid="_x0000_s1027" style="position:absolute;left:0;text-align:left;z-index:1;visibility:visible" from="-8.45pt,658.5pt" to="477.2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" strokeweight="1pt"/>
        </w:pict>
      </w:r>
      <w:r w:rsidR="00591388" w:rsidRPr="00CA7C88">
        <w:rPr>
          <w:sz w:val="18"/>
        </w:rPr>
        <w:t>Το Υπουργείο Δικαιοσύνης της</w:t>
      </w:r>
      <w:bookmarkStart w:id="0" w:name="_GoBack"/>
      <w:bookmarkEnd w:id="0"/>
      <w:r w:rsidR="00591388" w:rsidRPr="00CA7C88">
        <w:rPr>
          <w:sz w:val="18"/>
        </w:rPr>
        <w:t xml:space="preserve"> Σλοβακικής Δημοκρατίας</w:t>
      </w:r>
      <w:r w:rsidR="00591388" w:rsidRPr="00CA7C88">
        <w:rPr>
          <w:color w:val="000000"/>
          <w:sz w:val="16"/>
        </w:rPr>
        <w:t xml:space="preserve">, </w:t>
      </w:r>
      <w:r w:rsidR="00591388" w:rsidRPr="00CA7C88">
        <w:rPr>
          <w:sz w:val="18"/>
        </w:rPr>
        <w:t xml:space="preserve">είναι ο εκδότης της Συλλογής νόμων της Σλοβακικής Δημοκρατίας και ο διαχειριστής περιεχομένου καθώς και ο φορέας λειτουργίας της νομικής πύλης/πύλης πληροφοριών Slov-Lex που διατίθεται στη διεύθυνση </w:t>
      </w:r>
      <w:hyperlink r:id="rId12">
        <w:r w:rsidR="00591388" w:rsidRPr="00CA7C88">
          <w:rPr>
            <w:color w:val="000000"/>
            <w:sz w:val="16"/>
          </w:rPr>
          <w:t>www.slov-lex.sk</w:t>
        </w:r>
      </w:hyperlink>
      <w:r w:rsidR="00591388" w:rsidRPr="00CA7C88">
        <w:rPr>
          <w:color w:val="000000"/>
          <w:sz w:val="16"/>
        </w:rPr>
        <w:t>.</w:t>
      </w:r>
      <w:r w:rsidR="00CA7C88" w:rsidRPr="00CA7C88">
        <w:rPr>
          <w:color w:val="000000"/>
          <w:sz w:val="16"/>
        </w:rPr>
        <w:br/>
        <w:t xml:space="preserve">Župné námestie 13, 813 11 Μπρατισλάβα, τηλ: +421 2 888 91 137, φαξ: </w:t>
      </w:r>
      <w:r w:rsidR="00CA7C88">
        <w:rPr>
          <w:color w:val="000000"/>
          <w:sz w:val="16"/>
        </w:rPr>
        <w:t>+421 2 52442853,</w:t>
      </w:r>
      <w:r w:rsidR="00CA7C88">
        <w:rPr>
          <w:color w:val="000000"/>
          <w:sz w:val="16"/>
        </w:rPr>
        <w:br/>
      </w:r>
      <w:r w:rsidR="00CA7C88" w:rsidRPr="00CA7C88">
        <w:rPr>
          <w:color w:val="000000"/>
          <w:sz w:val="16"/>
        </w:rPr>
        <w:t>διεύθυνση ηλεκτρονικού ταχυδρομείου: helpdesk@slov-lex.sk.</w:t>
      </w:r>
    </w:p>
    <w:sectPr w:rsidR="00E16F77" w:rsidRPr="00CA7C88" w:rsidSect="007C4BCF">
      <w:headerReference w:type="even" r:id="rId13"/>
      <w:headerReference w:type="default" r:id="rId14"/>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D3C" w:rsidRDefault="00993D3C" w:rsidP="00411B8D">
      <w:r>
        <w:separator/>
      </w:r>
    </w:p>
  </w:endnote>
  <w:endnote w:type="continuationSeparator" w:id="0">
    <w:p w:rsidR="00993D3C" w:rsidRDefault="00993D3C" w:rsidP="004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XGyreBonumBold">
    <w:altName w:val="Times New Roman"/>
    <w:panose1 w:val="00000000000000000000"/>
    <w:charset w:val="EE"/>
    <w:family w:val="auto"/>
    <w:notTrueType/>
    <w:pitch w:val="default"/>
    <w:sig w:usb0="00000005" w:usb1="00000000" w:usb2="00000000" w:usb3="00000000" w:csb0="00000002"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D3C" w:rsidRDefault="00993D3C" w:rsidP="00411B8D">
      <w:r>
        <w:separator/>
      </w:r>
    </w:p>
  </w:footnote>
  <w:footnote w:type="continuationSeparator" w:id="0">
    <w:p w:rsidR="00993D3C" w:rsidRDefault="00993D3C" w:rsidP="0041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Default="00D0380A" w:rsidP="00411B8D">
    <w:pPr>
      <w:pStyle w:val="Header"/>
      <w:pBdr>
        <w:bottom w:val="single" w:sz="4" w:space="1" w:color="auto"/>
      </w:pBdr>
    </w:pPr>
    <w:r>
      <w:t xml:space="preserve">Σελίδα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B17BF">
      <w:rPr>
        <w:rStyle w:val="PageNumber"/>
        <w:rFonts w:cs="Arial"/>
        <w:noProof/>
      </w:rPr>
      <w:t>14</w:t>
    </w:r>
    <w:r>
      <w:rPr>
        <w:rStyle w:val="PageNumber"/>
        <w:rFonts w:cs="Arial"/>
      </w:rPr>
      <w:fldChar w:fldCharType="end"/>
    </w:r>
    <w:r>
      <w:tab/>
      <w:t>Συλλογή νομοθεσίας της Σλοβακικής Δημοκρατίας</w:t>
    </w:r>
    <w:r>
      <w:tab/>
    </w:r>
    <w:r>
      <w:rPr>
        <w:rFonts w:ascii="TeXGyreBonumBold" w:hAnsi="TeXGyreBonumBold"/>
        <w:b/>
      </w:rPr>
      <w:t>60/2018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Pr="00C32D3E" w:rsidRDefault="00D0380A" w:rsidP="00C32D3E">
    <w:pPr>
      <w:pStyle w:val="Header"/>
      <w:pBdr>
        <w:bottom w:val="single" w:sz="4" w:space="1" w:color="auto"/>
      </w:pBdr>
    </w:pPr>
    <w:r>
      <w:rPr>
        <w:rFonts w:ascii="TeXGyreBonumBold" w:hAnsi="TeXGyreBonumBold"/>
        <w:b/>
      </w:rPr>
      <w:t>60/2018</w:t>
    </w:r>
    <w:r>
      <w:tab/>
      <w:t>Συλλογή νομοθεσίας της Σλοβακικής Δημοκρατίας</w:t>
    </w:r>
    <w:r>
      <w:tab/>
      <w:t xml:space="preserve">Σελίδα </w:t>
    </w:r>
    <w:r w:rsidRPr="00C32D3E">
      <w:rPr>
        <w:rStyle w:val="PageNumber"/>
        <w:rFonts w:cs="Arial"/>
      </w:rPr>
      <w:fldChar w:fldCharType="begin"/>
    </w:r>
    <w:r w:rsidRPr="00C32D3E">
      <w:rPr>
        <w:rStyle w:val="PageNumber"/>
        <w:rFonts w:cs="Arial"/>
      </w:rPr>
      <w:instrText xml:space="preserve"> PAGE </w:instrText>
    </w:r>
    <w:r w:rsidRPr="00C32D3E">
      <w:rPr>
        <w:rStyle w:val="PageNumber"/>
        <w:rFonts w:cs="Arial"/>
      </w:rPr>
      <w:fldChar w:fldCharType="separate"/>
    </w:r>
    <w:r w:rsidR="002B17BF">
      <w:rPr>
        <w:rStyle w:val="PageNumber"/>
        <w:rFonts w:cs="Arial"/>
        <w:noProof/>
      </w:rPr>
      <w:t>13</w:t>
    </w:r>
    <w:r w:rsidRPr="00C32D3E">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6BB9"/>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E6210B"/>
    <w:multiLevelType w:val="singleLevel"/>
    <w:tmpl w:val="756E97D6"/>
    <w:lvl w:ilvl="0">
      <w:start w:val="1"/>
      <w:numFmt w:val="lowerLetter"/>
      <w:lvlText w:val="%1)"/>
      <w:lvlJc w:val="left"/>
      <w:pPr>
        <w:ind w:left="720" w:hanging="360"/>
      </w:pPr>
      <w:rPr>
        <w:rFonts w:ascii="Arial" w:hAnsi="Arial" w:cs="Arial" w:hint="default"/>
      </w:rPr>
    </w:lvl>
  </w:abstractNum>
  <w:abstractNum w:abstractNumId="2" w15:restartNumberingAfterBreak="0">
    <w:nsid w:val="0CDE5E9A"/>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3" w15:restartNumberingAfterBreak="0">
    <w:nsid w:val="0FFA2E2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12E49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5" w15:restartNumberingAfterBreak="0">
    <w:nsid w:val="116F7CBD"/>
    <w:multiLevelType w:val="singleLevel"/>
    <w:tmpl w:val="89FAB934"/>
    <w:lvl w:ilvl="0">
      <w:start w:val="1"/>
      <w:numFmt w:val="lowerLetter"/>
      <w:lvlText w:val="%1)"/>
      <w:lvlJc w:val="left"/>
      <w:pPr>
        <w:ind w:left="720" w:hanging="360"/>
      </w:pPr>
      <w:rPr>
        <w:rFonts w:ascii="Arial" w:hAnsi="Arial" w:cs="Arial" w:hint="default"/>
      </w:rPr>
    </w:lvl>
  </w:abstractNum>
  <w:abstractNum w:abstractNumId="6" w15:restartNumberingAfterBreak="0">
    <w:nsid w:val="148C721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15047151"/>
    <w:multiLevelType w:val="singleLevel"/>
    <w:tmpl w:val="29A857B2"/>
    <w:lvl w:ilvl="0">
      <w:start w:val="1"/>
      <w:numFmt w:val="lowerLetter"/>
      <w:lvlText w:val="%1)"/>
      <w:lvlJc w:val="left"/>
      <w:pPr>
        <w:ind w:left="720" w:hanging="360"/>
      </w:pPr>
      <w:rPr>
        <w:rFonts w:ascii="Arial" w:hAnsi="Arial" w:cs="Arial" w:hint="default"/>
      </w:rPr>
    </w:lvl>
  </w:abstractNum>
  <w:abstractNum w:abstractNumId="8" w15:restartNumberingAfterBreak="0">
    <w:nsid w:val="16A14FF7"/>
    <w:multiLevelType w:val="singleLevel"/>
    <w:tmpl w:val="EFCCE9E6"/>
    <w:lvl w:ilvl="0">
      <w:start w:val="1"/>
      <w:numFmt w:val="lowerLetter"/>
      <w:lvlText w:val="%1)"/>
      <w:lvlJc w:val="left"/>
      <w:pPr>
        <w:ind w:left="720" w:hanging="360"/>
      </w:pPr>
      <w:rPr>
        <w:rFonts w:ascii="Arial" w:hAnsi="Arial" w:cs="Arial" w:hint="default"/>
      </w:rPr>
    </w:lvl>
  </w:abstractNum>
  <w:abstractNum w:abstractNumId="9" w15:restartNumberingAfterBreak="0">
    <w:nsid w:val="17BB27B8"/>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0" w15:restartNumberingAfterBreak="0">
    <w:nsid w:val="18E95A6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4E5AF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6F35F7"/>
    <w:multiLevelType w:val="hybridMultilevel"/>
    <w:tmpl w:val="0C2EC026"/>
    <w:lvl w:ilvl="0" w:tplc="36EEBB7C">
      <w:start w:val="1"/>
      <w:numFmt w:val="decimal"/>
      <w:lvlText w:val="(%1)"/>
      <w:lvlJc w:val="left"/>
      <w:pPr>
        <w:ind w:left="900" w:hanging="54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D6A10"/>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FB43BCA"/>
    <w:multiLevelType w:val="singleLevel"/>
    <w:tmpl w:val="FAA661F6"/>
    <w:lvl w:ilvl="0">
      <w:start w:val="1"/>
      <w:numFmt w:val="lowerLetter"/>
      <w:lvlText w:val="%1)"/>
      <w:lvlJc w:val="left"/>
      <w:pPr>
        <w:ind w:left="360" w:hanging="360"/>
      </w:pPr>
      <w:rPr>
        <w:rFonts w:ascii="Arial" w:hAnsi="Arial" w:cs="Arial" w:hint="default"/>
      </w:rPr>
    </w:lvl>
  </w:abstractNum>
  <w:abstractNum w:abstractNumId="15" w15:restartNumberingAfterBreak="0">
    <w:nsid w:val="2FC37AAD"/>
    <w:multiLevelType w:val="singleLevel"/>
    <w:tmpl w:val="9FBA4550"/>
    <w:lvl w:ilvl="0">
      <w:start w:val="1"/>
      <w:numFmt w:val="lowerLetter"/>
      <w:lvlText w:val="%1)"/>
      <w:lvlJc w:val="left"/>
      <w:pPr>
        <w:ind w:left="720" w:hanging="360"/>
      </w:pPr>
      <w:rPr>
        <w:rFonts w:ascii="Arial" w:hAnsi="Arial" w:cs="Arial" w:hint="default"/>
      </w:rPr>
    </w:lvl>
  </w:abstractNum>
  <w:abstractNum w:abstractNumId="16" w15:restartNumberingAfterBreak="0">
    <w:nsid w:val="32A346B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3187040"/>
    <w:multiLevelType w:val="hybridMultilevel"/>
    <w:tmpl w:val="8440042E"/>
    <w:lvl w:ilvl="0" w:tplc="B0845C94">
      <w:start w:val="1"/>
      <w:numFmt w:val="lowerLetter"/>
      <w:lvlText w:val="%1)"/>
      <w:lvlJc w:val="left"/>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4C34936"/>
    <w:multiLevelType w:val="singleLevel"/>
    <w:tmpl w:val="A85EAB88"/>
    <w:lvl w:ilvl="0">
      <w:start w:val="1"/>
      <w:numFmt w:val="lowerLetter"/>
      <w:lvlText w:val="%1)"/>
      <w:lvlJc w:val="left"/>
      <w:pPr>
        <w:ind w:left="720" w:hanging="360"/>
      </w:pPr>
      <w:rPr>
        <w:rFonts w:ascii="Arial" w:hAnsi="Arial" w:cs="Arial" w:hint="default"/>
      </w:rPr>
    </w:lvl>
  </w:abstractNum>
  <w:abstractNum w:abstractNumId="19" w15:restartNumberingAfterBreak="0">
    <w:nsid w:val="39DF67AB"/>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C2B1062"/>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1B9173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B9770B"/>
    <w:multiLevelType w:val="singleLevel"/>
    <w:tmpl w:val="54F6E13E"/>
    <w:lvl w:ilvl="0">
      <w:start w:val="1"/>
      <w:numFmt w:val="lowerLetter"/>
      <w:lvlText w:val="%1)"/>
      <w:lvlJc w:val="left"/>
      <w:pPr>
        <w:ind w:left="360" w:hanging="360"/>
      </w:pPr>
      <w:rPr>
        <w:rFonts w:ascii="Arial" w:hAnsi="Arial" w:cs="Arial" w:hint="default"/>
      </w:rPr>
    </w:lvl>
  </w:abstractNum>
  <w:abstractNum w:abstractNumId="23" w15:restartNumberingAfterBreak="0">
    <w:nsid w:val="4E654431"/>
    <w:multiLevelType w:val="hybridMultilevel"/>
    <w:tmpl w:val="6EBEF56C"/>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7E0732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5" w15:restartNumberingAfterBreak="0">
    <w:nsid w:val="6486354F"/>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7D22340"/>
    <w:multiLevelType w:val="singleLevel"/>
    <w:tmpl w:val="D57C8EF0"/>
    <w:lvl w:ilvl="0">
      <w:start w:val="1"/>
      <w:numFmt w:val="lowerLetter"/>
      <w:lvlText w:val="%1)"/>
      <w:lvlJc w:val="left"/>
      <w:pPr>
        <w:ind w:left="1440" w:hanging="360"/>
      </w:pPr>
      <w:rPr>
        <w:rFonts w:ascii="Arial" w:hAnsi="Arial" w:cs="Arial" w:hint="default"/>
      </w:rPr>
    </w:lvl>
  </w:abstractNum>
  <w:abstractNum w:abstractNumId="27" w15:restartNumberingAfterBreak="0">
    <w:nsid w:val="6A423535"/>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F33423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9" w15:restartNumberingAfterBreak="0">
    <w:nsid w:val="7191120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4C87711"/>
    <w:multiLevelType w:val="hybridMultilevel"/>
    <w:tmpl w:val="A32A212E"/>
    <w:lvl w:ilvl="0" w:tplc="169E2420">
      <w:start w:val="1"/>
      <w:numFmt w:val="decimal"/>
      <w:lvlText w:val="(%1)"/>
      <w:lvlJc w:val="left"/>
      <w:pPr>
        <w:ind w:left="720" w:hanging="360"/>
      </w:pPr>
      <w:rPr>
        <w:rFonts w:cs="Times New Roman" w:hint="default"/>
      </w:rPr>
    </w:lvl>
    <w:lvl w:ilvl="1" w:tplc="6BC4CE10">
      <w:start w:val="1"/>
      <w:numFmt w:val="lowerLetter"/>
      <w:lvlText w:val="%2)"/>
      <w:lvlJc w:val="left"/>
      <w:pPr>
        <w:ind w:left="1440" w:hanging="360"/>
      </w:pPr>
      <w:rPr>
        <w:rFonts w:ascii="Arial" w:hAnsi="Arial" w:cs="Arial"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8"/>
  </w:num>
  <w:num w:numId="3">
    <w:abstractNumId w:val="28"/>
  </w:num>
  <w:num w:numId="4">
    <w:abstractNumId w:val="15"/>
  </w:num>
  <w:num w:numId="5">
    <w:abstractNumId w:val="4"/>
  </w:num>
  <w:num w:numId="6">
    <w:abstractNumId w:val="5"/>
  </w:num>
  <w:num w:numId="7">
    <w:abstractNumId w:val="1"/>
  </w:num>
  <w:num w:numId="8">
    <w:abstractNumId w:val="14"/>
  </w:num>
  <w:num w:numId="9">
    <w:abstractNumId w:val="24"/>
  </w:num>
  <w:num w:numId="10">
    <w:abstractNumId w:val="2"/>
  </w:num>
  <w:num w:numId="11">
    <w:abstractNumId w:val="6"/>
  </w:num>
  <w:num w:numId="12">
    <w:abstractNumId w:val="26"/>
  </w:num>
  <w:num w:numId="13">
    <w:abstractNumId w:val="9"/>
  </w:num>
  <w:num w:numId="14">
    <w:abstractNumId w:val="8"/>
  </w:num>
  <w:num w:numId="15">
    <w:abstractNumId w:val="23"/>
  </w:num>
  <w:num w:numId="16">
    <w:abstractNumId w:val="25"/>
  </w:num>
  <w:num w:numId="17">
    <w:abstractNumId w:val="12"/>
  </w:num>
  <w:num w:numId="18">
    <w:abstractNumId w:val="11"/>
  </w:num>
  <w:num w:numId="19">
    <w:abstractNumId w:val="17"/>
  </w:num>
  <w:num w:numId="20">
    <w:abstractNumId w:val="7"/>
  </w:num>
  <w:num w:numId="21">
    <w:abstractNumId w:val="13"/>
  </w:num>
  <w:num w:numId="22">
    <w:abstractNumId w:val="19"/>
  </w:num>
  <w:num w:numId="23">
    <w:abstractNumId w:val="27"/>
  </w:num>
  <w:num w:numId="24">
    <w:abstractNumId w:val="21"/>
  </w:num>
  <w:num w:numId="25">
    <w:abstractNumId w:val="30"/>
  </w:num>
  <w:num w:numId="26">
    <w:abstractNumId w:val="16"/>
  </w:num>
  <w:num w:numId="27">
    <w:abstractNumId w:val="3"/>
  </w:num>
  <w:num w:numId="28">
    <w:abstractNumId w:val="29"/>
  </w:num>
  <w:num w:numId="29">
    <w:abstractNumId w:val="10"/>
  </w:num>
  <w:num w:numId="30">
    <w:abstractNumId w:val="0"/>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B8D"/>
    <w:rsid w:val="0008615D"/>
    <w:rsid w:val="000A1D69"/>
    <w:rsid w:val="000B0C18"/>
    <w:rsid w:val="000D1A6C"/>
    <w:rsid w:val="000E78D9"/>
    <w:rsid w:val="00187AF6"/>
    <w:rsid w:val="001950C5"/>
    <w:rsid w:val="001C0958"/>
    <w:rsid w:val="00206167"/>
    <w:rsid w:val="0020707C"/>
    <w:rsid w:val="00221369"/>
    <w:rsid w:val="00283DC6"/>
    <w:rsid w:val="002974B0"/>
    <w:rsid w:val="002B17BF"/>
    <w:rsid w:val="002B596E"/>
    <w:rsid w:val="002D3069"/>
    <w:rsid w:val="002E2281"/>
    <w:rsid w:val="0031555C"/>
    <w:rsid w:val="00352E4D"/>
    <w:rsid w:val="00365BC6"/>
    <w:rsid w:val="003E6A72"/>
    <w:rsid w:val="00411B8D"/>
    <w:rsid w:val="00484CD4"/>
    <w:rsid w:val="004857B3"/>
    <w:rsid w:val="004B5C4F"/>
    <w:rsid w:val="004C5804"/>
    <w:rsid w:val="005472A7"/>
    <w:rsid w:val="00586A14"/>
    <w:rsid w:val="00591388"/>
    <w:rsid w:val="005F0279"/>
    <w:rsid w:val="005F3632"/>
    <w:rsid w:val="00623B7F"/>
    <w:rsid w:val="006F6A4A"/>
    <w:rsid w:val="00717BE1"/>
    <w:rsid w:val="007C4BCF"/>
    <w:rsid w:val="007C5599"/>
    <w:rsid w:val="007C5CFC"/>
    <w:rsid w:val="007D1E66"/>
    <w:rsid w:val="008015BE"/>
    <w:rsid w:val="00810B76"/>
    <w:rsid w:val="00846B3D"/>
    <w:rsid w:val="00863E0E"/>
    <w:rsid w:val="008678D7"/>
    <w:rsid w:val="008862F9"/>
    <w:rsid w:val="0090665E"/>
    <w:rsid w:val="00911626"/>
    <w:rsid w:val="009767AA"/>
    <w:rsid w:val="00993D3C"/>
    <w:rsid w:val="00A811B2"/>
    <w:rsid w:val="00A92352"/>
    <w:rsid w:val="00AE24F0"/>
    <w:rsid w:val="00B3535A"/>
    <w:rsid w:val="00BB519B"/>
    <w:rsid w:val="00BF4EB4"/>
    <w:rsid w:val="00C303E7"/>
    <w:rsid w:val="00C32D3E"/>
    <w:rsid w:val="00C45F85"/>
    <w:rsid w:val="00C75B04"/>
    <w:rsid w:val="00CA7C88"/>
    <w:rsid w:val="00D0380A"/>
    <w:rsid w:val="00D06F2A"/>
    <w:rsid w:val="00D12949"/>
    <w:rsid w:val="00D65D8D"/>
    <w:rsid w:val="00D96D5D"/>
    <w:rsid w:val="00DB4E17"/>
    <w:rsid w:val="00DD0AFD"/>
    <w:rsid w:val="00E16F77"/>
    <w:rsid w:val="00E26D97"/>
    <w:rsid w:val="00E274B8"/>
    <w:rsid w:val="00E35FA4"/>
    <w:rsid w:val="00EE779D"/>
    <w:rsid w:val="00F23F1D"/>
    <w:rsid w:val="00F6126B"/>
    <w:rsid w:val="00F67590"/>
    <w:rsid w:val="00FF3F51"/>
    <w:rsid w:val="00FF4A5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A08042F1-4549-41F1-848D-4B17EAD8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8D"/>
    <w:pPr>
      <w:widowControl w:val="0"/>
      <w:autoSpaceDE w:val="0"/>
      <w:autoSpaceDN w:val="0"/>
      <w:adjustRightInd w:val="0"/>
    </w:pPr>
    <w:rPr>
      <w:rFonts w:ascii="Arial" w:hAnsi="Arial" w:cs="Arial"/>
      <w:lang w:val="el-GR" w:eastAsia="el-GR"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B8D"/>
    <w:pPr>
      <w:tabs>
        <w:tab w:val="center" w:pos="4536"/>
        <w:tab w:val="right" w:pos="9072"/>
      </w:tabs>
    </w:pPr>
  </w:style>
  <w:style w:type="character" w:customStyle="1" w:styleId="HeaderChar">
    <w:name w:val="Header Char"/>
    <w:link w:val="Header"/>
    <w:uiPriority w:val="99"/>
    <w:locked/>
    <w:rsid w:val="00411B8D"/>
    <w:rPr>
      <w:rFonts w:ascii="Arial" w:hAnsi="Arial"/>
    </w:rPr>
  </w:style>
  <w:style w:type="paragraph" w:styleId="Footer">
    <w:name w:val="footer"/>
    <w:basedOn w:val="Normal"/>
    <w:link w:val="FooterChar"/>
    <w:uiPriority w:val="99"/>
    <w:rsid w:val="00411B8D"/>
    <w:pPr>
      <w:tabs>
        <w:tab w:val="center" w:pos="4536"/>
        <w:tab w:val="right" w:pos="9072"/>
      </w:tabs>
    </w:pPr>
  </w:style>
  <w:style w:type="character" w:customStyle="1" w:styleId="FooterChar">
    <w:name w:val="Footer Char"/>
    <w:link w:val="Footer"/>
    <w:uiPriority w:val="99"/>
    <w:locked/>
    <w:rsid w:val="00411B8D"/>
    <w:rPr>
      <w:rFonts w:ascii="Arial" w:hAnsi="Arial"/>
    </w:rPr>
  </w:style>
  <w:style w:type="paragraph" w:styleId="ListParagraph">
    <w:name w:val="List Paragraph"/>
    <w:basedOn w:val="Normal"/>
    <w:uiPriority w:val="99"/>
    <w:qFormat/>
    <w:rsid w:val="007C5CFC"/>
    <w:pPr>
      <w:ind w:left="720"/>
      <w:contextualSpacing/>
    </w:pPr>
  </w:style>
  <w:style w:type="paragraph" w:styleId="EndnoteText">
    <w:name w:val="endnote text"/>
    <w:basedOn w:val="Normal"/>
    <w:link w:val="EndnoteTextChar"/>
    <w:uiPriority w:val="99"/>
    <w:rsid w:val="00846B3D"/>
  </w:style>
  <w:style w:type="character" w:customStyle="1" w:styleId="EndnoteTextChar">
    <w:name w:val="Endnote Text Char"/>
    <w:link w:val="EndnoteText"/>
    <w:uiPriority w:val="99"/>
    <w:locked/>
    <w:rsid w:val="00846B3D"/>
    <w:rPr>
      <w:rFonts w:ascii="Arial" w:hAnsi="Arial"/>
    </w:rPr>
  </w:style>
  <w:style w:type="character" w:styleId="EndnoteReference">
    <w:name w:val="endnote reference"/>
    <w:uiPriority w:val="99"/>
    <w:rsid w:val="00846B3D"/>
    <w:rPr>
      <w:rFonts w:cs="Times New Roman"/>
      <w:vertAlign w:val="superscript"/>
    </w:rPr>
  </w:style>
  <w:style w:type="paragraph" w:styleId="FootnoteText">
    <w:name w:val="footnote text"/>
    <w:basedOn w:val="Normal"/>
    <w:link w:val="FootnoteTextChar"/>
    <w:uiPriority w:val="99"/>
    <w:rsid w:val="00846B3D"/>
  </w:style>
  <w:style w:type="character" w:customStyle="1" w:styleId="FootnoteTextChar">
    <w:name w:val="Footnote Text Char"/>
    <w:link w:val="FootnoteText"/>
    <w:uiPriority w:val="99"/>
    <w:locked/>
    <w:rsid w:val="00846B3D"/>
    <w:rPr>
      <w:rFonts w:ascii="Arial" w:hAnsi="Arial"/>
    </w:rPr>
  </w:style>
  <w:style w:type="character" w:styleId="FootnoteReference">
    <w:name w:val="footnote reference"/>
    <w:uiPriority w:val="99"/>
    <w:rsid w:val="00846B3D"/>
    <w:rPr>
      <w:rFonts w:cs="Times New Roman"/>
      <w:vertAlign w:val="superscript"/>
    </w:rPr>
  </w:style>
  <w:style w:type="character" w:styleId="PageNumber">
    <w:name w:val="page number"/>
    <w:uiPriority w:val="99"/>
    <w:rsid w:val="007C4BCF"/>
    <w:rPr>
      <w:rFonts w:cs="Times New Roman"/>
    </w:rPr>
  </w:style>
  <w:style w:type="paragraph" w:styleId="BalloonText">
    <w:name w:val="Balloon Text"/>
    <w:basedOn w:val="Normal"/>
    <w:link w:val="BalloonTextChar"/>
    <w:uiPriority w:val="99"/>
    <w:semiHidden/>
    <w:unhideWhenUsed/>
    <w:rsid w:val="00C32D3E"/>
    <w:rPr>
      <w:rFonts w:ascii="Tahoma" w:hAnsi="Tahoma" w:cs="Tahoma"/>
      <w:sz w:val="16"/>
      <w:szCs w:val="16"/>
    </w:rPr>
  </w:style>
  <w:style w:type="character" w:customStyle="1" w:styleId="BalloonTextChar">
    <w:name w:val="Balloon Text Char"/>
    <w:link w:val="BalloonText"/>
    <w:uiPriority w:val="99"/>
    <w:semiHidden/>
    <w:rsid w:val="00C32D3E"/>
    <w:rPr>
      <w:rFonts w:ascii="Tahoma" w:hAnsi="Tahoma" w:cs="Tahoma"/>
      <w:sz w:val="16"/>
      <w:szCs w:val="16"/>
    </w:rPr>
  </w:style>
  <w:style w:type="paragraph" w:styleId="PlainText">
    <w:name w:val="Plain Text"/>
    <w:basedOn w:val="Normal"/>
    <w:link w:val="PlainTextChar"/>
    <w:uiPriority w:val="99"/>
    <w:unhideWhenUsed/>
    <w:rsid w:val="00810B76"/>
    <w:pPr>
      <w:widowControl/>
      <w:autoSpaceDE/>
      <w:autoSpaceDN/>
      <w:adjustRightInd/>
    </w:pPr>
    <w:rPr>
      <w:rFonts w:ascii="Consolas" w:hAnsi="Consolas" w:cs="Times New Roman"/>
      <w:sz w:val="21"/>
      <w:szCs w:val="21"/>
    </w:rPr>
  </w:style>
  <w:style w:type="character" w:customStyle="1" w:styleId="PlainTextChar">
    <w:name w:val="Plain Text Char"/>
    <w:link w:val="PlainText"/>
    <w:uiPriority w:val="99"/>
    <w:rsid w:val="00810B76"/>
    <w:rPr>
      <w:rFonts w:ascii="Consolas" w:hAnsi="Consolas"/>
      <w:sz w:val="21"/>
      <w:szCs w:val="21"/>
      <w:lang w:val="el-GR"/>
    </w:rPr>
  </w:style>
  <w:style w:type="character" w:styleId="Hyperlink">
    <w:name w:val="Hyperlink"/>
    <w:uiPriority w:val="99"/>
    <w:unhideWhenUsed/>
    <w:rsid w:val="00CA7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ov-lex.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91DC-065A-4B25-B432-6838E49F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14</Pages>
  <Words>5946</Words>
  <Characters>33894</Characters>
  <Application>Microsoft Office Word</Application>
  <DocSecurity>0</DocSecurity>
  <Lines>282</Lines>
  <Paragraphs>79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39761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Blaho</dc:creator>
  <cp:keywords/>
  <dc:description/>
  <cp:lastModifiedBy>Liu, Lei</cp:lastModifiedBy>
  <cp:revision>11</cp:revision>
  <cp:lastPrinted>2018-11-09T07:19:00Z</cp:lastPrinted>
  <dcterms:created xsi:type="dcterms:W3CDTF">2018-04-05T12:44:00Z</dcterms:created>
  <dcterms:modified xsi:type="dcterms:W3CDTF">2019-04-17T06:16:00Z</dcterms:modified>
</cp:coreProperties>
</file>