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1B" w:rsidRPr="009920D7" w:rsidRDefault="00B9501B" w:rsidP="00B9501B">
      <w:pPr>
        <w:pStyle w:val="PlainText"/>
        <w:rPr>
          <w:rFonts w:ascii="Courier New" w:hAnsi="Courier New" w:cs="Courier New"/>
          <w:sz w:val="20"/>
          <w:szCs w:val="20"/>
        </w:rPr>
      </w:pPr>
      <w:r w:rsidRPr="009920D7">
        <w:rPr>
          <w:rFonts w:ascii="Courier New" w:hAnsi="Courier New"/>
          <w:sz w:val="20"/>
          <w:szCs w:val="20"/>
        </w:rPr>
        <w:t>1. ------IND- 2017 0142 F-- SL- ------ 20181109 --- --- FINAL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19. julij 2018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Uradni list Francoske republike št. 0130 z dne 8. junija 2018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Besedilo št. 6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Odredba z dne 1. junija 2018 o spremembi Odredbe z dne 23. decembra 1999 o lastnostih dizelskega goriva in dizelskega goriva za zimske razmere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ŠT.: TRER1807855A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0"/>
          <w:szCs w:val="20"/>
        </w:rPr>
        <w:t>ELI: https://www.legifrance.gouv.fr/eli/arrete/2018/6/1/TRER1807855A/jo/texte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Ciljna javnost: fizične in pravne osebe, ki dajejo v promet goriva, ki se uporabljajo za pogon cestnih vozil.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Predmet: posodobitev nekaterih tehničnih specifikacij dizelskega goriva in dizelskega goriva za zimske razmere ter uvedba standardiziranih oznak na merilnikih volumskega pretoka tega goriva.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Začetek veljavnosti: ta odredba vsebuje nekatere ukrepe v zvezi s podjetji, ki so predmet odloženega začetka veljavnosti. Ta odredba začne veljati dan po objavi, razen nekaterih določb iz členov 5 in 6, ki začnejo veljati 12. oktobra 2018.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Priglasitev: Direktivo 2014/94/EU Evropskega parlamenta in Sveta z dne 22. oktobra 2014 o vzpostavitvi infrastrukture za alternativna goriva je treba prenesti v nacionalno zakonodajo. V členu 7(1) in (2) te direktive so določene standardizirane informacije v Uniji v zvezi z združljivostjo vozil z alternativnimi gorivi in energijami, ki jih nudijo črpalke. Navedeno je, da morajo države članice zagotoviti dostop do ustreznih, doslednih in jasnih informacij o motornih vozilih, ki jih je mogoče redno polniti s posameznimi vrstami goriva na trgu. Te informacije morajo biti preproste, enostavne za razumevanje in pritrjene na vidnem mestu, zlasti na oskrbovalnih mestih.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Sklici: odredba prenaša del Direktive 2014/94/EU Evropskega parlamenta in Sveta z dne 22. oktobra 2014 o vzpostavitvi infrastrukture za alternativna goriva. Na voljo je na spletnem mestu Légifrance (http://www.legifrance.gouv.fr</w:t>
      </w:r>
      <w:r w:rsidR="006A6A9B" w:rsidRPr="009920D7">
        <w:rPr>
          <w:rFonts w:ascii="Arial" w:hAnsi="Arial"/>
          <w:sz w:val="24"/>
          <w:szCs w:val="24"/>
        </w:rPr>
        <w:t>).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Državni minister za ekološko in solidarnostno preoblikovanje, minister za gospodarstvo in finance ter minister za ukrepanje in javne račune,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ob upoštevanju Direktive 2009/30/ES Evropskega parlamenta in Sveta z dne 23. aprila 2009 o spremembah Direktive 98/70/ES glede specifikacij motornega bencina, dizelskega goriva in plinskega olja ter o uvedbi mehanizma za spremljanje in zmanjševanje emisij toplogrednih plinov ter o spremembi Direktive Sveta 1999/32/ES glede specifikacij goriva, ki ga uporabljajo plovila za plovbo po celinskih plovnih poteh, in o razveljavitvi </w:t>
      </w:r>
      <w:r w:rsidRPr="009920D7">
        <w:rPr>
          <w:rFonts w:ascii="Arial" w:hAnsi="Arial"/>
          <w:sz w:val="24"/>
          <w:szCs w:val="24"/>
        </w:rPr>
        <w:lastRenderedPageBreak/>
        <w:t>Direktive 93/12/EGS, kakor je bila spremenjena;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ob upoštevanju Direktive 2014/94/EU z dne 22. oktobra 2014 o vzpostavitvi infrastrukture za alternativna goriva;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ob upoštevanju Direktive (EU) 2015/1535 Evropskega parlamenta in Sveta z dne 9. septembra 2015 o določitvi postopka za zbiranje informacij na področju tehničnih predpisov in pravil za storitve informacijske družbe;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ob upoštevanju Energetskega zakonika, zlasti členov od D. 641-4 do D. 641-11;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ob upoštevanju Odredbe z dne 23. decembra 1999 o lastnostih dizelskega goriva in dizelskega goriva za zimske razmere, kakor je bila spremenjena;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ob upoštevanju Odredbe z dne 30. junija 2010 o značilnostih metil estrov maščobnih kislin (FAME), kakor je bila spremenjena;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ob upoštevanju Odredbe z dne 19. januarja 2016 o določitvi seznama motornih goriv, odobrenih na podlagi določb iz člena 265(b) Carinskega zakonika, kakor je bila spremenjena;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ob upoštevanju mnenja Tehničnega odbora za uporabo naftnih proizvodov z dne 21. junija 2017,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odrejajo: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1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Člen 1 zgoraj navedene odredbe z dne 23. decembra 1999, kakor je bila spremenjena, se nado</w:t>
      </w:r>
      <w:r w:rsidR="006A6A9B" w:rsidRPr="009920D7">
        <w:rPr>
          <w:rFonts w:ascii="Arial" w:hAnsi="Arial"/>
          <w:sz w:val="24"/>
          <w:szCs w:val="24"/>
        </w:rPr>
        <w:t>mesti z naslednjimi določbami: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„Člen 1. Dizelsko gorivo se lahko prodaja in hrani z namenom prodaje samo, če je v skladu z minimalnimi zahtevami iz spodnjega člena 2 ali s katerim koli drugim standardom ali specifikacijo, ki velja v državi članici Evropske unije, državi članici Evropskega gospodarskega prostora ali Turčiji, pri čemer je treba zagotoviti raven kakovosti goriva, ki ustr</w:t>
      </w:r>
      <w:r w:rsidR="006E397A" w:rsidRPr="009920D7">
        <w:rPr>
          <w:rFonts w:ascii="Arial" w:hAnsi="Arial"/>
          <w:sz w:val="24"/>
          <w:szCs w:val="24"/>
        </w:rPr>
        <w:t>eza zadevnim podnebnim pogojem.</w:t>
      </w:r>
      <w:r w:rsidRPr="009920D7">
        <w:rPr>
          <w:rFonts w:ascii="Arial" w:hAnsi="Arial"/>
          <w:sz w:val="24"/>
          <w:szCs w:val="24"/>
        </w:rPr>
        <w:t>“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2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Člen 2 zgoraj navedene odredbe z dne 23. decembra 1999, kakor je bila spremenjena, se nadomesti z naslednji</w:t>
      </w:r>
      <w:r w:rsidR="006A6A9B" w:rsidRPr="009920D7">
        <w:rPr>
          <w:rFonts w:ascii="Arial" w:hAnsi="Arial"/>
          <w:sz w:val="24"/>
          <w:szCs w:val="24"/>
        </w:rPr>
        <w:t>mi določbami: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„Člen 2. Dizelsko gorivo B7 je zmes ogljikovodikov mineralnega izvora ali sintetiziranih ogljikovodikov oziroma zmes metil estrov maščobnih kislin v skladu z zgoraj navedeno odredbo z dne 30. junija 2010, kakor je bila spremenjena, ki je namenjena motorjem z notranjim izgorevanjem na kompresijski vžig in ustreza naslednjim zahtevam: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a) tehnične značilnosti so skladne z zahtevami iz Priloge I k tej odredbi;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lastRenderedPageBreak/>
        <w:t xml:space="preserve">b) v zvezi s lastnostmi, ki so odvisne od podnebnim pogojev, mora biti odpornost na nizke temperature dizelskega goriva, ki se da na trg ali prodaja na ozemlju države, skladna z določbami, opredeljenimi v Prilogi II k tej odredbi;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c) dizelskemu gorivu ni</w:t>
      </w:r>
      <w:r w:rsidR="006E397A" w:rsidRPr="009920D7">
        <w:rPr>
          <w:rFonts w:ascii="Arial" w:hAnsi="Arial"/>
          <w:sz w:val="24"/>
          <w:szCs w:val="24"/>
        </w:rPr>
        <w:t xml:space="preserve"> dodano nobeno posebno barvilo.</w:t>
      </w:r>
      <w:r w:rsidRPr="009920D7">
        <w:rPr>
          <w:rFonts w:ascii="Arial" w:hAnsi="Arial"/>
          <w:sz w:val="24"/>
          <w:szCs w:val="24"/>
        </w:rPr>
        <w:t>“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3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Člen 3 Odredbe z dne 23. decembra 1999 o lastnostih dizelskega goriva in dizelskega goriva za zimske razmere se nado</w:t>
      </w:r>
      <w:r w:rsidR="006A6A9B" w:rsidRPr="009920D7">
        <w:rPr>
          <w:rFonts w:ascii="Arial" w:hAnsi="Arial"/>
          <w:sz w:val="24"/>
          <w:szCs w:val="24"/>
        </w:rPr>
        <w:t>mesti z naslednjimi določbami: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„Člen 3. „Dizelsko gorivo za zimske razmere“ je gorivo, ki je skladno s specifikacijami iz člena 2 in katerega značilnosti odpornosti na nizke temper</w:t>
      </w:r>
      <w:r w:rsidR="006E397A" w:rsidRPr="009920D7">
        <w:rPr>
          <w:rFonts w:ascii="Arial" w:hAnsi="Arial"/>
          <w:sz w:val="24"/>
          <w:szCs w:val="24"/>
        </w:rPr>
        <w:t>ature so določene v Prilogi II.</w:t>
      </w:r>
      <w:r w:rsidRPr="009920D7">
        <w:rPr>
          <w:rFonts w:ascii="Arial" w:hAnsi="Arial"/>
          <w:sz w:val="24"/>
          <w:szCs w:val="24"/>
        </w:rPr>
        <w:t>“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4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Člen 4 Odredbe z dne 23. decembra 1999 o lastnostih dizelskega goriva in dizelskega goriva za zimske razmere se nado</w:t>
      </w:r>
      <w:r w:rsidR="006A6A9B" w:rsidRPr="009920D7">
        <w:rPr>
          <w:rFonts w:ascii="Arial" w:hAnsi="Arial"/>
          <w:sz w:val="24"/>
          <w:szCs w:val="24"/>
        </w:rPr>
        <w:t>mesti z naslednjimi določbami: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„Člen 4. Metode preskusa in interpretacije rezultatov merjenja v zvezi z značilnostmi iz prilog I in II se opredelijo v sklepu direktorja za področje ogljikovodikov, objavljenem v Ura</w:t>
      </w:r>
      <w:r w:rsidR="006E397A" w:rsidRPr="009920D7">
        <w:rPr>
          <w:rFonts w:ascii="Arial" w:hAnsi="Arial"/>
          <w:sz w:val="24"/>
          <w:szCs w:val="24"/>
        </w:rPr>
        <w:t>dnem listu Francoske republike.</w:t>
      </w:r>
      <w:r w:rsidRPr="009920D7">
        <w:rPr>
          <w:rFonts w:ascii="Arial" w:hAnsi="Arial"/>
          <w:sz w:val="24"/>
          <w:szCs w:val="24"/>
        </w:rPr>
        <w:t>“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5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Člen 6 zgoraj navedene spremenjene odredbe z dne 23. decembra 1999 se nado</w:t>
      </w:r>
      <w:r w:rsidR="006A6A9B" w:rsidRPr="009920D7">
        <w:rPr>
          <w:rFonts w:ascii="Arial" w:hAnsi="Arial"/>
          <w:sz w:val="24"/>
          <w:szCs w:val="24"/>
        </w:rPr>
        <w:t>mesti z naslednjimi določbami: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„Člen 6. Brez poseganja v določbe člena 2 je treba poimenovanje „dizelsko gorivo“ in prodajno ceno na liter na točilni napravi navesti z jasno berljivimi, neizbrisnimi znaki višine vsaj 2 centimetra.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Kadar se gorivo dostavlja v vsebnikih, je treba zgoraj navedeno poimenovanje navesti na vsebnike takoj, ko se napolnijo z namenom prodaje.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Od 12. oktobra 2018 je treba točilne naprave jasno označiti s posebno oznako, za katero se merilo glede višine iz prvega odstavka tega člena ne uporablja. Značilnosti te oznake so podrobn</w:t>
      </w:r>
      <w:r w:rsidR="006E397A" w:rsidRPr="009920D7">
        <w:rPr>
          <w:rFonts w:ascii="Arial" w:hAnsi="Arial"/>
          <w:sz w:val="24"/>
          <w:szCs w:val="24"/>
        </w:rPr>
        <w:t>o opredeljene v Prilogi III.</w:t>
      </w:r>
      <w:r w:rsidRPr="009920D7">
        <w:rPr>
          <w:rFonts w:ascii="Arial" w:hAnsi="Arial"/>
          <w:sz w:val="24"/>
          <w:szCs w:val="24"/>
        </w:rPr>
        <w:t>“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6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Od 12. oktobra 2018 se Priloga I k zgoraj navedeni spremenjeni odredbi z dne 23. decembra 1999 </w:t>
      </w:r>
      <w:r w:rsidR="006A6A9B" w:rsidRPr="009920D7">
        <w:rPr>
          <w:rFonts w:ascii="Arial" w:hAnsi="Arial"/>
          <w:sz w:val="24"/>
          <w:szCs w:val="24"/>
        </w:rPr>
        <w:t>nadomesti z naslednjo prilogo: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„PRILOGA I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6A6A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Tehnične značilnosti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A268C7" w:rsidRPr="009920D7" w:rsidTr="00A268C7">
        <w:trPr>
          <w:gridAfter w:val="1"/>
          <w:wAfter w:w="2" w:type="dxa"/>
          <w:trHeight w:val="276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lastRenderedPageBreak/>
              <w:t xml:space="preserve">LASTNOSTI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lastRenderedPageBreak/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lastRenderedPageBreak/>
              <w:t xml:space="preserve">ENOTA 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lastRenderedPageBreak/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lastRenderedPageBreak/>
              <w:t xml:space="preserve">MEJNE VREDNOSTI </w:t>
            </w:r>
          </w:p>
        </w:tc>
      </w:tr>
      <w:tr w:rsidR="00432F22" w:rsidRPr="009920D7">
        <w:trPr>
          <w:gridAfter w:val="1"/>
          <w:wAfter w:w="2" w:type="dxa"/>
          <w:trHeight w:val="276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Min.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Maks. </w:t>
            </w: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Izmerjen</w:t>
            </w:r>
            <w:r w:rsidR="006E397A" w:rsidRPr="009920D7">
              <w:rPr>
                <w:rFonts w:ascii="Arial" w:hAnsi="Arial"/>
                <w:sz w:val="24"/>
                <w:szCs w:val="24"/>
              </w:rPr>
              <w:t>i</w:t>
            </w:r>
            <w:r w:rsidRPr="009920D7">
              <w:rPr>
                <w:rFonts w:ascii="Arial" w:hAnsi="Arial"/>
                <w:sz w:val="24"/>
                <w:szCs w:val="24"/>
              </w:rPr>
              <w:t xml:space="preserve"> cetanski indeks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51,0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Izračunani cetanski indeks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46,0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Gostota (pri 15 °C)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kg/m³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820,0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845,0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Policiklični aromatski ogljikovodiki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% (m/m)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8,0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Vsebnost žvepla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mg/kg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10,0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Vsebnost mangana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mg/l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2,0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Plamenišče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°C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&gt; 55,0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–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Ostanek ogljika (pri 10-odstotnem destilacijskem ostanku)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% (m/m)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0,30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Vsebnost pepela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% (m/m)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0,01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Vsebnost vode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mg/kg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200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Skupna onesnaženost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mg/kg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24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8C7" w:rsidRPr="009920D7" w:rsidTr="00A268C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Korozija bakrenega traku (3 ure pri 50 °C)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Stopnja 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Razred 1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Oksidacijska stabilnost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g/m³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25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h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20 (1)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Mazanje, popravljeni premer od oznak obrabe 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(wsd 1,4) pri 60 °C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µm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460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Viskoznost pri 40 °C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mm2/s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2 000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4 500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Destilacija: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% (v/v) ohranjenih pri 250 °C;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% (v/v)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&lt; 65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lastRenderedPageBreak/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% (v/v) ohranjenih pri 350 °C;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% (v/v)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85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–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95 % (v/v) ohranjenih pri: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°C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360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Vsebnost metilnih estrov maščobnih kislin v skladu z Odredbo z dne 30. junija 2010 o lastnostih metilnih estrov maščobnih kislin (FAME), kakor je bila spremenjena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% (v/v)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—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7,0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8C7" w:rsidRPr="009920D7" w:rsidTr="00A268C7">
        <w:tc>
          <w:tcPr>
            <w:tcW w:w="960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(1) To je dodatna specifikacija za dizelska goriva, pri katerih je vsebnost FAME večja od 2 % (v/v).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“.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7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Priloga II k zgoraj navedeni spremenjeni odredbi z dne 23. decembra 1999 se </w:t>
      </w:r>
      <w:r w:rsidR="006A6A9B" w:rsidRPr="009920D7">
        <w:rPr>
          <w:rFonts w:ascii="Arial" w:hAnsi="Arial"/>
          <w:sz w:val="24"/>
          <w:szCs w:val="24"/>
        </w:rPr>
        <w:t>nadomesti z naslednjo prilogo: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„PRILOGA II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Značilnosti odpornosti na mra</w:t>
      </w:r>
      <w:r w:rsidR="006A6A9B" w:rsidRPr="009920D7">
        <w:rPr>
          <w:rFonts w:ascii="Arial" w:hAnsi="Arial"/>
          <w:sz w:val="24"/>
          <w:szCs w:val="24"/>
        </w:rPr>
        <w:t>z na ozemlju celinske Francije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432F22" w:rsidRPr="009920D7">
        <w:trPr>
          <w:gridAfter w:val="1"/>
          <w:wAfter w:w="2" w:type="dxa"/>
          <w:trHeight w:val="276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Letni čas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Datum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Razred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Mejna filtrirna temperatura (°C, maks.) </w:t>
            </w: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Poletje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1. april–31. oktober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B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0 °C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Zima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1. november–31. marec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E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–15 °C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 w:rsidRPr="009920D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Dizelsko gorivo za zimske razmere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1. januar–31. december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F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–20 °C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Značilnosti odpornosti na mraz na ozemlju Gu</w:t>
      </w:r>
      <w:r w:rsidR="006A6A9B" w:rsidRPr="009920D7">
        <w:rPr>
          <w:rFonts w:ascii="Arial" w:hAnsi="Arial"/>
          <w:sz w:val="24"/>
          <w:szCs w:val="24"/>
        </w:rPr>
        <w:t>adeloupa, Gvajane in Martinika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432F22" w:rsidRPr="009920D7">
        <w:trPr>
          <w:gridAfter w:val="1"/>
          <w:wAfter w:w="2" w:type="dxa"/>
          <w:trHeight w:val="276"/>
        </w:trPr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Datum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Razred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Mejna filtrirna temperatura (°C, maks.) </w:t>
            </w:r>
          </w:p>
        </w:tc>
      </w:tr>
      <w:tr w:rsidR="00432F22" w:rsidRPr="009920D7"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1. januar–31. december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B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0 °C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lastRenderedPageBreak/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Značilnosti odpornosti na mraz na ozemlju Čezmorska skupnost Mayotte in otoka č</w:t>
      </w:r>
      <w:r w:rsidR="006A6A9B" w:rsidRPr="009920D7">
        <w:rPr>
          <w:rFonts w:ascii="Arial" w:hAnsi="Arial"/>
          <w:sz w:val="24"/>
          <w:szCs w:val="24"/>
        </w:rPr>
        <w:t>ezmorskega departmaja Reuniona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432F22" w:rsidRPr="009920D7">
        <w:trPr>
          <w:gridAfter w:val="1"/>
          <w:wAfter w:w="2" w:type="dxa"/>
          <w:trHeight w:val="276"/>
        </w:trPr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Datum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Razred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Mejna filtrirna temperatura (°C, maks.) </w:t>
            </w:r>
          </w:p>
        </w:tc>
      </w:tr>
      <w:tr w:rsidR="00432F22" w:rsidRPr="009920D7"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1. januar–31. december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B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Pr="009920D7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20D7">
              <w:rPr>
                <w:rFonts w:ascii="Arial" w:hAnsi="Arial"/>
                <w:sz w:val="24"/>
                <w:szCs w:val="24"/>
              </w:rPr>
              <w:t xml:space="preserve">0 °C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Pr="009920D7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“.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8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Zgoraj navedena spremenjena odredba z dne 23. decembra 1999 se dopolni s Prilogo III k tej odredbi.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9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Ta odredba začne veljati dan po objavi v Uradnem listu Francoske republike, razen nekaterih določb iz členov 5 in 6, ki začnejo veljati 12. oktobra 2018.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Člen 10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Direktorica za energetiko in podnebje, generalna direktorica za konkurenco, potrošnjo in preprečevanje goljufij ter generalni direktor za carine in posredne davke so vsak v skladu s svojimi pristojnostmi odgovorni za izvajanje te odredbe, ki bo objavljena v Uradnem listu Francoske republike.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b/>
          <w:bCs/>
          <w:sz w:val="24"/>
          <w:szCs w:val="24"/>
        </w:rPr>
        <w:t>Priloga</w:t>
      </w:r>
      <w:r w:rsidRPr="009920D7">
        <w:rPr>
          <w:rFonts w:ascii="Arial" w:hAnsi="Arial"/>
          <w:sz w:val="24"/>
          <w:szCs w:val="24"/>
        </w:rPr>
        <w:t xml:space="preserve">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PRILOGA III 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POSEBNA OZNAKA, S KATERO JE </w:t>
      </w:r>
      <w:r w:rsidR="006A6A9B" w:rsidRPr="009920D7">
        <w:rPr>
          <w:rFonts w:ascii="Arial" w:hAnsi="Arial"/>
          <w:sz w:val="24"/>
          <w:szCs w:val="24"/>
        </w:rPr>
        <w:t>TREBA OZNAČITI TOČILNE NAPRAVE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 xml:space="preserve">Točilne naprave je treba jasno označiti s posebno oznako. Ta oznaka je prikazana spodaj in </w:t>
      </w:r>
      <w:r w:rsidR="006A6A9B" w:rsidRPr="009920D7">
        <w:rPr>
          <w:rFonts w:ascii="Arial" w:hAnsi="Arial"/>
          <w:sz w:val="24"/>
          <w:szCs w:val="24"/>
        </w:rPr>
        <w:t>mora biti velika najmanj 4 cm.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Celotno besedilo s slikami si lahko ogledate v izpisku iz overjenega elektronskega Uradnega l</w:t>
      </w:r>
      <w:r w:rsidR="006A6A9B" w:rsidRPr="009920D7">
        <w:rPr>
          <w:rFonts w:ascii="Arial" w:hAnsi="Arial"/>
          <w:sz w:val="24"/>
          <w:szCs w:val="24"/>
        </w:rPr>
        <w:t>ista, dostopnem na dnu strani.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Na točilni ročki točilne naprave mora biti prav tako nameščena posebna oznaka, velika najmanj 1</w:t>
      </w:r>
      <w:r w:rsidR="006A6A9B" w:rsidRPr="009920D7">
        <w:rPr>
          <w:rFonts w:ascii="Arial" w:hAnsi="Arial"/>
          <w:sz w:val="24"/>
          <w:szCs w:val="24"/>
        </w:rPr>
        <w:t>,5 cm, ki je prikazana spodaj.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Celotno besedilo s slikami si lahko ogledate v izpisku iz overjenega elektronskega Uradnega lista, dostopnem na dnu strani.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lastRenderedPageBreak/>
        <w:t>1. junij 2018.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Državni minister za ekološko in sol</w:t>
      </w:r>
      <w:r w:rsidR="006A6A9B" w:rsidRPr="009920D7">
        <w:rPr>
          <w:rFonts w:ascii="Arial" w:hAnsi="Arial"/>
          <w:sz w:val="24"/>
          <w:szCs w:val="24"/>
        </w:rPr>
        <w:t>idarnostno preoblikovanje;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za državnega ministra in po njegovem pooblastilu: </w:t>
      </w:r>
    </w:p>
    <w:p w:rsidR="00432F22" w:rsidRPr="009920D7" w:rsidRDefault="006A6A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d</w:t>
      </w:r>
      <w:r w:rsidR="00BE6C4A" w:rsidRPr="009920D7">
        <w:rPr>
          <w:rFonts w:ascii="Arial" w:hAnsi="Arial"/>
          <w:sz w:val="24"/>
          <w:szCs w:val="24"/>
        </w:rPr>
        <w:t>irektorica za energetiko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V. Schwarz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Mini</w:t>
      </w:r>
      <w:r w:rsidR="006A6A9B" w:rsidRPr="009920D7">
        <w:rPr>
          <w:rFonts w:ascii="Arial" w:hAnsi="Arial"/>
          <w:sz w:val="24"/>
          <w:szCs w:val="24"/>
        </w:rPr>
        <w:t>ster za gospodarstvo in finance;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za ministra in po njegovem pooblastilu: </w:t>
      </w:r>
    </w:p>
    <w:p w:rsidR="00432F22" w:rsidRPr="009920D7" w:rsidRDefault="006A6A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g</w:t>
      </w:r>
      <w:r w:rsidR="00BE6C4A" w:rsidRPr="009920D7">
        <w:rPr>
          <w:rFonts w:ascii="Arial" w:hAnsi="Arial"/>
          <w:sz w:val="24"/>
          <w:szCs w:val="24"/>
        </w:rPr>
        <w:t>eneralna direktorica za konkurenco, pot</w:t>
      </w:r>
      <w:r w:rsidRPr="009920D7">
        <w:rPr>
          <w:rFonts w:ascii="Arial" w:hAnsi="Arial"/>
          <w:sz w:val="24"/>
          <w:szCs w:val="24"/>
        </w:rPr>
        <w:t>rošnjo in preprečevanje prevar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V. Beaumeunier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Minister za</w:t>
      </w:r>
      <w:r w:rsidR="006A6A9B" w:rsidRPr="009920D7">
        <w:rPr>
          <w:rFonts w:ascii="Arial" w:hAnsi="Arial"/>
          <w:sz w:val="24"/>
          <w:szCs w:val="24"/>
        </w:rPr>
        <w:t xml:space="preserve"> javno politiko in javne račun;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za ministra in po njegovem pooblastilu: </w:t>
      </w:r>
    </w:p>
    <w:p w:rsidR="00432F22" w:rsidRPr="009920D7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20D7">
        <w:rPr>
          <w:rFonts w:ascii="Arial" w:hAnsi="Arial"/>
          <w:sz w:val="24"/>
          <w:szCs w:val="24"/>
        </w:rPr>
        <w:t>generalni direktor za carine in posredne davke, </w:t>
      </w:r>
    </w:p>
    <w:p w:rsidR="00BE6C4A" w:rsidRPr="009920D7" w:rsidRDefault="009920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R. Gintz</w:t>
      </w:r>
      <w:bookmarkStart w:id="0" w:name="_GoBack"/>
      <w:bookmarkEnd w:id="0"/>
    </w:p>
    <w:sectPr w:rsidR="00BE6C4A" w:rsidRPr="009920D7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C7"/>
    <w:rsid w:val="00432F22"/>
    <w:rsid w:val="006A6A9B"/>
    <w:rsid w:val="006E397A"/>
    <w:rsid w:val="009920D7"/>
    <w:rsid w:val="00A268C7"/>
    <w:rsid w:val="00B9501B"/>
    <w:rsid w:val="00B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9501B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9501B"/>
    <w:rPr>
      <w:rFonts w:ascii="Consolas" w:eastAsia="Times New Roman" w:hAnsi="Consolas" w:cs="Times New Roman"/>
      <w:sz w:val="21"/>
      <w:szCs w:val="21"/>
      <w:lang w:val="sl-S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9501B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9501B"/>
    <w:rPr>
      <w:rFonts w:ascii="Consolas" w:eastAsia="Times New Roman" w:hAnsi="Consolas" w:cs="Times New Roman"/>
      <w:sz w:val="21"/>
      <w:szCs w:val="21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1474</Words>
  <Characters>8828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PORTOU-DUPIN Josiane</dc:creator>
  <cp:lastModifiedBy>Amplexor</cp:lastModifiedBy>
  <cp:revision>2</cp:revision>
  <dcterms:created xsi:type="dcterms:W3CDTF">2018-11-08T09:23:00Z</dcterms:created>
  <dcterms:modified xsi:type="dcterms:W3CDTF">2018-11-08T09:23:00Z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19 16:48:11 CEST 2018</vt:lpwstr>
  </property>
  <property fmtid="{D5CDD505-2E9C-101B-9397-08002B2CF9AE}" pid="3" name="jforVersion">
    <vt:lpwstr>jfor V0.7.2rc1 - see http://www.jfor.org</vt:lpwstr>
  </property>
</Properties>
</file>