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887"/>
        <w:gridCol w:w="2888"/>
      </w:tblGrid>
      <w:tr w:rsidR="00FC6D0F" w:rsidRPr="00EE4F56" w14:paraId="3A0B40E4" w14:textId="77777777" w:rsidTr="00F16937">
        <w:tc>
          <w:tcPr>
            <w:tcW w:w="3018" w:type="dxa"/>
          </w:tcPr>
          <w:p w14:paraId="251EF203" w14:textId="550681D8" w:rsidR="00FC6D0F" w:rsidRPr="00EE4F56" w:rsidRDefault="00FC6D0F" w:rsidP="002C4FD9">
            <w:pPr>
              <w:spacing w:after="60" w:line="240" w:lineRule="auto"/>
              <w:rPr>
                <w:rFonts w:ascii="Arial" w:hAnsi="Arial" w:cs="Arial"/>
                <w:b/>
                <w:sz w:val="18"/>
                <w:szCs w:val="18"/>
              </w:rPr>
            </w:pPr>
            <w:r>
              <w:rPr>
                <w:rFonts w:ascii="Arial" w:hAnsi="Arial"/>
                <w:noProof/>
                <w:sz w:val="18"/>
                <w:szCs w:val="18"/>
                <w:lang w:val="en-US" w:eastAsia="zh-CN"/>
              </w:rPr>
              <w:drawing>
                <wp:inline distT="0" distB="0" distL="0" distR="0" wp14:anchorId="75B031B4" wp14:editId="036FB85C">
                  <wp:extent cx="1952381" cy="3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381" cy="314286"/>
                          </a:xfrm>
                          <a:prstGeom prst="rect">
                            <a:avLst/>
                          </a:prstGeom>
                        </pic:spPr>
                      </pic:pic>
                    </a:graphicData>
                  </a:graphic>
                </wp:inline>
              </w:drawing>
            </w:r>
          </w:p>
        </w:tc>
        <w:tc>
          <w:tcPr>
            <w:tcW w:w="3018" w:type="dxa"/>
          </w:tcPr>
          <w:p w14:paraId="32EAAB70" w14:textId="77777777" w:rsidR="002C4FD9" w:rsidRPr="00EE4F56" w:rsidRDefault="00FC6D0F" w:rsidP="002C4FD9">
            <w:pPr>
              <w:spacing w:after="60" w:line="240" w:lineRule="auto"/>
              <w:rPr>
                <w:rFonts w:ascii="Arial" w:hAnsi="Arial" w:cs="Arial"/>
                <w:b/>
                <w:sz w:val="18"/>
                <w:szCs w:val="18"/>
              </w:rPr>
            </w:pPr>
            <w:r>
              <w:rPr>
                <w:rFonts w:ascii="Arial" w:hAnsi="Arial"/>
                <w:b/>
                <w:sz w:val="18"/>
                <w:szCs w:val="18"/>
              </w:rPr>
              <w:t>Éditeur: Cabinet des ministres</w:t>
            </w:r>
          </w:p>
          <w:p w14:paraId="16989A06" w14:textId="77777777" w:rsidR="002C4FD9" w:rsidRPr="00EE4F56" w:rsidRDefault="002C4FD9" w:rsidP="002C4FD9">
            <w:pPr>
              <w:spacing w:after="60" w:line="240" w:lineRule="auto"/>
              <w:rPr>
                <w:rFonts w:ascii="Arial" w:hAnsi="Arial" w:cs="Arial"/>
                <w:b/>
                <w:sz w:val="18"/>
                <w:szCs w:val="18"/>
              </w:rPr>
            </w:pPr>
            <w:r>
              <w:rPr>
                <w:rFonts w:ascii="Arial" w:hAnsi="Arial"/>
                <w:b/>
                <w:sz w:val="18"/>
                <w:szCs w:val="18"/>
              </w:rPr>
              <w:t>Type: règlement</w:t>
            </w:r>
          </w:p>
          <w:p w14:paraId="0FDC095B" w14:textId="1656AF87" w:rsidR="00FC6D0F" w:rsidRPr="00EE4F56" w:rsidRDefault="00FC6D0F" w:rsidP="002C4FD9">
            <w:pPr>
              <w:spacing w:after="60" w:line="240" w:lineRule="auto"/>
              <w:rPr>
                <w:rFonts w:ascii="Arial" w:hAnsi="Arial" w:cs="Arial"/>
                <w:b/>
                <w:sz w:val="18"/>
                <w:szCs w:val="18"/>
              </w:rPr>
            </w:pPr>
            <w:r>
              <w:rPr>
                <w:rFonts w:ascii="Arial" w:hAnsi="Arial"/>
                <w:b/>
                <w:sz w:val="18"/>
                <w:szCs w:val="18"/>
              </w:rPr>
              <w:t>Numéro: 682</w:t>
            </w:r>
          </w:p>
          <w:p w14:paraId="1F711D81" w14:textId="77777777" w:rsidR="002C4FD9" w:rsidRPr="00EE4F56" w:rsidRDefault="002C4FD9" w:rsidP="002C4FD9">
            <w:pPr>
              <w:spacing w:after="60" w:line="240" w:lineRule="auto"/>
              <w:rPr>
                <w:rFonts w:ascii="Arial" w:hAnsi="Arial" w:cs="Arial"/>
                <w:b/>
                <w:sz w:val="18"/>
                <w:szCs w:val="18"/>
              </w:rPr>
            </w:pPr>
            <w:r>
              <w:rPr>
                <w:rFonts w:ascii="Arial" w:hAnsi="Arial"/>
                <w:b/>
                <w:sz w:val="18"/>
                <w:szCs w:val="18"/>
              </w:rPr>
              <w:t>Adopté: 13.11.2018.</w:t>
            </w:r>
          </w:p>
          <w:p w14:paraId="2F3725B2" w14:textId="425DB18C" w:rsidR="00FC6D0F" w:rsidRPr="00EE4F56" w:rsidRDefault="00FC6D0F" w:rsidP="002C4FD9">
            <w:pPr>
              <w:spacing w:after="60" w:line="240" w:lineRule="auto"/>
              <w:rPr>
                <w:rFonts w:ascii="Arial" w:hAnsi="Arial" w:cs="Arial"/>
                <w:b/>
                <w:sz w:val="18"/>
                <w:szCs w:val="18"/>
              </w:rPr>
            </w:pPr>
            <w:r>
              <w:rPr>
                <w:rFonts w:ascii="Arial" w:hAnsi="Arial"/>
                <w:b/>
                <w:sz w:val="18"/>
                <w:szCs w:val="18"/>
              </w:rPr>
              <w:t>Date d’entrée en vigueur: 16.11.2018.</w:t>
            </w:r>
          </w:p>
        </w:tc>
        <w:tc>
          <w:tcPr>
            <w:tcW w:w="3019" w:type="dxa"/>
          </w:tcPr>
          <w:p w14:paraId="7488A0B7" w14:textId="77777777" w:rsidR="00FC6D0F" w:rsidRPr="00EE4F56" w:rsidRDefault="00FC6D0F" w:rsidP="002C4FD9">
            <w:pPr>
              <w:spacing w:after="60" w:line="240" w:lineRule="auto"/>
              <w:rPr>
                <w:rFonts w:ascii="Arial" w:hAnsi="Arial" w:cs="Arial"/>
                <w:b/>
                <w:sz w:val="18"/>
                <w:szCs w:val="18"/>
              </w:rPr>
            </w:pPr>
            <w:r>
              <w:rPr>
                <w:rFonts w:ascii="Arial" w:hAnsi="Arial"/>
                <w:b/>
                <w:sz w:val="18"/>
                <w:szCs w:val="18"/>
              </w:rPr>
              <w:t>Publié:</w:t>
            </w:r>
          </w:p>
          <w:p w14:paraId="478E30BE" w14:textId="77777777" w:rsidR="002C4FD9" w:rsidRPr="00EE4F56" w:rsidRDefault="002C4FD9" w:rsidP="002C4FD9">
            <w:pPr>
              <w:spacing w:after="60" w:line="240" w:lineRule="auto"/>
              <w:rPr>
                <w:rFonts w:ascii="Arial" w:hAnsi="Arial" w:cs="Arial"/>
                <w:b/>
                <w:sz w:val="18"/>
                <w:szCs w:val="18"/>
              </w:rPr>
            </w:pPr>
            <w:r>
              <w:rPr>
                <w:rFonts w:ascii="Arial" w:hAnsi="Arial"/>
                <w:b/>
                <w:sz w:val="18"/>
                <w:szCs w:val="18"/>
              </w:rPr>
              <w:t>Journal officiel de Lettonie (Latvijas Vēstnesis) n° 226 (6312)</w:t>
            </w:r>
          </w:p>
          <w:p w14:paraId="388A83C4" w14:textId="0FAEFF8B" w:rsidR="00FC6D0F" w:rsidRPr="00EE4F56" w:rsidRDefault="00FC6D0F" w:rsidP="002C4FD9">
            <w:pPr>
              <w:spacing w:after="60" w:line="240" w:lineRule="auto"/>
              <w:rPr>
                <w:rFonts w:ascii="Arial" w:hAnsi="Arial" w:cs="Arial"/>
                <w:b/>
                <w:sz w:val="18"/>
                <w:szCs w:val="18"/>
              </w:rPr>
            </w:pPr>
            <w:r>
              <w:rPr>
                <w:rFonts w:ascii="Arial" w:hAnsi="Arial"/>
                <w:b/>
                <w:sz w:val="18"/>
                <w:szCs w:val="18"/>
              </w:rPr>
              <w:t>15.11.2018.</w:t>
            </w:r>
          </w:p>
          <w:p w14:paraId="1222F8F6" w14:textId="77777777" w:rsidR="002C4FD9" w:rsidRPr="00EE4F56" w:rsidRDefault="002C4FD9" w:rsidP="002C4FD9">
            <w:pPr>
              <w:spacing w:after="60" w:line="240" w:lineRule="auto"/>
              <w:rPr>
                <w:rFonts w:ascii="Arial" w:hAnsi="Arial" w:cs="Arial"/>
                <w:b/>
                <w:sz w:val="18"/>
                <w:szCs w:val="18"/>
              </w:rPr>
            </w:pPr>
          </w:p>
          <w:p w14:paraId="71ADF7E0" w14:textId="34EDD6A3" w:rsidR="00FC6D0F" w:rsidRPr="00EE4F56" w:rsidRDefault="00FC6D0F" w:rsidP="002C4FD9">
            <w:pPr>
              <w:spacing w:after="60" w:line="240" w:lineRule="auto"/>
              <w:rPr>
                <w:rFonts w:ascii="Arial" w:hAnsi="Arial" w:cs="Arial"/>
                <w:b/>
                <w:sz w:val="18"/>
                <w:szCs w:val="18"/>
              </w:rPr>
            </w:pPr>
            <w:r>
              <w:rPr>
                <w:rFonts w:ascii="Arial" w:hAnsi="Arial"/>
                <w:b/>
                <w:sz w:val="18"/>
                <w:szCs w:val="18"/>
              </w:rPr>
              <w:t>N° de la PO: 2018/226.2</w:t>
            </w:r>
          </w:p>
        </w:tc>
      </w:tr>
      <w:tr w:rsidR="002C4FD9" w:rsidRPr="00EE4F56" w14:paraId="4D939C94" w14:textId="77777777" w:rsidTr="00F16937">
        <w:tc>
          <w:tcPr>
            <w:tcW w:w="3018" w:type="dxa"/>
            <w:tcBorders>
              <w:bottom w:val="single" w:sz="12" w:space="0" w:color="A6A6A6"/>
            </w:tcBorders>
          </w:tcPr>
          <w:p w14:paraId="5331360F" w14:textId="34F0BA2C" w:rsidR="002C4FD9" w:rsidRPr="00EE4F56" w:rsidRDefault="002C4FD9" w:rsidP="002C4FD9">
            <w:pPr>
              <w:spacing w:after="60" w:line="240" w:lineRule="auto"/>
              <w:rPr>
                <w:rFonts w:ascii="Arial" w:hAnsi="Arial" w:cs="Arial"/>
                <w:noProof/>
                <w:sz w:val="18"/>
                <w:szCs w:val="18"/>
                <w:lang w:val="nl-NL" w:eastAsia="zh-CN"/>
              </w:rPr>
            </w:pPr>
          </w:p>
        </w:tc>
        <w:tc>
          <w:tcPr>
            <w:tcW w:w="3018" w:type="dxa"/>
            <w:tcBorders>
              <w:bottom w:val="single" w:sz="12" w:space="0" w:color="A6A6A6"/>
            </w:tcBorders>
          </w:tcPr>
          <w:p w14:paraId="21F3C753" w14:textId="77777777"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14:paraId="203287E2" w14:textId="77777777" w:rsidR="002C4FD9" w:rsidRPr="00EE4F56" w:rsidRDefault="002C4FD9" w:rsidP="002C4FD9">
            <w:pPr>
              <w:spacing w:after="60" w:line="240" w:lineRule="auto"/>
              <w:rPr>
                <w:rFonts w:ascii="Arial" w:hAnsi="Arial" w:cs="Arial"/>
                <w:b/>
                <w:sz w:val="18"/>
                <w:szCs w:val="18"/>
              </w:rPr>
            </w:pPr>
          </w:p>
        </w:tc>
      </w:tr>
    </w:tbl>
    <w:p w14:paraId="2F583246" w14:textId="05D287ED" w:rsidR="00C05723" w:rsidRPr="00EE4F56" w:rsidRDefault="00C05723" w:rsidP="002C4FD9">
      <w:pPr>
        <w:spacing w:before="120" w:after="120" w:line="240" w:lineRule="auto"/>
        <w:rPr>
          <w:rFonts w:ascii="Arial" w:hAnsi="Arial" w:cs="Arial"/>
          <w:b/>
          <w:sz w:val="18"/>
          <w:szCs w:val="18"/>
        </w:rPr>
      </w:pPr>
    </w:p>
    <w:p w14:paraId="1B1C223E" w14:textId="65233436" w:rsidR="00344F8E" w:rsidRDefault="00344F8E" w:rsidP="00344F8E">
      <w:pPr>
        <w:pStyle w:val="PlainText"/>
        <w:rPr>
          <w:rFonts w:ascii="Courier New" w:hAnsi="Courier New" w:cs="Courier New"/>
          <w:sz w:val="20"/>
          <w:szCs w:val="20"/>
        </w:rPr>
      </w:pPr>
      <w:r>
        <w:rPr>
          <w:rFonts w:ascii="Courier New" w:hAnsi="Courier New"/>
          <w:sz w:val="20"/>
          <w:szCs w:val="20"/>
        </w:rPr>
        <w:t>1. ------IND- 2018 0211 LV-</w:t>
      </w:r>
      <w:bookmarkStart w:id="0" w:name="_GoBack"/>
      <w:bookmarkEnd w:id="0"/>
      <w:r>
        <w:rPr>
          <w:rFonts w:ascii="Courier New" w:hAnsi="Courier New"/>
          <w:sz w:val="20"/>
          <w:szCs w:val="20"/>
        </w:rPr>
        <w:t xml:space="preserve"> LT- ------ 20191218 --- --- FINAL</w:t>
      </w:r>
    </w:p>
    <w:p w14:paraId="5B599D26" w14:textId="77777777" w:rsidR="00FC6D0F" w:rsidRPr="00EE4F56" w:rsidRDefault="00FC6D0F" w:rsidP="00154E01">
      <w:pPr>
        <w:spacing w:before="120" w:after="120" w:line="240" w:lineRule="auto"/>
        <w:jc w:val="right"/>
        <w:rPr>
          <w:rFonts w:ascii="Arial" w:hAnsi="Arial" w:cs="Arial"/>
          <w:b/>
          <w:sz w:val="18"/>
          <w:szCs w:val="18"/>
        </w:rPr>
      </w:pPr>
      <w:r>
        <w:rPr>
          <w:rFonts w:ascii="Arial" w:hAnsi="Arial"/>
          <w:b/>
          <w:sz w:val="18"/>
          <w:szCs w:val="18"/>
        </w:rPr>
        <w:t>Règlement nº 682 du Cabinet des ministres</w:t>
      </w:r>
    </w:p>
    <w:p w14:paraId="72CF7DF1" w14:textId="17EEA2F5" w:rsidR="00451295" w:rsidRPr="00EE4F56" w:rsidRDefault="00FC6D0F" w:rsidP="00154E01">
      <w:pPr>
        <w:spacing w:before="120" w:after="120" w:line="240" w:lineRule="auto"/>
        <w:jc w:val="right"/>
        <w:rPr>
          <w:rFonts w:ascii="Arial" w:hAnsi="Arial" w:cs="Arial"/>
          <w:sz w:val="18"/>
          <w:szCs w:val="18"/>
        </w:rPr>
      </w:pPr>
      <w:r>
        <w:rPr>
          <w:rFonts w:ascii="Arial" w:hAnsi="Arial"/>
          <w:sz w:val="18"/>
          <w:szCs w:val="18"/>
        </w:rPr>
        <w:t>Riga, le 13 novembre 2018 (procès-verbal Nº 52 34. paragraphe)</w:t>
      </w:r>
    </w:p>
    <w:p w14:paraId="38EE56EA" w14:textId="77777777" w:rsidR="00FC6D0F" w:rsidRPr="00EE4F56" w:rsidRDefault="00FC6D0F" w:rsidP="002C4FD9">
      <w:pPr>
        <w:spacing w:before="120" w:after="120" w:line="240" w:lineRule="auto"/>
        <w:rPr>
          <w:rFonts w:ascii="Arial" w:hAnsi="Arial" w:cs="Arial"/>
          <w:b/>
          <w:sz w:val="18"/>
          <w:szCs w:val="18"/>
        </w:rPr>
      </w:pPr>
    </w:p>
    <w:p w14:paraId="2A89148B" w14:textId="77777777" w:rsidR="00FC6D0F" w:rsidRPr="00EE4F56" w:rsidRDefault="00FC6D0F" w:rsidP="002C4FD9">
      <w:pPr>
        <w:spacing w:before="120" w:after="120" w:line="240" w:lineRule="auto"/>
        <w:rPr>
          <w:rFonts w:ascii="Arial" w:hAnsi="Arial" w:cs="Arial"/>
          <w:b/>
          <w:sz w:val="18"/>
          <w:szCs w:val="18"/>
        </w:rPr>
      </w:pPr>
    </w:p>
    <w:p w14:paraId="7F6485A1" w14:textId="6519F9EF" w:rsidR="00BA59B3" w:rsidRPr="00EE4F56" w:rsidRDefault="00FC6D0F" w:rsidP="002C4FD9">
      <w:pPr>
        <w:spacing w:before="120" w:after="120" w:line="240" w:lineRule="auto"/>
        <w:jc w:val="center"/>
        <w:rPr>
          <w:rFonts w:ascii="Arial" w:eastAsia="Times New Roman" w:hAnsi="Arial" w:cs="Arial"/>
          <w:b/>
          <w:sz w:val="28"/>
          <w:szCs w:val="28"/>
        </w:rPr>
      </w:pPr>
      <w:r>
        <w:rPr>
          <w:rFonts w:ascii="Arial" w:hAnsi="Arial"/>
          <w:b/>
          <w:sz w:val="28"/>
          <w:szCs w:val="28"/>
        </w:rPr>
        <w:t>Modalités de la fin du statut de déchet applicables aux matériaux de caoutchouc issu des pneus hors d’usage</w:t>
      </w:r>
    </w:p>
    <w:p w14:paraId="1D1F7932" w14:textId="77777777" w:rsidR="00451295" w:rsidRPr="00EE4F56" w:rsidRDefault="00451295" w:rsidP="002C4FD9">
      <w:pPr>
        <w:spacing w:before="120" w:after="120" w:line="240" w:lineRule="auto"/>
        <w:jc w:val="right"/>
        <w:rPr>
          <w:rFonts w:ascii="Arial" w:eastAsia="Times New Roman" w:hAnsi="Arial" w:cs="Arial"/>
          <w:sz w:val="18"/>
          <w:szCs w:val="18"/>
          <w:lang w:eastAsia="lv-LV"/>
        </w:rPr>
      </w:pPr>
    </w:p>
    <w:p w14:paraId="107A9741" w14:textId="11FBC4C8" w:rsidR="00FB0141" w:rsidRPr="00EE4F56" w:rsidRDefault="00154E01" w:rsidP="00EE4F56">
      <w:pPr>
        <w:keepNext/>
        <w:keepLines/>
        <w:spacing w:before="120" w:after="120" w:line="240" w:lineRule="auto"/>
        <w:jc w:val="right"/>
        <w:rPr>
          <w:rFonts w:ascii="Arial" w:eastAsia="Times New Roman" w:hAnsi="Arial" w:cs="Arial"/>
          <w:i/>
          <w:sz w:val="18"/>
          <w:szCs w:val="18"/>
        </w:rPr>
      </w:pPr>
      <w:r>
        <w:rPr>
          <w:rFonts w:ascii="Arial" w:hAnsi="Arial"/>
          <w:i/>
          <w:sz w:val="18"/>
          <w:szCs w:val="18"/>
        </w:rPr>
        <w:t>Émis en vertu de l’article 6, paragraphe 1.1</w:t>
      </w:r>
      <w:r>
        <w:rPr>
          <w:rFonts w:ascii="Arial" w:hAnsi="Arial"/>
          <w:i/>
          <w:sz w:val="18"/>
          <w:szCs w:val="18"/>
        </w:rPr>
        <w:br/>
        <w:t>de la loi sur la gestion des déchets</w:t>
      </w:r>
    </w:p>
    <w:p w14:paraId="712531AB" w14:textId="5769D68D" w:rsidR="00BA59B3" w:rsidRPr="00EE4F56" w:rsidRDefault="00565BE4" w:rsidP="00565BE4">
      <w:pPr>
        <w:pStyle w:val="ListParagraph"/>
        <w:numPr>
          <w:ilvl w:val="0"/>
          <w:numId w:val="1"/>
        </w:numPr>
        <w:spacing w:before="120" w:after="120" w:line="240" w:lineRule="auto"/>
        <w:contextualSpacing w:val="0"/>
        <w:jc w:val="both"/>
        <w:rPr>
          <w:rFonts w:ascii="Arial" w:hAnsi="Arial" w:cs="Arial"/>
          <w:sz w:val="18"/>
          <w:szCs w:val="18"/>
        </w:rPr>
      </w:pPr>
      <w:r>
        <w:rPr>
          <w:rFonts w:ascii="Arial" w:hAnsi="Arial"/>
          <w:sz w:val="18"/>
          <w:szCs w:val="18"/>
        </w:rPr>
        <w:t>Le règlement établit les modalités de la fin du statut de déchet applicables aux matériaux de caoutchouc issu des pneus hors d’usage.</w:t>
      </w:r>
    </w:p>
    <w:p w14:paraId="292A079A" w14:textId="36B6788D" w:rsidR="005F5128" w:rsidRPr="00EE4F56" w:rsidRDefault="00565BE4" w:rsidP="00565BE4">
      <w:pPr>
        <w:pStyle w:val="NumPar1"/>
        <w:numPr>
          <w:ilvl w:val="0"/>
          <w:numId w:val="1"/>
        </w:numPr>
        <w:rPr>
          <w:rFonts w:ascii="Arial" w:hAnsi="Arial" w:cs="Arial"/>
          <w:sz w:val="18"/>
          <w:szCs w:val="18"/>
        </w:rPr>
      </w:pPr>
      <w:r>
        <w:rPr>
          <w:rFonts w:ascii="Arial" w:hAnsi="Arial"/>
          <w:sz w:val="18"/>
          <w:szCs w:val="18"/>
        </w:rPr>
        <w:t>Au sens du présent règlement, les matériaux de caoutchouc obtenus à partir des pneus hors d’usage par broyage, concassage, déchiquetage, découpage ou pelletisation sont considérés comme des matières premières secondaires si, à la suite d’un traitement desdits pneus, ces matériaux sont destinés à la vente sur le marché en vue d’une utilisation ultérieure, avec ou sans adjonction d’agents liants, et s’ils répondent à l’ensemble des critères prévus à l’annexe 1 du présent règlement.</w:t>
      </w:r>
    </w:p>
    <w:p w14:paraId="0C893223" w14:textId="5D905217" w:rsidR="00B25D4C" w:rsidRPr="00EE4F56" w:rsidRDefault="005770E0" w:rsidP="002C4FD9">
      <w:pPr>
        <w:pStyle w:val="ListParagraph"/>
        <w:keepNext/>
        <w:keepLines/>
        <w:numPr>
          <w:ilvl w:val="0"/>
          <w:numId w:val="1"/>
        </w:numPr>
        <w:spacing w:before="120" w:after="120" w:line="240" w:lineRule="auto"/>
        <w:contextualSpacing w:val="0"/>
        <w:jc w:val="both"/>
        <w:rPr>
          <w:rFonts w:ascii="Arial" w:hAnsi="Arial" w:cs="Arial"/>
          <w:sz w:val="18"/>
          <w:szCs w:val="18"/>
        </w:rPr>
      </w:pPr>
      <w:r>
        <w:rPr>
          <w:rFonts w:ascii="Arial" w:hAnsi="Arial"/>
          <w:sz w:val="18"/>
          <w:szCs w:val="18"/>
        </w:rPr>
        <w:t>Les matières premières secondaires suivantes peuvent être obtenues à partir de pneus hors d’usage:</w:t>
      </w:r>
    </w:p>
    <w:p w14:paraId="06550F9B" w14:textId="34B2435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szCs w:val="18"/>
        </w:rPr>
        <w:t>poudre de caoutchouc: un matériau de caoutchouc obtenu à partir de pneus hors d’usage broyés pour obtenir des particules allant jusqu’à 0,8 mm;</w:t>
      </w:r>
    </w:p>
    <w:p w14:paraId="08446B34" w14:textId="330C7D69"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szCs w:val="18"/>
        </w:rPr>
        <w:t xml:space="preserve">billes de caoutchouc: un matériau de caoutchouc issu de la granulation des pneus hors d’usage pour obtenir des particules dont la taille est comprise entre 0,9 et 20 mm; </w:t>
      </w:r>
    </w:p>
    <w:p w14:paraId="43D15EB7" w14:textId="2CBC7E4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szCs w:val="18"/>
        </w:rPr>
        <w:t xml:space="preserve">paillis de caoutchouc: un matériau de caoutchouc obtenu par écrasement, broyage ou déchiquetage des pneus hors d’usage pour obtenir des particules de forme irrégulière de 10 à 50 mm. Un mélange de textiles est autorisé; </w:t>
      </w:r>
    </w:p>
    <w:p w14:paraId="522B6E7E" w14:textId="216598D1"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szCs w:val="18"/>
        </w:rPr>
        <w:t>caoutchouc concassé: un matériau de caoutchouc obtenu par écrasement, broyage ou déchiquetage des pneus hors d’usage pour obtenir des particules de forme irrégulière dont la taille est comprise entre 50 et 300 mm. Un mélange de textiles est autorisé;</w:t>
      </w:r>
    </w:p>
    <w:p w14:paraId="673AB3B5" w14:textId="61406F9C"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szCs w:val="18"/>
        </w:rPr>
        <w:t>débris de caoutchouc: un matériau de caoutchouc obtenu à partir de pneus hors d’usage émiettés, concassés ou déchiquetés en particules de forme irrégulière dont la taille varie principalement entre 300 et 500 mm. Un mélange de fils métalliques et de textiles est autorisé.</w:t>
      </w:r>
    </w:p>
    <w:p w14:paraId="389623F8" w14:textId="05737329" w:rsidR="00BB0531" w:rsidRPr="00EE4F56" w:rsidRDefault="00565BE4" w:rsidP="00565BE4">
      <w:pPr>
        <w:pStyle w:val="NumPar1"/>
        <w:keepNext/>
        <w:keepLines/>
        <w:numPr>
          <w:ilvl w:val="0"/>
          <w:numId w:val="1"/>
        </w:numPr>
        <w:rPr>
          <w:rFonts w:ascii="Arial" w:hAnsi="Arial" w:cs="Arial"/>
          <w:sz w:val="18"/>
          <w:szCs w:val="18"/>
        </w:rPr>
      </w:pPr>
      <w:r>
        <w:rPr>
          <w:rFonts w:ascii="Arial" w:hAnsi="Arial"/>
          <w:sz w:val="18"/>
          <w:szCs w:val="18"/>
        </w:rPr>
        <w:t>Ne doivent pas être considérés comme des matières premières secondaires, mais comme étant des déchets les matériaux de caoutchouc utilisés aux fins suivantes:</w:t>
      </w:r>
    </w:p>
    <w:p w14:paraId="72EEBFA7" w14:textId="77777777" w:rsidR="00BB0531" w:rsidRPr="00EE4F56" w:rsidRDefault="005770E0" w:rsidP="002C4FD9">
      <w:pPr>
        <w:pStyle w:val="NumPar1"/>
        <w:numPr>
          <w:ilvl w:val="1"/>
          <w:numId w:val="1"/>
        </w:numPr>
        <w:rPr>
          <w:rFonts w:ascii="Arial" w:hAnsi="Arial" w:cs="Arial"/>
          <w:sz w:val="18"/>
          <w:szCs w:val="18"/>
        </w:rPr>
      </w:pPr>
      <w:r>
        <w:rPr>
          <w:rFonts w:ascii="Arial" w:hAnsi="Arial"/>
          <w:sz w:val="18"/>
          <w:szCs w:val="18"/>
        </w:rPr>
        <w:t>l’incinération avec ou sans récupération d’énergie;</w:t>
      </w:r>
    </w:p>
    <w:p w14:paraId="4C3B4C59" w14:textId="198943EB" w:rsidR="00BB0531" w:rsidRPr="00EE4F56" w:rsidRDefault="005770E0" w:rsidP="002C4FD9">
      <w:pPr>
        <w:pStyle w:val="NumPar1"/>
        <w:numPr>
          <w:ilvl w:val="1"/>
          <w:numId w:val="1"/>
        </w:numPr>
        <w:rPr>
          <w:rFonts w:ascii="Arial" w:hAnsi="Arial" w:cs="Arial"/>
          <w:sz w:val="18"/>
          <w:szCs w:val="18"/>
        </w:rPr>
      </w:pPr>
      <w:r>
        <w:rPr>
          <w:rFonts w:ascii="Arial" w:hAnsi="Arial"/>
          <w:sz w:val="18"/>
          <w:szCs w:val="18"/>
        </w:rPr>
        <w:t>la pyrolyse, la plasmolyse, la gazéification et les procédés technologiques similaires lors desquels les propriétés physiques ou chimiques des matériaux en caoutchouc sont modifiées;</w:t>
      </w:r>
    </w:p>
    <w:p w14:paraId="19ECD4B7" w14:textId="371489AD" w:rsidR="00BB0531" w:rsidRPr="00EE4F56" w:rsidRDefault="00565BE4" w:rsidP="00565BE4">
      <w:pPr>
        <w:pStyle w:val="NumPar1"/>
        <w:numPr>
          <w:ilvl w:val="1"/>
          <w:numId w:val="1"/>
        </w:numPr>
        <w:rPr>
          <w:rFonts w:ascii="Arial" w:hAnsi="Arial" w:cs="Arial"/>
          <w:sz w:val="18"/>
          <w:szCs w:val="18"/>
        </w:rPr>
      </w:pPr>
      <w:r>
        <w:rPr>
          <w:rFonts w:ascii="Arial" w:hAnsi="Arial"/>
          <w:sz w:val="18"/>
          <w:szCs w:val="18"/>
        </w:rPr>
        <w:t>le dépôt dans des décharges ou le stockage dont la durée dépasse 1 an.</w:t>
      </w:r>
    </w:p>
    <w:p w14:paraId="39D31276" w14:textId="7C214E46" w:rsidR="00F43F5D" w:rsidRPr="00EE4F56" w:rsidRDefault="00565BE4" w:rsidP="00565BE4">
      <w:pPr>
        <w:pStyle w:val="NumPar1"/>
        <w:keepNext/>
        <w:keepLines/>
        <w:numPr>
          <w:ilvl w:val="0"/>
          <w:numId w:val="1"/>
        </w:numPr>
        <w:rPr>
          <w:rFonts w:ascii="Arial" w:hAnsi="Arial" w:cs="Arial"/>
          <w:sz w:val="18"/>
          <w:szCs w:val="18"/>
        </w:rPr>
      </w:pPr>
      <w:r>
        <w:rPr>
          <w:rFonts w:ascii="Arial" w:hAnsi="Arial"/>
          <w:sz w:val="18"/>
          <w:szCs w:val="18"/>
        </w:rPr>
        <w:t>Le transformateur de pneus hors d’usage doit:</w:t>
      </w:r>
    </w:p>
    <w:p w14:paraId="51D52158" w14:textId="29D643C9" w:rsidR="009653E2" w:rsidRPr="00EE4F56" w:rsidRDefault="00565BE4" w:rsidP="00565BE4">
      <w:pPr>
        <w:pStyle w:val="NumPar1"/>
        <w:numPr>
          <w:ilvl w:val="1"/>
          <w:numId w:val="1"/>
        </w:numPr>
        <w:rPr>
          <w:rFonts w:ascii="Arial" w:eastAsia="宋体" w:hAnsi="Arial" w:cs="Arial"/>
          <w:snapToGrid/>
          <w:sz w:val="18"/>
          <w:szCs w:val="18"/>
        </w:rPr>
      </w:pPr>
      <w:r>
        <w:rPr>
          <w:rFonts w:ascii="Arial" w:hAnsi="Arial"/>
          <w:snapToGrid/>
          <w:sz w:val="18"/>
          <w:szCs w:val="18"/>
        </w:rPr>
        <w:t>fournir une déclaration sur chaque lot de matières premières secondaires, attestant que les matières premières secondaires satisfont aux critères permettant de déterminer la fin de l’état de déchet approprié, énoncés à l’annexe 1 du présent règlement, conformément à l’annexe 2 (ci-après dénommée la «déclaration de conformité»);</w:t>
      </w:r>
    </w:p>
    <w:p w14:paraId="28D93D0E" w14:textId="117C311A" w:rsidR="00AF72FA" w:rsidRPr="00EE4F56" w:rsidRDefault="005770E0" w:rsidP="002C4FD9">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szCs w:val="18"/>
        </w:rPr>
        <w:t xml:space="preserve">fournir le registre de pneus hors d’usage recyclables tenu conformément aux règles et réglementations applicables sur les formulaires officiels de statistiques environnementales; </w:t>
      </w:r>
    </w:p>
    <w:p w14:paraId="786D0934" w14:textId="58A6CBBB" w:rsidR="009653E2" w:rsidRPr="00EE4F56" w:rsidRDefault="00565BE4" w:rsidP="00565BE4">
      <w:pPr>
        <w:pStyle w:val="NumPar1"/>
        <w:numPr>
          <w:ilvl w:val="1"/>
          <w:numId w:val="1"/>
        </w:numPr>
        <w:rPr>
          <w:rFonts w:ascii="Arial" w:hAnsi="Arial" w:cs="Arial"/>
          <w:sz w:val="18"/>
          <w:szCs w:val="18"/>
        </w:rPr>
      </w:pPr>
      <w:r>
        <w:rPr>
          <w:rFonts w:ascii="Arial" w:hAnsi="Arial"/>
          <w:sz w:val="18"/>
          <w:szCs w:val="18"/>
        </w:rPr>
        <w:lastRenderedPageBreak/>
        <w:t>joindre à chaque lot de matières premières secondaires transportées une copie papier de la déclaration de conformité en conservant l’original de celle-ci pour être en mesure de le présenter à la demande du Service national de l’environnement de la République de Lettonie.</w:t>
      </w:r>
    </w:p>
    <w:p w14:paraId="49B3F50D" w14:textId="3BD9020A" w:rsidR="00380381" w:rsidRPr="00EE4F56" w:rsidRDefault="00565BE4" w:rsidP="00565BE4">
      <w:pPr>
        <w:pStyle w:val="NumPar1"/>
        <w:numPr>
          <w:ilvl w:val="0"/>
          <w:numId w:val="1"/>
        </w:numPr>
        <w:rPr>
          <w:rFonts w:ascii="Arial" w:hAnsi="Arial" w:cs="Arial"/>
          <w:sz w:val="18"/>
          <w:szCs w:val="18"/>
        </w:rPr>
      </w:pPr>
      <w:r>
        <w:rPr>
          <w:rFonts w:ascii="Arial" w:hAnsi="Arial"/>
          <w:sz w:val="18"/>
          <w:szCs w:val="18"/>
        </w:rPr>
        <w:t>La déclaration de conformité doit être préparée sous forme électronique conformément aux règles et règlements relatifs aux documents électroniques.</w:t>
      </w:r>
    </w:p>
    <w:p w14:paraId="0A20DC9F" w14:textId="49A390BE" w:rsidR="00565BE4" w:rsidRPr="00EE4F56" w:rsidRDefault="00565BE4" w:rsidP="00565BE4">
      <w:pPr>
        <w:pStyle w:val="NumPar1"/>
        <w:numPr>
          <w:ilvl w:val="0"/>
          <w:numId w:val="1"/>
        </w:numPr>
        <w:rPr>
          <w:rFonts w:ascii="Arial" w:hAnsi="Arial" w:cs="Arial"/>
          <w:sz w:val="18"/>
          <w:szCs w:val="18"/>
        </w:rPr>
      </w:pPr>
      <w:r>
        <w:rPr>
          <w:rFonts w:ascii="Arial" w:hAnsi="Arial"/>
          <w:sz w:val="18"/>
          <w:szCs w:val="18"/>
        </w:rPr>
        <w:t>Le transformateur de pneus hors d’usage doit conserver la déclaration de conformité pendant 5 ans à compter de la date de sa délivrance et dispose de 10 jours ouvrables pour la produire à la demande des autorités compétentes responsables de la gestion des déchets.</w:t>
      </w:r>
    </w:p>
    <w:p w14:paraId="291BE649" w14:textId="3A776A32" w:rsidR="009653E2" w:rsidRPr="00EE4F56" w:rsidRDefault="00565BE4" w:rsidP="00565BE4">
      <w:pPr>
        <w:pStyle w:val="NumPar1"/>
        <w:numPr>
          <w:ilvl w:val="0"/>
          <w:numId w:val="1"/>
        </w:numPr>
        <w:rPr>
          <w:rFonts w:ascii="Arial" w:hAnsi="Arial" w:cs="Arial"/>
          <w:sz w:val="18"/>
          <w:szCs w:val="18"/>
        </w:rPr>
      </w:pPr>
      <w:r>
        <w:rPr>
          <w:rFonts w:ascii="Arial" w:hAnsi="Arial"/>
          <w:sz w:val="18"/>
          <w:szCs w:val="18"/>
        </w:rPr>
        <w:t>Le transformateur de pneus hors d’usage doit joindre à chaque lot de matières premières secondaires les spécifications techniques du produit.</w:t>
      </w:r>
    </w:p>
    <w:p w14:paraId="74EDE252" w14:textId="3B99B488" w:rsidR="00E40F3E" w:rsidRPr="00EE4F56" w:rsidRDefault="005770E0" w:rsidP="00565BE4">
      <w:pPr>
        <w:pStyle w:val="NumPar1"/>
        <w:numPr>
          <w:ilvl w:val="0"/>
          <w:numId w:val="1"/>
        </w:numPr>
        <w:rPr>
          <w:rFonts w:ascii="Arial" w:hAnsi="Arial" w:cs="Arial"/>
          <w:sz w:val="18"/>
          <w:szCs w:val="18"/>
        </w:rPr>
      </w:pPr>
      <w:r>
        <w:rPr>
          <w:rFonts w:ascii="Arial" w:hAnsi="Arial"/>
          <w:sz w:val="18"/>
          <w:szCs w:val="18"/>
        </w:rPr>
        <w:t>La personne responsable de l’importation des matières premières secondaires en Lettonie veille à ce que le transformateur des pneus hors d’usage attache à chaque lot de matières premières secondaires une déclaration contenant des informations sur les propriétés physiques et chimiques des matériaux expédiés et les coordonnées du transformateur des pneus hors d’usage.</w:t>
      </w:r>
    </w:p>
    <w:p w14:paraId="135C14D9" w14:textId="4C3291F3" w:rsidR="00E40F3E" w:rsidRPr="00EE4F56" w:rsidRDefault="00565BE4" w:rsidP="00565BE4">
      <w:pPr>
        <w:pStyle w:val="NumPar1"/>
        <w:numPr>
          <w:ilvl w:val="0"/>
          <w:numId w:val="1"/>
        </w:numPr>
        <w:rPr>
          <w:rFonts w:ascii="Arial" w:hAnsi="Arial" w:cs="Arial"/>
          <w:sz w:val="18"/>
          <w:szCs w:val="18"/>
        </w:rPr>
      </w:pPr>
      <w:r>
        <w:rPr>
          <w:rFonts w:ascii="Arial" w:hAnsi="Arial"/>
          <w:sz w:val="18"/>
          <w:szCs w:val="18"/>
        </w:rPr>
        <w:t>La personne responsable de l’importation des matières premières secondaires en Lettonie conserve la déclaration visée au paragraphe 9 du présent règlement pendant 5 ans à compter de la date de sa délivrance et dispose de 10 jours ouvrables pour la produire à la demande des autorités compétentes responsables de la gestion des déchets.</w:t>
      </w:r>
    </w:p>
    <w:p w14:paraId="2E5E440E" w14:textId="072B3AB0" w:rsidR="007F3ACF" w:rsidRPr="00EE4F56" w:rsidRDefault="00565BE4" w:rsidP="00565BE4">
      <w:pPr>
        <w:pStyle w:val="NumPar1"/>
        <w:numPr>
          <w:ilvl w:val="0"/>
          <w:numId w:val="1"/>
        </w:numPr>
        <w:rPr>
          <w:rFonts w:ascii="Arial" w:hAnsi="Arial" w:cs="Arial"/>
          <w:sz w:val="18"/>
          <w:szCs w:val="18"/>
        </w:rPr>
      </w:pPr>
      <w:r>
        <w:rPr>
          <w:rFonts w:ascii="Arial" w:hAnsi="Arial"/>
          <w:sz w:val="18"/>
          <w:szCs w:val="18"/>
        </w:rPr>
        <w:t>Le transformateur des pneus hors d’usage doit mettre en place un système de gestion de la qualité pour assurer la traçabilité du traitement des pneus hors d’usage. Le transformateur de pneus hors d’usage respecte les exigences de qualité et les propriétés caractéristiques physico-chimiques établies dans les spécifications techniques applicables aux matières premières secondaires.</w:t>
      </w:r>
    </w:p>
    <w:p w14:paraId="71659623" w14:textId="1D6FD2D2" w:rsidR="007F3ACF" w:rsidRPr="00EE4F56" w:rsidRDefault="00565BE4" w:rsidP="00565BE4">
      <w:pPr>
        <w:pStyle w:val="NumPar1"/>
        <w:keepNext/>
        <w:keepLines/>
        <w:numPr>
          <w:ilvl w:val="0"/>
          <w:numId w:val="1"/>
        </w:numPr>
        <w:rPr>
          <w:rFonts w:ascii="Arial" w:hAnsi="Arial" w:cs="Arial"/>
          <w:sz w:val="18"/>
          <w:szCs w:val="18"/>
        </w:rPr>
      </w:pPr>
      <w:r>
        <w:rPr>
          <w:rFonts w:ascii="Arial" w:hAnsi="Arial"/>
          <w:sz w:val="18"/>
          <w:szCs w:val="18"/>
        </w:rPr>
        <w:t>Le système de gestion de la qualité comprend une description détaillée du traitement des pneus hors d’usage, et notamment:</w:t>
      </w:r>
    </w:p>
    <w:p w14:paraId="613DC0BD" w14:textId="3D66A01D" w:rsidR="007F3ACF" w:rsidRPr="00EE4F56" w:rsidRDefault="00565BE4" w:rsidP="00565BE4">
      <w:pPr>
        <w:pStyle w:val="NumPar1"/>
        <w:numPr>
          <w:ilvl w:val="1"/>
          <w:numId w:val="1"/>
        </w:numPr>
        <w:rPr>
          <w:rFonts w:ascii="Arial" w:hAnsi="Arial" w:cs="Arial"/>
          <w:sz w:val="18"/>
          <w:szCs w:val="18"/>
        </w:rPr>
      </w:pPr>
      <w:r>
        <w:rPr>
          <w:rFonts w:ascii="Arial" w:hAnsi="Arial"/>
          <w:sz w:val="18"/>
          <w:szCs w:val="18"/>
        </w:rPr>
        <w:t>la description du processus de suivi de la qualité du traitement des pneus hors d’usage conformément à l’annexe 1 du présent règlement;</w:t>
      </w:r>
    </w:p>
    <w:p w14:paraId="1917EE9A" w14:textId="53719853" w:rsidR="007F3ACF" w:rsidRPr="00EE4F56" w:rsidRDefault="00565BE4" w:rsidP="00565BE4">
      <w:pPr>
        <w:pStyle w:val="NumPar1"/>
        <w:numPr>
          <w:ilvl w:val="1"/>
          <w:numId w:val="1"/>
        </w:numPr>
        <w:rPr>
          <w:rFonts w:ascii="Arial" w:hAnsi="Arial" w:cs="Arial"/>
          <w:sz w:val="18"/>
          <w:szCs w:val="18"/>
        </w:rPr>
      </w:pPr>
      <w:r>
        <w:rPr>
          <w:rFonts w:ascii="Arial" w:hAnsi="Arial"/>
          <w:sz w:val="18"/>
          <w:szCs w:val="18"/>
        </w:rPr>
        <w:t>les méthodes de prélèvement d’échantillons utilisées, les tests physiques et chimiques des échantillons, l’étiquetage des matières premières secondaires, la description des procédés d’emballage et de stockage;</w:t>
      </w:r>
    </w:p>
    <w:p w14:paraId="4629388D" w14:textId="455AFCE6" w:rsidR="007F3ACF" w:rsidRPr="00EE4F56" w:rsidRDefault="00565BE4" w:rsidP="00565BE4">
      <w:pPr>
        <w:pStyle w:val="NumPar1"/>
        <w:numPr>
          <w:ilvl w:val="1"/>
          <w:numId w:val="1"/>
        </w:numPr>
        <w:rPr>
          <w:rFonts w:ascii="Arial" w:hAnsi="Arial" w:cs="Arial"/>
          <w:sz w:val="18"/>
          <w:szCs w:val="18"/>
        </w:rPr>
      </w:pPr>
      <w:r>
        <w:rPr>
          <w:rFonts w:ascii="Arial" w:hAnsi="Arial"/>
          <w:sz w:val="18"/>
          <w:szCs w:val="18"/>
        </w:rPr>
        <w:t>les critères de conformité applicables aux pneus hors d’usage, les types de mesures de contrôle visant à évaluer la conformité des pneus hors d’usage et la façon de consigner les résultats;</w:t>
      </w:r>
    </w:p>
    <w:p w14:paraId="4E419FC7" w14:textId="4E331898" w:rsidR="00480951" w:rsidRPr="00EE4F56" w:rsidRDefault="00565BE4" w:rsidP="00565BE4">
      <w:pPr>
        <w:pStyle w:val="NumPar1"/>
        <w:numPr>
          <w:ilvl w:val="1"/>
          <w:numId w:val="1"/>
        </w:numPr>
        <w:rPr>
          <w:rFonts w:ascii="Arial" w:hAnsi="Arial" w:cs="Arial"/>
          <w:sz w:val="18"/>
          <w:szCs w:val="18"/>
        </w:rPr>
      </w:pPr>
      <w:r>
        <w:rPr>
          <w:rFonts w:ascii="Arial" w:hAnsi="Arial"/>
          <w:sz w:val="18"/>
          <w:szCs w:val="18"/>
        </w:rPr>
        <w:t>la description de l’ensemble du cycle de traitement des pneus hors d’usage, y compris la gestion et le stockage ultérieurs des déchets qui en résultent, et des informations sur la vente potentielle des matières premières secondaires;</w:t>
      </w:r>
    </w:p>
    <w:p w14:paraId="469B7188" w14:textId="074B0FBC" w:rsidR="00480951" w:rsidRPr="00EE4F56" w:rsidRDefault="00565BE4" w:rsidP="00565BE4">
      <w:pPr>
        <w:pStyle w:val="NumPar1"/>
        <w:numPr>
          <w:ilvl w:val="1"/>
          <w:numId w:val="1"/>
        </w:numPr>
        <w:rPr>
          <w:rFonts w:ascii="Arial" w:hAnsi="Arial" w:cs="Arial"/>
          <w:sz w:val="18"/>
          <w:szCs w:val="18"/>
        </w:rPr>
      </w:pPr>
      <w:r>
        <w:rPr>
          <w:rFonts w:ascii="Arial" w:hAnsi="Arial"/>
          <w:sz w:val="18"/>
          <w:szCs w:val="18"/>
        </w:rPr>
        <w:t>les critères de conformité en matière de qualité des matières premières secondaires et les critères d’autocontrôle conformément à l’annexe 1 du présent règlement;</w:t>
      </w:r>
    </w:p>
    <w:p w14:paraId="4098FDC1" w14:textId="5E9725DF" w:rsidR="00480951" w:rsidRPr="00EE4F56" w:rsidRDefault="00565BE4" w:rsidP="00565BE4">
      <w:pPr>
        <w:pStyle w:val="NumPar1"/>
        <w:numPr>
          <w:ilvl w:val="1"/>
          <w:numId w:val="1"/>
        </w:numPr>
        <w:rPr>
          <w:rFonts w:ascii="Arial" w:hAnsi="Arial" w:cs="Arial"/>
          <w:sz w:val="18"/>
          <w:szCs w:val="18"/>
        </w:rPr>
      </w:pPr>
      <w:r>
        <w:rPr>
          <w:rFonts w:ascii="Arial" w:hAnsi="Arial"/>
          <w:sz w:val="18"/>
          <w:szCs w:val="18"/>
        </w:rPr>
        <w:t>les experts du transformateur des pneus hors d’usage, responsables de chaque étape de la transformation des pneus usagés;</w:t>
      </w:r>
    </w:p>
    <w:p w14:paraId="484BA343" w14:textId="1A535465" w:rsidR="007F3ACF" w:rsidRPr="00EE4F56" w:rsidRDefault="00565BE4" w:rsidP="00565BE4">
      <w:pPr>
        <w:pStyle w:val="NumPar1"/>
        <w:numPr>
          <w:ilvl w:val="1"/>
          <w:numId w:val="1"/>
        </w:numPr>
        <w:rPr>
          <w:rFonts w:ascii="Arial" w:hAnsi="Arial" w:cs="Arial"/>
          <w:sz w:val="18"/>
          <w:szCs w:val="18"/>
        </w:rPr>
      </w:pPr>
      <w:r>
        <w:rPr>
          <w:rFonts w:ascii="Arial" w:hAnsi="Arial"/>
          <w:sz w:val="18"/>
          <w:szCs w:val="18"/>
        </w:rPr>
        <w:t>le volume potentiel de transformation des pneus hors d’usage.</w:t>
      </w:r>
    </w:p>
    <w:p w14:paraId="3FD89920" w14:textId="523E5EB5" w:rsidR="00A31DB8" w:rsidRPr="00EE4F56" w:rsidRDefault="00565BE4" w:rsidP="00565BE4">
      <w:pPr>
        <w:pStyle w:val="NumPar1"/>
        <w:numPr>
          <w:ilvl w:val="0"/>
          <w:numId w:val="1"/>
        </w:numPr>
        <w:snapToGrid w:val="0"/>
        <w:rPr>
          <w:rFonts w:ascii="Arial" w:hAnsi="Arial" w:cs="Arial"/>
          <w:sz w:val="18"/>
          <w:szCs w:val="18"/>
        </w:rPr>
      </w:pPr>
      <w:r>
        <w:rPr>
          <w:rFonts w:ascii="Arial" w:hAnsi="Arial"/>
          <w:sz w:val="18"/>
          <w:szCs w:val="18"/>
        </w:rPr>
        <w:t>Les informations visées au point 12 du présent règlement sont conservées par le transformateur de pneus hors d’usage pendant cinq ans à compter de la date de réception du lot des matières premières secondaires.</w:t>
      </w:r>
    </w:p>
    <w:p w14:paraId="47FF1256" w14:textId="25E899E6" w:rsidR="007F3ACF" w:rsidRPr="00EE4F56" w:rsidRDefault="00565BE4" w:rsidP="00565BE4">
      <w:pPr>
        <w:pStyle w:val="NumPar1"/>
        <w:numPr>
          <w:ilvl w:val="0"/>
          <w:numId w:val="1"/>
        </w:numPr>
        <w:snapToGrid w:val="0"/>
        <w:rPr>
          <w:rFonts w:ascii="Arial" w:hAnsi="Arial" w:cs="Arial"/>
          <w:sz w:val="18"/>
          <w:szCs w:val="18"/>
        </w:rPr>
      </w:pPr>
      <w:r>
        <w:rPr>
          <w:rFonts w:ascii="Arial" w:hAnsi="Arial"/>
          <w:sz w:val="18"/>
          <w:szCs w:val="18"/>
        </w:rPr>
        <w:t>Le transformateur des pneus hors d’usage procède chaque année à une révision du système de gestion de la qualité. Cette révision devra être effectuée également à la suite de chaque modification importante des processus technologiques relatifs aux matières premières secondaires ou des propriétés physiques ou chimiques des matières premières secondaires.</w:t>
      </w:r>
    </w:p>
    <w:p w14:paraId="75E15CC2" w14:textId="60C131E1" w:rsidR="00361744" w:rsidRPr="00EE4F56" w:rsidRDefault="00565BE4" w:rsidP="00565BE4">
      <w:pPr>
        <w:pStyle w:val="NumPar1"/>
        <w:numPr>
          <w:ilvl w:val="0"/>
          <w:numId w:val="1"/>
        </w:numPr>
        <w:rPr>
          <w:rFonts w:ascii="Arial" w:hAnsi="Arial" w:cs="Arial"/>
          <w:sz w:val="18"/>
          <w:szCs w:val="18"/>
        </w:rPr>
      </w:pPr>
      <w:r>
        <w:rPr>
          <w:rFonts w:ascii="Arial" w:hAnsi="Arial"/>
          <w:sz w:val="18"/>
          <w:szCs w:val="18"/>
        </w:rPr>
        <w:t xml:space="preserve">À la demande écrite des autorités compétentes chargées de la gestion des déchets, le transformateur des pneus hors d’usage ou la personne responsable de l’importation de matières premières secondaires en Lettonie doit permettre l’accès à </w:t>
      </w:r>
      <w:r w:rsidR="00175207">
        <w:rPr>
          <w:rFonts w:ascii="Arial" w:hAnsi="Arial"/>
          <w:sz w:val="18"/>
          <w:szCs w:val="18"/>
        </w:rPr>
        <w:t>l'ensemble des</w:t>
      </w:r>
      <w:r>
        <w:rPr>
          <w:rFonts w:ascii="Arial" w:hAnsi="Arial"/>
          <w:sz w:val="18"/>
          <w:szCs w:val="18"/>
        </w:rPr>
        <w:t xml:space="preserve"> zones, locaux et documents en rapport avec le traitement et le stockage des pneus hors d’usage aux fins d’une évaluation de la conformité par rapport aux exigences prévues par ledit règlement.</w:t>
      </w:r>
    </w:p>
    <w:p w14:paraId="5A891589" w14:textId="735B2B58" w:rsidR="00E83F91" w:rsidRPr="00EE4F56" w:rsidRDefault="00565BE4" w:rsidP="00565BE4">
      <w:pPr>
        <w:pStyle w:val="NumPar1"/>
        <w:numPr>
          <w:ilvl w:val="0"/>
          <w:numId w:val="1"/>
        </w:numPr>
        <w:rPr>
          <w:rFonts w:ascii="Arial" w:hAnsi="Arial" w:cs="Arial"/>
          <w:sz w:val="18"/>
          <w:szCs w:val="18"/>
        </w:rPr>
      </w:pPr>
      <w:r>
        <w:rPr>
          <w:rFonts w:ascii="Arial" w:hAnsi="Arial"/>
          <w:sz w:val="18"/>
          <w:szCs w:val="18"/>
        </w:rPr>
        <w:t>Le transformateur des pneus hors d’usage doit informer l’acheteur des matières premières secondaires que la transformation des pneus hors d’usage obéit à un système de gestion de la qualité.</w:t>
      </w:r>
    </w:p>
    <w:p w14:paraId="21ADDD4B" w14:textId="2365971E" w:rsidR="00E83F91" w:rsidRPr="00EE4F56" w:rsidRDefault="00565BE4" w:rsidP="00565BE4">
      <w:pPr>
        <w:pStyle w:val="NumPar1"/>
        <w:numPr>
          <w:ilvl w:val="0"/>
          <w:numId w:val="1"/>
        </w:numPr>
        <w:snapToGrid w:val="0"/>
        <w:rPr>
          <w:rFonts w:ascii="Arial" w:hAnsi="Arial" w:cs="Arial"/>
          <w:sz w:val="18"/>
          <w:szCs w:val="18"/>
        </w:rPr>
      </w:pPr>
      <w:r>
        <w:rPr>
          <w:rFonts w:ascii="Arial" w:hAnsi="Arial"/>
          <w:sz w:val="18"/>
          <w:szCs w:val="18"/>
        </w:rPr>
        <w:t>Si le matériau de caoutchouc issu des pneus hors d’usage est importé d’un pays tiers et si les autorités compétentes du pays d’expédition et du pays de destination ne parviennent pas à s’entendre sur sa classification, elles devront appliquer l’article 28, paragraphe 1, du règlement (CE) nº 1013/2006 du Parlement européen et du Conseil du 14 juin 2006 concernant les transferts de déchets.</w:t>
      </w:r>
    </w:p>
    <w:p w14:paraId="76071F60" w14:textId="244EBA92" w:rsidR="00565BE4" w:rsidRPr="00EE4F56" w:rsidRDefault="00565BE4" w:rsidP="00EE4F56">
      <w:pPr>
        <w:keepNext/>
        <w:spacing w:before="120" w:after="120" w:line="240" w:lineRule="auto"/>
        <w:jc w:val="center"/>
        <w:rPr>
          <w:rFonts w:ascii="Arial" w:hAnsi="Arial" w:cs="Arial"/>
          <w:b/>
          <w:sz w:val="18"/>
          <w:szCs w:val="18"/>
        </w:rPr>
      </w:pPr>
      <w:r>
        <w:rPr>
          <w:rFonts w:ascii="Arial" w:hAnsi="Arial"/>
          <w:b/>
          <w:sz w:val="18"/>
          <w:szCs w:val="18"/>
        </w:rPr>
        <w:t>Références à la directive de l’Union européenne</w:t>
      </w:r>
    </w:p>
    <w:p w14:paraId="0A4B9838" w14:textId="0C6C33F6" w:rsidR="00565BE4" w:rsidRPr="00EE4F56" w:rsidRDefault="00565BE4" w:rsidP="00565BE4">
      <w:pPr>
        <w:spacing w:before="120" w:after="120" w:line="240" w:lineRule="auto"/>
        <w:ind w:firstLine="360"/>
        <w:rPr>
          <w:rFonts w:ascii="Arial" w:hAnsi="Arial" w:cs="Arial"/>
          <w:sz w:val="18"/>
          <w:szCs w:val="18"/>
        </w:rPr>
      </w:pPr>
      <w:r>
        <w:rPr>
          <w:rFonts w:ascii="Arial" w:hAnsi="Arial"/>
          <w:sz w:val="18"/>
          <w:szCs w:val="18"/>
        </w:rPr>
        <w:t>Les actes réglementaires ont été convenus avec la Commission européenne et les États membres de l’Union européenne conformément à la directive (UE) nº 2015/1535 du Parlement européen et du Conseil du 9 septembre 2015 prévoyant une procédure d’information dans le domaine des réglementations techniques et des règles relatives aux services de la société de l’information.</w:t>
      </w:r>
    </w:p>
    <w:p w14:paraId="111B5704" w14:textId="04E7938A"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szCs w:val="18"/>
        </w:rPr>
        <w:t>Premier ministre Māris Kučinskis</w:t>
      </w:r>
    </w:p>
    <w:p w14:paraId="3BF184A1" w14:textId="66E75894"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szCs w:val="18"/>
        </w:rPr>
        <w:t>Ministre de la protection de l’environnement et du développement régional</w:t>
      </w:r>
      <w:r>
        <w:rPr>
          <w:rFonts w:ascii="Arial" w:hAnsi="Arial"/>
          <w:i/>
          <w:sz w:val="18"/>
          <w:szCs w:val="18"/>
        </w:rPr>
        <w:tab/>
        <w:t xml:space="preserve"> Kaspars Gerhards</w:t>
      </w:r>
    </w:p>
    <w:p w14:paraId="63DE9F70" w14:textId="458F70E2" w:rsidR="00220D38" w:rsidRPr="00EE4F56" w:rsidRDefault="00220D38" w:rsidP="00F37A47">
      <w:pPr>
        <w:keepNext/>
        <w:keepLines/>
        <w:spacing w:before="120" w:after="120" w:line="240" w:lineRule="auto"/>
        <w:jc w:val="right"/>
        <w:rPr>
          <w:rFonts w:ascii="Arial" w:hAnsi="Arial" w:cs="Arial"/>
          <w:sz w:val="18"/>
          <w:szCs w:val="18"/>
        </w:rPr>
      </w:pPr>
      <w:r>
        <w:rPr>
          <w:rFonts w:ascii="Arial" w:hAnsi="Arial"/>
          <w:sz w:val="18"/>
          <w:szCs w:val="18"/>
        </w:rPr>
        <w:t>Annexe 1</w:t>
      </w:r>
      <w:r>
        <w:rPr>
          <w:rFonts w:ascii="Arial" w:hAnsi="Arial"/>
          <w:sz w:val="18"/>
          <w:szCs w:val="18"/>
        </w:rPr>
        <w:br/>
        <w:t>au règlement nº 682</w:t>
      </w:r>
      <w:r>
        <w:rPr>
          <w:rFonts w:ascii="Arial" w:hAnsi="Arial"/>
          <w:sz w:val="18"/>
          <w:szCs w:val="18"/>
        </w:rPr>
        <w:br/>
        <w:t xml:space="preserve">du Cabinet des ministres </w:t>
      </w:r>
      <w:r>
        <w:rPr>
          <w:rFonts w:ascii="Arial" w:hAnsi="Arial"/>
          <w:sz w:val="18"/>
          <w:szCs w:val="18"/>
        </w:rPr>
        <w:br/>
        <w:t>du 13 novembre 2018</w:t>
      </w:r>
    </w:p>
    <w:p w14:paraId="6E977901" w14:textId="77777777" w:rsidR="00220D38" w:rsidRPr="00EE4F56" w:rsidRDefault="00220D38" w:rsidP="002C4FD9">
      <w:pPr>
        <w:keepNext/>
        <w:keepLines/>
        <w:spacing w:before="120" w:after="120" w:line="240" w:lineRule="auto"/>
        <w:jc w:val="center"/>
        <w:rPr>
          <w:rFonts w:ascii="Arial" w:hAnsi="Arial" w:cs="Arial"/>
          <w:b/>
          <w:sz w:val="18"/>
          <w:szCs w:val="18"/>
        </w:rPr>
      </w:pPr>
    </w:p>
    <w:p w14:paraId="2E4669EB" w14:textId="4F6392EA" w:rsidR="00220D38" w:rsidRPr="00EE4F56" w:rsidRDefault="00811273" w:rsidP="00926EC8">
      <w:pPr>
        <w:keepNext/>
        <w:keepLines/>
        <w:spacing w:before="120" w:after="120" w:line="240" w:lineRule="auto"/>
        <w:jc w:val="center"/>
        <w:rPr>
          <w:rFonts w:ascii="Arial" w:hAnsi="Arial" w:cs="Arial"/>
          <w:b/>
          <w:sz w:val="24"/>
          <w:szCs w:val="24"/>
        </w:rPr>
      </w:pPr>
      <w:r>
        <w:rPr>
          <w:rFonts w:ascii="Arial" w:hAnsi="Arial"/>
          <w:b/>
          <w:sz w:val="24"/>
          <w:szCs w:val="24"/>
        </w:rPr>
        <w:t>Critères de la fin du statut de déchet applicables aux matériaux de caoutchouc issu des pneus hors d’usage</w:t>
      </w:r>
    </w:p>
    <w:p w14:paraId="3A07F18D" w14:textId="77777777" w:rsidR="00926EC8" w:rsidRPr="00EE4F56" w:rsidRDefault="00926EC8" w:rsidP="00926EC8">
      <w:pPr>
        <w:keepNext/>
        <w:keepLines/>
        <w:spacing w:before="120" w:after="120" w:line="240" w:lineRule="auto"/>
        <w:jc w:val="center"/>
        <w:rPr>
          <w:rFonts w:ascii="Arial" w:hAnsi="Arial" w:cs="Arial"/>
          <w:b/>
          <w:sz w:val="18"/>
          <w:szCs w:val="18"/>
        </w:rPr>
      </w:pPr>
    </w:p>
    <w:tbl>
      <w:tblPr>
        <w:tblStyle w:val="TableGrid"/>
        <w:tblW w:w="0" w:type="auto"/>
        <w:tblLook w:val="04A0" w:firstRow="1" w:lastRow="0" w:firstColumn="1" w:lastColumn="0" w:noHBand="0" w:noVBand="1"/>
      </w:tblPr>
      <w:tblGrid>
        <w:gridCol w:w="895"/>
        <w:gridCol w:w="4500"/>
        <w:gridCol w:w="3660"/>
      </w:tblGrid>
      <w:tr w:rsidR="00C073D2" w:rsidRPr="00EE4F56" w14:paraId="13A49071" w14:textId="77777777" w:rsidTr="00457E36">
        <w:tc>
          <w:tcPr>
            <w:tcW w:w="895" w:type="dxa"/>
          </w:tcPr>
          <w:p w14:paraId="1BA90B1F" w14:textId="5E5E0C31" w:rsidR="00C073D2" w:rsidRPr="00EE4F56" w:rsidRDefault="00C073D2" w:rsidP="00EE4F56">
            <w:pPr>
              <w:keepNext/>
              <w:spacing w:after="0" w:line="240" w:lineRule="auto"/>
              <w:rPr>
                <w:rFonts w:ascii="Arial" w:hAnsi="Arial" w:cs="Arial"/>
                <w:sz w:val="18"/>
                <w:szCs w:val="18"/>
              </w:rPr>
            </w:pPr>
            <w:r>
              <w:rPr>
                <w:rFonts w:ascii="Arial" w:hAnsi="Arial"/>
                <w:sz w:val="18"/>
                <w:szCs w:val="18"/>
              </w:rPr>
              <w:t>Nº d’ordre</w:t>
            </w:r>
          </w:p>
        </w:tc>
        <w:tc>
          <w:tcPr>
            <w:tcW w:w="4500" w:type="dxa"/>
          </w:tcPr>
          <w:p w14:paraId="3F1C7675" w14:textId="0C4E0112" w:rsidR="00C073D2" w:rsidRPr="00EE4F56" w:rsidRDefault="00C073D2" w:rsidP="00EE4F56">
            <w:pPr>
              <w:keepNext/>
              <w:spacing w:after="0" w:line="240" w:lineRule="auto"/>
              <w:rPr>
                <w:rFonts w:ascii="Arial" w:hAnsi="Arial" w:cs="Arial"/>
                <w:sz w:val="18"/>
                <w:szCs w:val="18"/>
              </w:rPr>
            </w:pPr>
            <w:r>
              <w:rPr>
                <w:rFonts w:ascii="Arial" w:hAnsi="Arial"/>
                <w:sz w:val="18"/>
                <w:szCs w:val="18"/>
              </w:rPr>
              <w:t>Critères de la fin du statut de déchet</w:t>
            </w:r>
          </w:p>
        </w:tc>
        <w:tc>
          <w:tcPr>
            <w:tcW w:w="3660" w:type="dxa"/>
          </w:tcPr>
          <w:p w14:paraId="41F94A4F" w14:textId="2A896D83" w:rsidR="00C073D2" w:rsidRPr="00EE4F56" w:rsidRDefault="00457E36" w:rsidP="00EE4F56">
            <w:pPr>
              <w:keepNext/>
              <w:spacing w:after="0" w:line="240" w:lineRule="auto"/>
              <w:rPr>
                <w:rFonts w:ascii="Arial" w:hAnsi="Arial" w:cs="Arial"/>
                <w:sz w:val="18"/>
                <w:szCs w:val="18"/>
              </w:rPr>
            </w:pPr>
            <w:r>
              <w:rPr>
                <w:rFonts w:ascii="Arial" w:hAnsi="Arial"/>
                <w:sz w:val="18"/>
                <w:szCs w:val="18"/>
              </w:rPr>
              <w:t>Critères d’auto-contrôle</w:t>
            </w:r>
          </w:p>
        </w:tc>
      </w:tr>
      <w:tr w:rsidR="0092066C" w:rsidRPr="00EE4F56" w14:paraId="2D4DE908" w14:textId="77777777" w:rsidTr="00457E36">
        <w:tc>
          <w:tcPr>
            <w:tcW w:w="895" w:type="dxa"/>
          </w:tcPr>
          <w:p w14:paraId="2B460D6D" w14:textId="5906950E" w:rsidR="0092066C" w:rsidRPr="00EE4F56" w:rsidRDefault="0092066C" w:rsidP="00457E36">
            <w:pPr>
              <w:spacing w:after="0" w:line="240" w:lineRule="auto"/>
              <w:rPr>
                <w:rFonts w:ascii="Arial" w:hAnsi="Arial" w:cs="Arial"/>
                <w:sz w:val="18"/>
                <w:szCs w:val="18"/>
              </w:rPr>
            </w:pPr>
            <w:r>
              <w:rPr>
                <w:rFonts w:ascii="Arial" w:hAnsi="Arial"/>
                <w:sz w:val="18"/>
                <w:szCs w:val="18"/>
              </w:rPr>
              <w:t>1.</w:t>
            </w:r>
          </w:p>
        </w:tc>
        <w:tc>
          <w:tcPr>
            <w:tcW w:w="4500" w:type="dxa"/>
          </w:tcPr>
          <w:p w14:paraId="397DE84A" w14:textId="353A33F4" w:rsidR="0092066C" w:rsidRPr="00EE4F56" w:rsidRDefault="0092066C" w:rsidP="00457E36">
            <w:pPr>
              <w:spacing w:after="0" w:line="240" w:lineRule="auto"/>
              <w:rPr>
                <w:rFonts w:ascii="Arial" w:hAnsi="Arial" w:cs="Arial"/>
                <w:sz w:val="18"/>
                <w:szCs w:val="18"/>
              </w:rPr>
            </w:pPr>
            <w:r>
              <w:rPr>
                <w:rFonts w:ascii="Arial" w:hAnsi="Arial"/>
                <w:sz w:val="18"/>
                <w:szCs w:val="18"/>
              </w:rPr>
              <w:t>Exigences de qualité aux matériaux de caoutchouc issus d’une transformation mécanique des pneus hors d’usage:</w:t>
            </w:r>
          </w:p>
        </w:tc>
        <w:tc>
          <w:tcPr>
            <w:tcW w:w="3660" w:type="dxa"/>
            <w:vMerge w:val="restart"/>
          </w:tcPr>
          <w:p w14:paraId="7BBF54CE" w14:textId="77777777" w:rsidR="0092066C" w:rsidRPr="00EE4F56" w:rsidRDefault="00457E36" w:rsidP="00457E36">
            <w:pPr>
              <w:spacing w:after="0" w:line="240" w:lineRule="auto"/>
              <w:rPr>
                <w:rFonts w:ascii="Arial" w:hAnsi="Arial" w:cs="Arial"/>
                <w:sz w:val="18"/>
                <w:szCs w:val="18"/>
              </w:rPr>
            </w:pPr>
            <w:r>
              <w:rPr>
                <w:rFonts w:ascii="Arial" w:hAnsi="Arial"/>
                <w:sz w:val="18"/>
                <w:szCs w:val="18"/>
              </w:rPr>
              <w:t>La qualité des matériaux de caoutchouc doit être évaluée:</w:t>
            </w:r>
          </w:p>
          <w:p w14:paraId="5373921E" w14:textId="77777777" w:rsidR="00457E36" w:rsidRPr="00EE4F56" w:rsidRDefault="00457E36" w:rsidP="00457E36">
            <w:pPr>
              <w:spacing w:after="0" w:line="240" w:lineRule="auto"/>
              <w:rPr>
                <w:rFonts w:ascii="Arial" w:hAnsi="Arial" w:cs="Arial"/>
                <w:sz w:val="18"/>
                <w:szCs w:val="18"/>
              </w:rPr>
            </w:pPr>
            <w:r>
              <w:rPr>
                <w:rFonts w:ascii="Arial" w:hAnsi="Arial"/>
                <w:sz w:val="18"/>
                <w:szCs w:val="18"/>
              </w:rPr>
              <w:t>- visuellement;</w:t>
            </w:r>
          </w:p>
          <w:p w14:paraId="5FC028C4" w14:textId="77777777" w:rsidR="00457E36" w:rsidRPr="00EE4F56" w:rsidRDefault="00457E36" w:rsidP="00457E36">
            <w:pPr>
              <w:spacing w:after="0" w:line="240" w:lineRule="auto"/>
              <w:rPr>
                <w:rFonts w:ascii="Arial" w:hAnsi="Arial" w:cs="Arial"/>
                <w:sz w:val="18"/>
                <w:szCs w:val="18"/>
              </w:rPr>
            </w:pPr>
            <w:r>
              <w:rPr>
                <w:rFonts w:ascii="Arial" w:hAnsi="Arial"/>
                <w:sz w:val="18"/>
                <w:szCs w:val="18"/>
              </w:rPr>
              <w:t>- conformément à la description physico-chimique obtenue lors des essais en laboratoire, y compris ceux couverts par les spécifications techniques visant les acheteurs de matières premières secondaires. À la demande de l’acheteur de matières premières secondaires, d’autres essais de laboratoire peuvent être effectués conformément aux spécifications supplémentaires applicables à l’acheteur de matières premières secondaires.</w:t>
            </w:r>
          </w:p>
          <w:p w14:paraId="69E8DEB6" w14:textId="77777777" w:rsidR="00457E36" w:rsidRPr="00EE4F56" w:rsidRDefault="00457E36" w:rsidP="00457E36">
            <w:pPr>
              <w:spacing w:after="0" w:line="240" w:lineRule="auto"/>
              <w:rPr>
                <w:rFonts w:ascii="Arial" w:hAnsi="Arial" w:cs="Arial"/>
                <w:sz w:val="18"/>
                <w:szCs w:val="18"/>
              </w:rPr>
            </w:pPr>
            <w:r>
              <w:rPr>
                <w:rFonts w:ascii="Arial" w:hAnsi="Arial"/>
                <w:sz w:val="18"/>
                <w:szCs w:val="18"/>
              </w:rPr>
              <w:t>Des échantillons représentatifs de chaque type de matière première secondaire issue des pneus hors d’usage doivent être soumis à des essais.</w:t>
            </w:r>
          </w:p>
          <w:p w14:paraId="11203C7D" w14:textId="153A46CA" w:rsidR="00457E36" w:rsidRPr="00EE4F56" w:rsidRDefault="00457E36" w:rsidP="00457E36">
            <w:pPr>
              <w:spacing w:after="0" w:line="240" w:lineRule="auto"/>
              <w:rPr>
                <w:rFonts w:ascii="Arial" w:hAnsi="Arial" w:cs="Arial"/>
                <w:sz w:val="18"/>
                <w:szCs w:val="18"/>
              </w:rPr>
            </w:pPr>
            <w:r>
              <w:rPr>
                <w:rFonts w:ascii="Arial" w:hAnsi="Arial"/>
                <w:sz w:val="18"/>
                <w:szCs w:val="18"/>
              </w:rPr>
              <w:t>Les échantillons représentatifs doivent être prélevés selon la procédure d’échantillonnage couverte et décrite en détail dans le cadre du système de gestion de la qualité des échantillons soumis à ce système (par exemple, méthodes d’échantillonnage utilisées, fréquence d’échantillonnage, taille, types et nombre d’échantillons, analyse statistique). Les propriétés physiques et chimiques doivent être testées en laboratoire.</w:t>
            </w:r>
          </w:p>
          <w:p w14:paraId="2E45229F" w14:textId="1CBD42AE" w:rsidR="00457E36" w:rsidRPr="00EE4F56" w:rsidRDefault="00457E36" w:rsidP="00457E36">
            <w:pPr>
              <w:spacing w:after="0" w:line="240" w:lineRule="auto"/>
              <w:rPr>
                <w:rFonts w:ascii="Arial" w:hAnsi="Arial" w:cs="Arial"/>
                <w:sz w:val="18"/>
                <w:szCs w:val="18"/>
              </w:rPr>
            </w:pPr>
            <w:r>
              <w:rPr>
                <w:rFonts w:ascii="Arial" w:hAnsi="Arial"/>
                <w:sz w:val="18"/>
                <w:szCs w:val="18"/>
              </w:rPr>
              <w:t>Les critères de conformité des matières premières secondaires spécifiés au point 1 de cette annexe doivent être établis et décrits dans le cadre du système de gestion de la qualité mis en œuvre:</w:t>
            </w:r>
          </w:p>
        </w:tc>
      </w:tr>
      <w:tr w:rsidR="0092066C" w:rsidRPr="00EE4F56" w14:paraId="22003AE0" w14:textId="77777777" w:rsidTr="00457E36">
        <w:tc>
          <w:tcPr>
            <w:tcW w:w="895" w:type="dxa"/>
          </w:tcPr>
          <w:p w14:paraId="20F1A562" w14:textId="07FED095" w:rsidR="0092066C" w:rsidRPr="00EE4F56" w:rsidRDefault="0092066C" w:rsidP="00457E36">
            <w:pPr>
              <w:spacing w:after="0" w:line="240" w:lineRule="auto"/>
              <w:rPr>
                <w:rFonts w:ascii="Arial" w:hAnsi="Arial" w:cs="Arial"/>
                <w:sz w:val="18"/>
                <w:szCs w:val="18"/>
              </w:rPr>
            </w:pPr>
            <w:r>
              <w:rPr>
                <w:rFonts w:ascii="Arial" w:hAnsi="Arial"/>
                <w:sz w:val="18"/>
                <w:szCs w:val="18"/>
              </w:rPr>
              <w:t>1.1.</w:t>
            </w:r>
          </w:p>
        </w:tc>
        <w:tc>
          <w:tcPr>
            <w:tcW w:w="4500" w:type="dxa"/>
          </w:tcPr>
          <w:p w14:paraId="71627365" w14:textId="5A597E79" w:rsidR="0092066C" w:rsidRPr="00EE4F56" w:rsidRDefault="0092066C" w:rsidP="00B7715F">
            <w:pPr>
              <w:spacing w:after="0" w:line="240" w:lineRule="auto"/>
              <w:rPr>
                <w:rFonts w:ascii="Arial" w:hAnsi="Arial" w:cs="Arial"/>
                <w:sz w:val="18"/>
                <w:szCs w:val="18"/>
              </w:rPr>
            </w:pPr>
            <w:r>
              <w:rPr>
                <w:rFonts w:ascii="Arial" w:hAnsi="Arial"/>
                <w:sz w:val="18"/>
                <w:szCs w:val="18"/>
              </w:rPr>
              <w:t>absence de propriétés dangereuses, prévues par le règlement (UE) nº 1357/2014 de la Commission du 18 décembre 2014 remplaçant l’annexe III de la directive 2008/98/CE du Parlement européen et du Conseil relative aux déchets et abrogeant certaines directives et ne dépassant pas les limites de concentration spécifiées à l’annexe IV du règlement (CE) nº 850/2004 du Parlement européen et du Conseil du 29 avril 2004 concernant les polluants organiques persistants et modifiant la directive 79/117/CEE;</w:t>
            </w:r>
          </w:p>
        </w:tc>
        <w:tc>
          <w:tcPr>
            <w:tcW w:w="3660" w:type="dxa"/>
            <w:vMerge/>
          </w:tcPr>
          <w:p w14:paraId="68F1DEE1" w14:textId="77777777" w:rsidR="0092066C" w:rsidRPr="00EE4F56" w:rsidRDefault="0092066C" w:rsidP="00457E36">
            <w:pPr>
              <w:spacing w:after="0" w:line="240" w:lineRule="auto"/>
              <w:rPr>
                <w:rFonts w:ascii="Arial" w:hAnsi="Arial" w:cs="Arial"/>
                <w:sz w:val="18"/>
                <w:szCs w:val="18"/>
              </w:rPr>
            </w:pPr>
          </w:p>
        </w:tc>
      </w:tr>
      <w:tr w:rsidR="0092066C" w:rsidRPr="00EE4F56" w14:paraId="39061EA2" w14:textId="77777777" w:rsidTr="00457E36">
        <w:tc>
          <w:tcPr>
            <w:tcW w:w="895" w:type="dxa"/>
          </w:tcPr>
          <w:p w14:paraId="7DDF74BE" w14:textId="1922C9D1" w:rsidR="0092066C" w:rsidRPr="00EE4F56" w:rsidRDefault="0092066C" w:rsidP="00457E36">
            <w:pPr>
              <w:spacing w:after="0" w:line="240" w:lineRule="auto"/>
              <w:rPr>
                <w:rFonts w:ascii="Arial" w:hAnsi="Arial" w:cs="Arial"/>
                <w:sz w:val="18"/>
                <w:szCs w:val="18"/>
              </w:rPr>
            </w:pPr>
            <w:r>
              <w:rPr>
                <w:rFonts w:ascii="Arial" w:hAnsi="Arial"/>
                <w:sz w:val="18"/>
                <w:szCs w:val="18"/>
              </w:rPr>
              <w:t>1.2.</w:t>
            </w:r>
          </w:p>
        </w:tc>
        <w:tc>
          <w:tcPr>
            <w:tcW w:w="4500" w:type="dxa"/>
          </w:tcPr>
          <w:p w14:paraId="008EA745" w14:textId="5C4C4C5F" w:rsidR="0092066C" w:rsidRPr="00EE4F56" w:rsidRDefault="0092066C" w:rsidP="00457E36">
            <w:pPr>
              <w:spacing w:after="0" w:line="240" w:lineRule="auto"/>
              <w:rPr>
                <w:rFonts w:ascii="Arial" w:hAnsi="Arial" w:cs="Arial"/>
                <w:sz w:val="18"/>
                <w:szCs w:val="18"/>
              </w:rPr>
            </w:pPr>
            <w:r>
              <w:rPr>
                <w:rFonts w:ascii="Arial" w:hAnsi="Arial"/>
                <w:sz w:val="18"/>
                <w:szCs w:val="18"/>
              </w:rPr>
              <w:t>respect des restrictions prévues au point 50 de l’annexe XVII du 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w:t>
            </w:r>
          </w:p>
        </w:tc>
        <w:tc>
          <w:tcPr>
            <w:tcW w:w="3660" w:type="dxa"/>
            <w:vMerge/>
          </w:tcPr>
          <w:p w14:paraId="7BB3BA7C" w14:textId="77777777" w:rsidR="0092066C" w:rsidRPr="00EE4F56" w:rsidRDefault="0092066C" w:rsidP="00457E36">
            <w:pPr>
              <w:spacing w:after="0" w:line="240" w:lineRule="auto"/>
              <w:rPr>
                <w:rFonts w:ascii="Arial" w:hAnsi="Arial" w:cs="Arial"/>
                <w:sz w:val="18"/>
                <w:szCs w:val="18"/>
              </w:rPr>
            </w:pPr>
          </w:p>
        </w:tc>
      </w:tr>
      <w:tr w:rsidR="0092066C" w:rsidRPr="00EE4F56" w14:paraId="31CC99BE" w14:textId="77777777" w:rsidTr="00457E36">
        <w:tc>
          <w:tcPr>
            <w:tcW w:w="895" w:type="dxa"/>
          </w:tcPr>
          <w:p w14:paraId="3AD20E55" w14:textId="66A523E0" w:rsidR="0092066C" w:rsidRPr="00EE4F56" w:rsidRDefault="0092066C" w:rsidP="00457E36">
            <w:pPr>
              <w:spacing w:after="0" w:line="240" w:lineRule="auto"/>
              <w:rPr>
                <w:rFonts w:ascii="Arial" w:hAnsi="Arial" w:cs="Arial"/>
                <w:sz w:val="18"/>
                <w:szCs w:val="18"/>
              </w:rPr>
            </w:pPr>
            <w:r>
              <w:rPr>
                <w:rFonts w:ascii="Arial" w:hAnsi="Arial"/>
                <w:sz w:val="18"/>
                <w:szCs w:val="18"/>
              </w:rPr>
              <w:t>1.3.</w:t>
            </w:r>
          </w:p>
        </w:tc>
        <w:tc>
          <w:tcPr>
            <w:tcW w:w="4500" w:type="dxa"/>
          </w:tcPr>
          <w:p w14:paraId="277CB8C9" w14:textId="43031A50" w:rsidR="0092066C" w:rsidRPr="00EE4F56" w:rsidRDefault="0092066C" w:rsidP="00457E36">
            <w:pPr>
              <w:spacing w:after="0" w:line="240" w:lineRule="auto"/>
              <w:rPr>
                <w:rFonts w:ascii="Arial" w:hAnsi="Arial" w:cs="Arial"/>
                <w:sz w:val="18"/>
                <w:szCs w:val="18"/>
              </w:rPr>
            </w:pPr>
            <w:r>
              <w:rPr>
                <w:rFonts w:ascii="Arial" w:hAnsi="Arial"/>
                <w:sz w:val="18"/>
                <w:szCs w:val="18"/>
              </w:rPr>
              <w:t>absence de quantités notables d’huile et de lubrifiants;</w:t>
            </w:r>
          </w:p>
        </w:tc>
        <w:tc>
          <w:tcPr>
            <w:tcW w:w="3660" w:type="dxa"/>
            <w:vMerge/>
          </w:tcPr>
          <w:p w14:paraId="76C9ABB1" w14:textId="77777777" w:rsidR="0092066C" w:rsidRPr="00EE4F56" w:rsidRDefault="0092066C" w:rsidP="00457E36">
            <w:pPr>
              <w:spacing w:after="0" w:line="240" w:lineRule="auto"/>
              <w:rPr>
                <w:rFonts w:ascii="Arial" w:hAnsi="Arial" w:cs="Arial"/>
                <w:sz w:val="18"/>
                <w:szCs w:val="18"/>
              </w:rPr>
            </w:pPr>
          </w:p>
        </w:tc>
      </w:tr>
      <w:tr w:rsidR="0092066C" w:rsidRPr="00EE4F56" w14:paraId="1D92DF7D" w14:textId="77777777" w:rsidTr="00457E36">
        <w:tc>
          <w:tcPr>
            <w:tcW w:w="895" w:type="dxa"/>
          </w:tcPr>
          <w:p w14:paraId="1132CBFE" w14:textId="685E371E" w:rsidR="0092066C" w:rsidRPr="00EE4F56" w:rsidRDefault="0092066C" w:rsidP="00457E36">
            <w:pPr>
              <w:spacing w:after="0" w:line="240" w:lineRule="auto"/>
              <w:rPr>
                <w:rFonts w:ascii="Arial" w:hAnsi="Arial" w:cs="Arial"/>
                <w:sz w:val="18"/>
                <w:szCs w:val="18"/>
              </w:rPr>
            </w:pPr>
            <w:r>
              <w:rPr>
                <w:rFonts w:ascii="Arial" w:hAnsi="Arial"/>
                <w:sz w:val="18"/>
                <w:szCs w:val="18"/>
              </w:rPr>
              <w:t>1.4.</w:t>
            </w:r>
          </w:p>
        </w:tc>
        <w:tc>
          <w:tcPr>
            <w:tcW w:w="4500" w:type="dxa"/>
          </w:tcPr>
          <w:p w14:paraId="64C88B10" w14:textId="09CBDBFE" w:rsidR="0092066C" w:rsidRPr="00EE4F56" w:rsidRDefault="0092066C" w:rsidP="00457E36">
            <w:pPr>
              <w:spacing w:after="0" w:line="240" w:lineRule="auto"/>
              <w:rPr>
                <w:rFonts w:ascii="Arial" w:hAnsi="Arial" w:cs="Arial"/>
                <w:sz w:val="18"/>
                <w:szCs w:val="18"/>
              </w:rPr>
            </w:pPr>
            <w:r>
              <w:rPr>
                <w:rFonts w:ascii="Arial" w:hAnsi="Arial"/>
                <w:sz w:val="18"/>
                <w:szCs w:val="18"/>
              </w:rPr>
              <w:t>séparation et détermination quantitative en fonction du type/de la taille.</w:t>
            </w:r>
          </w:p>
        </w:tc>
        <w:tc>
          <w:tcPr>
            <w:tcW w:w="3660" w:type="dxa"/>
            <w:vMerge/>
          </w:tcPr>
          <w:p w14:paraId="7C8BE310" w14:textId="77777777" w:rsidR="0092066C" w:rsidRPr="00EE4F56" w:rsidRDefault="0092066C" w:rsidP="00457E36">
            <w:pPr>
              <w:spacing w:after="0" w:line="240" w:lineRule="auto"/>
              <w:rPr>
                <w:rFonts w:ascii="Arial" w:hAnsi="Arial" w:cs="Arial"/>
                <w:sz w:val="18"/>
                <w:szCs w:val="18"/>
              </w:rPr>
            </w:pPr>
          </w:p>
        </w:tc>
      </w:tr>
      <w:tr w:rsidR="00457E36" w:rsidRPr="00EE4F56" w14:paraId="39631E24" w14:textId="77777777" w:rsidTr="00457E36">
        <w:tc>
          <w:tcPr>
            <w:tcW w:w="895" w:type="dxa"/>
          </w:tcPr>
          <w:p w14:paraId="26948FDC" w14:textId="01756593" w:rsidR="00457E36" w:rsidRPr="00EE4F56" w:rsidRDefault="00457E36" w:rsidP="00457E36">
            <w:pPr>
              <w:spacing w:after="0" w:line="240" w:lineRule="auto"/>
              <w:rPr>
                <w:rFonts w:ascii="Arial" w:hAnsi="Arial" w:cs="Arial"/>
                <w:sz w:val="18"/>
                <w:szCs w:val="18"/>
              </w:rPr>
            </w:pPr>
            <w:r>
              <w:rPr>
                <w:rFonts w:ascii="Arial" w:hAnsi="Arial"/>
                <w:sz w:val="18"/>
                <w:szCs w:val="18"/>
              </w:rPr>
              <w:t>2.</w:t>
            </w:r>
          </w:p>
        </w:tc>
        <w:tc>
          <w:tcPr>
            <w:tcW w:w="4500" w:type="dxa"/>
          </w:tcPr>
          <w:p w14:paraId="2C5FAF68" w14:textId="0EBED6BA" w:rsidR="00457E36" w:rsidRPr="00EE4F56" w:rsidRDefault="00457E36" w:rsidP="00457E36">
            <w:pPr>
              <w:spacing w:after="0" w:line="240" w:lineRule="auto"/>
              <w:rPr>
                <w:rFonts w:ascii="Arial" w:hAnsi="Arial" w:cs="Arial"/>
                <w:sz w:val="18"/>
                <w:szCs w:val="18"/>
              </w:rPr>
            </w:pPr>
            <w:r>
              <w:rPr>
                <w:rFonts w:ascii="Arial" w:hAnsi="Arial"/>
                <w:sz w:val="18"/>
                <w:szCs w:val="18"/>
              </w:rPr>
              <w:t>Exigences applicables aux déchets à recycler pour obtenir des matières premières secondaires:</w:t>
            </w:r>
          </w:p>
        </w:tc>
        <w:tc>
          <w:tcPr>
            <w:tcW w:w="3660" w:type="dxa"/>
            <w:vMerge w:val="restart"/>
          </w:tcPr>
          <w:p w14:paraId="6DD9035E" w14:textId="2E7CF763" w:rsidR="00457E36" w:rsidRPr="00EE4F56" w:rsidRDefault="00457E36" w:rsidP="00457E36">
            <w:pPr>
              <w:spacing w:after="0" w:line="240" w:lineRule="auto"/>
              <w:rPr>
                <w:rFonts w:ascii="Arial" w:hAnsi="Arial" w:cs="Arial"/>
                <w:sz w:val="18"/>
                <w:szCs w:val="18"/>
              </w:rPr>
            </w:pPr>
            <w:r>
              <w:rPr>
                <w:rFonts w:ascii="Arial" w:hAnsi="Arial"/>
                <w:sz w:val="18"/>
                <w:szCs w:val="18"/>
              </w:rPr>
              <w:t>la qualité des matériaux de caoutchouc doit être évaluée visuellement. La comptabilité des quantités de pneus hors d’usage reçus et transformés est effectuée conformément aux réglementations applicables sur les formulaires officiels de statistiques environnementales;</w:t>
            </w:r>
          </w:p>
        </w:tc>
      </w:tr>
      <w:tr w:rsidR="00457E36" w:rsidRPr="00EE4F56" w14:paraId="6840C344" w14:textId="77777777" w:rsidTr="00457E36">
        <w:tc>
          <w:tcPr>
            <w:tcW w:w="895" w:type="dxa"/>
          </w:tcPr>
          <w:p w14:paraId="2A88219F" w14:textId="0FC66C8E" w:rsidR="00457E36" w:rsidRPr="00EE4F56" w:rsidRDefault="00457E36" w:rsidP="00457E36">
            <w:pPr>
              <w:spacing w:after="0" w:line="240" w:lineRule="auto"/>
              <w:rPr>
                <w:rFonts w:ascii="Arial" w:hAnsi="Arial" w:cs="Arial"/>
                <w:sz w:val="18"/>
                <w:szCs w:val="18"/>
              </w:rPr>
            </w:pPr>
            <w:r>
              <w:rPr>
                <w:rFonts w:ascii="Arial" w:hAnsi="Arial"/>
                <w:sz w:val="18"/>
                <w:szCs w:val="18"/>
              </w:rPr>
              <w:t>2.1.</w:t>
            </w:r>
          </w:p>
        </w:tc>
        <w:tc>
          <w:tcPr>
            <w:tcW w:w="4500" w:type="dxa"/>
          </w:tcPr>
          <w:p w14:paraId="437EA2BC" w14:textId="54240C77" w:rsidR="00457E36" w:rsidRPr="00EE4F56" w:rsidRDefault="00457E36" w:rsidP="00457E36">
            <w:pPr>
              <w:spacing w:after="0" w:line="240" w:lineRule="auto"/>
              <w:rPr>
                <w:rFonts w:ascii="Arial" w:hAnsi="Arial" w:cs="Arial"/>
                <w:sz w:val="18"/>
                <w:szCs w:val="18"/>
              </w:rPr>
            </w:pPr>
            <w:r>
              <w:rPr>
                <w:rFonts w:ascii="Arial" w:hAnsi="Arial"/>
                <w:sz w:val="18"/>
                <w:szCs w:val="18"/>
              </w:rPr>
              <w:t>seuls peuvent être utilisés les pneus hors d’usage correspondant à la classification des déchets et présentant des propriétés relatives aux déchets dangereux tels que spécifiés dans les règles et règlements;</w:t>
            </w:r>
          </w:p>
        </w:tc>
        <w:tc>
          <w:tcPr>
            <w:tcW w:w="3660" w:type="dxa"/>
            <w:vMerge/>
          </w:tcPr>
          <w:p w14:paraId="6C35D532" w14:textId="77777777" w:rsidR="00457E36" w:rsidRPr="00EE4F56" w:rsidRDefault="00457E36" w:rsidP="00457E36">
            <w:pPr>
              <w:spacing w:after="0" w:line="240" w:lineRule="auto"/>
              <w:rPr>
                <w:rFonts w:ascii="Arial" w:hAnsi="Arial" w:cs="Arial"/>
                <w:sz w:val="18"/>
                <w:szCs w:val="18"/>
              </w:rPr>
            </w:pPr>
          </w:p>
        </w:tc>
      </w:tr>
      <w:tr w:rsidR="00457E36" w:rsidRPr="00EE4F56" w14:paraId="487D4CB4" w14:textId="77777777" w:rsidTr="00457E36">
        <w:tc>
          <w:tcPr>
            <w:tcW w:w="895" w:type="dxa"/>
          </w:tcPr>
          <w:p w14:paraId="4E990887" w14:textId="4A3F473F" w:rsidR="00457E36" w:rsidRPr="00EE4F56" w:rsidRDefault="00457E36" w:rsidP="00457E36">
            <w:pPr>
              <w:spacing w:after="0" w:line="240" w:lineRule="auto"/>
              <w:rPr>
                <w:rFonts w:ascii="Arial" w:hAnsi="Arial" w:cs="Arial"/>
                <w:sz w:val="18"/>
                <w:szCs w:val="18"/>
              </w:rPr>
            </w:pPr>
            <w:r>
              <w:rPr>
                <w:rFonts w:ascii="Arial" w:hAnsi="Arial"/>
                <w:sz w:val="18"/>
                <w:szCs w:val="18"/>
              </w:rPr>
              <w:t>2.2.</w:t>
            </w:r>
          </w:p>
        </w:tc>
        <w:tc>
          <w:tcPr>
            <w:tcW w:w="4500" w:type="dxa"/>
          </w:tcPr>
          <w:p w14:paraId="5FE90D11" w14:textId="5591F11E" w:rsidR="00457E36" w:rsidRPr="00EE4F56" w:rsidRDefault="00457E36" w:rsidP="00457E36">
            <w:pPr>
              <w:spacing w:after="0" w:line="240" w:lineRule="auto"/>
              <w:rPr>
                <w:rFonts w:ascii="Arial" w:hAnsi="Arial" w:cs="Arial"/>
                <w:sz w:val="18"/>
                <w:szCs w:val="18"/>
              </w:rPr>
            </w:pPr>
            <w:r>
              <w:rPr>
                <w:rFonts w:ascii="Arial" w:hAnsi="Arial"/>
                <w:sz w:val="18"/>
                <w:szCs w:val="18"/>
              </w:rPr>
              <w:t>il est interdit d’utiliser les pneus hors d’usage contaminés par des substances dangereuses ou les déchets dangereux.</w:t>
            </w:r>
          </w:p>
        </w:tc>
        <w:tc>
          <w:tcPr>
            <w:tcW w:w="3660" w:type="dxa"/>
            <w:vMerge/>
          </w:tcPr>
          <w:p w14:paraId="0AA71FD8" w14:textId="77777777" w:rsidR="00457E36" w:rsidRPr="00EE4F56" w:rsidRDefault="00457E36" w:rsidP="00457E36">
            <w:pPr>
              <w:spacing w:after="0" w:line="240" w:lineRule="auto"/>
              <w:rPr>
                <w:rFonts w:ascii="Arial" w:hAnsi="Arial" w:cs="Arial"/>
                <w:sz w:val="18"/>
                <w:szCs w:val="18"/>
              </w:rPr>
            </w:pPr>
          </w:p>
        </w:tc>
      </w:tr>
      <w:tr w:rsidR="00457E36" w:rsidRPr="00EE4F56" w14:paraId="57609288" w14:textId="77777777" w:rsidTr="00457E36">
        <w:tc>
          <w:tcPr>
            <w:tcW w:w="895" w:type="dxa"/>
          </w:tcPr>
          <w:p w14:paraId="3F64AF84" w14:textId="789D220C" w:rsidR="00457E36" w:rsidRPr="00EE4F56" w:rsidRDefault="00457E36" w:rsidP="00457E36">
            <w:pPr>
              <w:spacing w:after="0" w:line="240" w:lineRule="auto"/>
              <w:rPr>
                <w:rFonts w:ascii="Arial" w:hAnsi="Arial" w:cs="Arial"/>
                <w:sz w:val="18"/>
                <w:szCs w:val="18"/>
              </w:rPr>
            </w:pPr>
            <w:r>
              <w:rPr>
                <w:rFonts w:ascii="Arial" w:hAnsi="Arial"/>
                <w:sz w:val="18"/>
                <w:szCs w:val="18"/>
              </w:rPr>
              <w:t>3.</w:t>
            </w:r>
          </w:p>
        </w:tc>
        <w:tc>
          <w:tcPr>
            <w:tcW w:w="4500" w:type="dxa"/>
          </w:tcPr>
          <w:p w14:paraId="14AE1F5E" w14:textId="31DB0E8D" w:rsidR="00457E36" w:rsidRPr="00EE4F56" w:rsidRDefault="00457E36" w:rsidP="00457E36">
            <w:pPr>
              <w:spacing w:after="0" w:line="240" w:lineRule="auto"/>
              <w:rPr>
                <w:rFonts w:ascii="Arial" w:hAnsi="Arial" w:cs="Arial"/>
                <w:sz w:val="18"/>
                <w:szCs w:val="18"/>
              </w:rPr>
            </w:pPr>
            <w:r>
              <w:rPr>
                <w:rFonts w:ascii="Arial" w:hAnsi="Arial"/>
                <w:sz w:val="18"/>
                <w:szCs w:val="18"/>
              </w:rPr>
              <w:t>Les pneus hors d’usage doivent être transformés selon les modalités suivantes:</w:t>
            </w:r>
          </w:p>
        </w:tc>
        <w:tc>
          <w:tcPr>
            <w:tcW w:w="3660" w:type="dxa"/>
            <w:vMerge w:val="restart"/>
          </w:tcPr>
          <w:p w14:paraId="76F60667" w14:textId="1033D024" w:rsidR="00457E36" w:rsidRPr="00EE4F56" w:rsidRDefault="00457E36" w:rsidP="00457E36">
            <w:pPr>
              <w:spacing w:after="0" w:line="240" w:lineRule="auto"/>
              <w:rPr>
                <w:rFonts w:ascii="Arial" w:hAnsi="Arial" w:cs="Arial"/>
                <w:sz w:val="18"/>
                <w:szCs w:val="18"/>
              </w:rPr>
            </w:pPr>
            <w:r>
              <w:rPr>
                <w:rFonts w:ascii="Arial" w:hAnsi="Arial"/>
                <w:sz w:val="18"/>
                <w:szCs w:val="18"/>
              </w:rPr>
              <w:t>les pneus doivent être nettoyés mécaniquement ou manuellement.</w:t>
            </w:r>
          </w:p>
        </w:tc>
      </w:tr>
      <w:tr w:rsidR="00457E36" w:rsidRPr="00EE4F56" w14:paraId="72ADEF5F" w14:textId="77777777" w:rsidTr="00457E36">
        <w:tc>
          <w:tcPr>
            <w:tcW w:w="895" w:type="dxa"/>
          </w:tcPr>
          <w:p w14:paraId="3144EE83" w14:textId="3F302CEE" w:rsidR="00457E36" w:rsidRPr="00EE4F56" w:rsidRDefault="00457E36" w:rsidP="00457E36">
            <w:pPr>
              <w:spacing w:after="0" w:line="240" w:lineRule="auto"/>
              <w:rPr>
                <w:rFonts w:ascii="Arial" w:hAnsi="Arial" w:cs="Arial"/>
                <w:sz w:val="18"/>
                <w:szCs w:val="18"/>
              </w:rPr>
            </w:pPr>
            <w:r>
              <w:rPr>
                <w:rFonts w:ascii="Arial" w:hAnsi="Arial"/>
                <w:sz w:val="18"/>
                <w:szCs w:val="18"/>
              </w:rPr>
              <w:t>3.1.</w:t>
            </w:r>
          </w:p>
        </w:tc>
        <w:tc>
          <w:tcPr>
            <w:tcW w:w="4500" w:type="dxa"/>
          </w:tcPr>
          <w:p w14:paraId="3C7EE451" w14:textId="1F2099C9" w:rsidR="00457E36" w:rsidRPr="00EE4F56" w:rsidRDefault="00457E36" w:rsidP="00457E36">
            <w:pPr>
              <w:spacing w:after="0" w:line="240" w:lineRule="auto"/>
              <w:rPr>
                <w:rFonts w:ascii="Arial" w:hAnsi="Arial" w:cs="Arial"/>
                <w:sz w:val="18"/>
                <w:szCs w:val="18"/>
              </w:rPr>
            </w:pPr>
            <w:r>
              <w:rPr>
                <w:rFonts w:ascii="Arial" w:hAnsi="Arial"/>
                <w:sz w:val="18"/>
                <w:szCs w:val="18"/>
              </w:rPr>
              <w:t>les objets étrangers (tels que les pierres, les morceaux de métal et les débris) doivent être préalablement enlevés;</w:t>
            </w:r>
          </w:p>
        </w:tc>
        <w:tc>
          <w:tcPr>
            <w:tcW w:w="3660" w:type="dxa"/>
            <w:vMerge/>
          </w:tcPr>
          <w:p w14:paraId="6B09D143" w14:textId="77777777" w:rsidR="00457E36" w:rsidRPr="00EE4F56" w:rsidRDefault="00457E36" w:rsidP="00457E36">
            <w:pPr>
              <w:spacing w:after="0" w:line="240" w:lineRule="auto"/>
              <w:rPr>
                <w:rFonts w:ascii="Arial" w:hAnsi="Arial" w:cs="Arial"/>
                <w:sz w:val="18"/>
                <w:szCs w:val="18"/>
              </w:rPr>
            </w:pPr>
          </w:p>
        </w:tc>
      </w:tr>
      <w:tr w:rsidR="00457E36" w:rsidRPr="00EE4F56" w14:paraId="7930272F" w14:textId="77777777" w:rsidTr="00457E36">
        <w:tc>
          <w:tcPr>
            <w:tcW w:w="895" w:type="dxa"/>
          </w:tcPr>
          <w:p w14:paraId="1BC5B2BD" w14:textId="363888FE" w:rsidR="00457E36" w:rsidRPr="00EE4F56" w:rsidRDefault="00457E36" w:rsidP="00457E36">
            <w:pPr>
              <w:spacing w:after="0" w:line="240" w:lineRule="auto"/>
              <w:rPr>
                <w:rFonts w:ascii="Arial" w:hAnsi="Arial" w:cs="Arial"/>
                <w:sz w:val="18"/>
                <w:szCs w:val="18"/>
              </w:rPr>
            </w:pPr>
            <w:r>
              <w:rPr>
                <w:rFonts w:ascii="Arial" w:hAnsi="Arial"/>
                <w:sz w:val="18"/>
                <w:szCs w:val="18"/>
              </w:rPr>
              <w:t>3.2.</w:t>
            </w:r>
          </w:p>
        </w:tc>
        <w:tc>
          <w:tcPr>
            <w:tcW w:w="4500" w:type="dxa"/>
          </w:tcPr>
          <w:p w14:paraId="0A66B71C" w14:textId="02FFCA5B" w:rsidR="00457E36" w:rsidRPr="00EE4F56" w:rsidRDefault="00457E36" w:rsidP="00457E36">
            <w:pPr>
              <w:spacing w:after="0" w:line="240" w:lineRule="auto"/>
              <w:rPr>
                <w:rFonts w:ascii="Arial" w:hAnsi="Arial" w:cs="Arial"/>
                <w:sz w:val="18"/>
                <w:szCs w:val="18"/>
              </w:rPr>
            </w:pPr>
            <w:r>
              <w:rPr>
                <w:rFonts w:ascii="Arial" w:hAnsi="Arial"/>
                <w:sz w:val="18"/>
                <w:szCs w:val="18"/>
              </w:rPr>
              <w:t>les méthodes et les procédés utilisés ne doivent pas avoir d’impact négatif sur l’environnement;</w:t>
            </w:r>
          </w:p>
        </w:tc>
        <w:tc>
          <w:tcPr>
            <w:tcW w:w="3660" w:type="dxa"/>
            <w:vMerge/>
          </w:tcPr>
          <w:p w14:paraId="218B545D" w14:textId="77777777" w:rsidR="00457E36" w:rsidRPr="00EE4F56" w:rsidRDefault="00457E36" w:rsidP="00457E36">
            <w:pPr>
              <w:spacing w:after="0" w:line="240" w:lineRule="auto"/>
              <w:rPr>
                <w:rFonts w:ascii="Arial" w:hAnsi="Arial" w:cs="Arial"/>
                <w:sz w:val="18"/>
                <w:szCs w:val="18"/>
              </w:rPr>
            </w:pPr>
          </w:p>
        </w:tc>
      </w:tr>
      <w:tr w:rsidR="00457E36" w:rsidRPr="00EE4F56" w14:paraId="0A02CBCF" w14:textId="77777777" w:rsidTr="00457E36">
        <w:tc>
          <w:tcPr>
            <w:tcW w:w="895" w:type="dxa"/>
          </w:tcPr>
          <w:p w14:paraId="70EAC344" w14:textId="31EC4CA5" w:rsidR="00457E36" w:rsidRPr="00EE4F56" w:rsidRDefault="00457E36" w:rsidP="00457E36">
            <w:pPr>
              <w:spacing w:after="0" w:line="240" w:lineRule="auto"/>
              <w:rPr>
                <w:rFonts w:ascii="Arial" w:hAnsi="Arial" w:cs="Arial"/>
                <w:sz w:val="18"/>
                <w:szCs w:val="18"/>
              </w:rPr>
            </w:pPr>
            <w:r>
              <w:rPr>
                <w:rFonts w:ascii="Arial" w:hAnsi="Arial"/>
                <w:sz w:val="18"/>
                <w:szCs w:val="18"/>
              </w:rPr>
              <w:t>3.3.</w:t>
            </w:r>
          </w:p>
        </w:tc>
        <w:tc>
          <w:tcPr>
            <w:tcW w:w="4500" w:type="dxa"/>
          </w:tcPr>
          <w:p w14:paraId="7951EDFA" w14:textId="60205C4B" w:rsidR="00457E36" w:rsidRPr="00EE4F56" w:rsidRDefault="00457E36" w:rsidP="00457E36">
            <w:pPr>
              <w:spacing w:after="0" w:line="240" w:lineRule="auto"/>
              <w:rPr>
                <w:rFonts w:ascii="Arial" w:hAnsi="Arial" w:cs="Arial"/>
                <w:sz w:val="18"/>
                <w:szCs w:val="18"/>
              </w:rPr>
            </w:pPr>
            <w:r>
              <w:rPr>
                <w:rFonts w:ascii="Arial" w:hAnsi="Arial"/>
                <w:sz w:val="18"/>
                <w:szCs w:val="18"/>
              </w:rPr>
              <w:t>les réglementations régissant la gestion et la manipulation des déchets doivent être respectées.</w:t>
            </w:r>
          </w:p>
        </w:tc>
        <w:tc>
          <w:tcPr>
            <w:tcW w:w="3660" w:type="dxa"/>
            <w:vMerge/>
          </w:tcPr>
          <w:p w14:paraId="57238DC6" w14:textId="77777777" w:rsidR="00457E36" w:rsidRPr="00EE4F56" w:rsidRDefault="00457E36" w:rsidP="00457E36">
            <w:pPr>
              <w:spacing w:after="0" w:line="240" w:lineRule="auto"/>
              <w:rPr>
                <w:rFonts w:ascii="Arial" w:hAnsi="Arial" w:cs="Arial"/>
                <w:sz w:val="18"/>
                <w:szCs w:val="18"/>
              </w:rPr>
            </w:pPr>
          </w:p>
        </w:tc>
      </w:tr>
    </w:tbl>
    <w:p w14:paraId="5DCA8031" w14:textId="77777777" w:rsidR="00926EC8" w:rsidRPr="00EE4F56" w:rsidRDefault="00926EC8" w:rsidP="00C073D2">
      <w:pPr>
        <w:spacing w:before="120" w:after="120" w:line="240" w:lineRule="auto"/>
        <w:rPr>
          <w:rFonts w:ascii="Arial" w:hAnsi="Arial" w:cs="Arial"/>
          <w:b/>
          <w:sz w:val="18"/>
          <w:szCs w:val="18"/>
        </w:rPr>
      </w:pPr>
    </w:p>
    <w:p w14:paraId="77BA7611" w14:textId="05AD2423" w:rsidR="00B7715F" w:rsidRPr="00EE4F56" w:rsidRDefault="00B7715F" w:rsidP="00F37A47">
      <w:pPr>
        <w:spacing w:before="120" w:after="120" w:line="240" w:lineRule="auto"/>
        <w:jc w:val="right"/>
        <w:rPr>
          <w:rFonts w:ascii="Arial" w:hAnsi="Arial" w:cs="Arial"/>
          <w:sz w:val="18"/>
          <w:szCs w:val="18"/>
        </w:rPr>
      </w:pPr>
      <w:r>
        <w:rPr>
          <w:rFonts w:ascii="Arial" w:hAnsi="Arial"/>
          <w:sz w:val="18"/>
          <w:szCs w:val="18"/>
        </w:rPr>
        <w:t>Ministre de la protection de l’environnement et du développement régional</w:t>
      </w:r>
      <w:r>
        <w:rPr>
          <w:rFonts w:ascii="Arial" w:hAnsi="Arial"/>
          <w:sz w:val="18"/>
          <w:szCs w:val="18"/>
        </w:rPr>
        <w:tab/>
        <w:t xml:space="preserve"> Kaspars Gerhards</w:t>
      </w:r>
    </w:p>
    <w:p w14:paraId="47505D57" w14:textId="77777777" w:rsidR="00B7715F" w:rsidRPr="00EE4F56" w:rsidRDefault="00B7715F" w:rsidP="00C073D2">
      <w:pPr>
        <w:spacing w:before="120" w:after="120" w:line="240" w:lineRule="auto"/>
        <w:rPr>
          <w:rFonts w:ascii="Arial" w:hAnsi="Arial" w:cs="Arial"/>
          <w:sz w:val="18"/>
          <w:szCs w:val="18"/>
        </w:rPr>
      </w:pPr>
    </w:p>
    <w:p w14:paraId="7119B37C" w14:textId="18C710E5" w:rsidR="00B7715F" w:rsidRPr="00EE4F56" w:rsidRDefault="00B7715F" w:rsidP="00EE4F56">
      <w:pPr>
        <w:keepNext/>
        <w:keepLines/>
        <w:spacing w:before="120" w:after="120" w:line="240" w:lineRule="auto"/>
        <w:jc w:val="right"/>
        <w:rPr>
          <w:rFonts w:ascii="Arial" w:hAnsi="Arial" w:cs="Arial"/>
          <w:sz w:val="18"/>
          <w:szCs w:val="18"/>
        </w:rPr>
      </w:pPr>
      <w:r>
        <w:rPr>
          <w:rFonts w:ascii="Arial" w:hAnsi="Arial"/>
          <w:sz w:val="18"/>
          <w:szCs w:val="18"/>
        </w:rPr>
        <w:t>Annexe 2</w:t>
      </w:r>
      <w:r>
        <w:rPr>
          <w:rFonts w:ascii="Arial" w:hAnsi="Arial"/>
          <w:sz w:val="18"/>
          <w:szCs w:val="18"/>
        </w:rPr>
        <w:br/>
        <w:t xml:space="preserve">au règlement nº 682 </w:t>
      </w:r>
      <w:r>
        <w:rPr>
          <w:rFonts w:ascii="Arial" w:hAnsi="Arial"/>
          <w:sz w:val="18"/>
          <w:szCs w:val="18"/>
        </w:rPr>
        <w:br/>
        <w:t xml:space="preserve">du Cabinet des ministres </w:t>
      </w:r>
      <w:r>
        <w:rPr>
          <w:rFonts w:ascii="Arial" w:hAnsi="Arial"/>
          <w:sz w:val="18"/>
          <w:szCs w:val="18"/>
        </w:rPr>
        <w:br/>
        <w:t>du 13 novembre 2018</w:t>
      </w:r>
    </w:p>
    <w:p w14:paraId="020796EF" w14:textId="77777777" w:rsidR="00B7715F" w:rsidRPr="00EE4F56" w:rsidRDefault="00B7715F" w:rsidP="00EE4F56">
      <w:pPr>
        <w:keepNext/>
        <w:spacing w:before="120" w:after="120" w:line="240" w:lineRule="auto"/>
        <w:rPr>
          <w:rFonts w:ascii="Arial" w:hAnsi="Arial" w:cs="Arial"/>
          <w:sz w:val="18"/>
          <w:szCs w:val="18"/>
        </w:rPr>
      </w:pPr>
    </w:p>
    <w:p w14:paraId="24BC73C5" w14:textId="21992D68" w:rsidR="00B7715F" w:rsidRPr="00EE4F56" w:rsidRDefault="00B7715F" w:rsidP="00EE4F56">
      <w:pPr>
        <w:keepNext/>
        <w:spacing w:before="120" w:after="120" w:line="240" w:lineRule="auto"/>
        <w:jc w:val="center"/>
        <w:rPr>
          <w:rFonts w:ascii="Arial" w:hAnsi="Arial" w:cs="Arial"/>
          <w:b/>
          <w:sz w:val="24"/>
          <w:szCs w:val="24"/>
        </w:rPr>
      </w:pPr>
      <w:r>
        <w:rPr>
          <w:rFonts w:ascii="Arial" w:hAnsi="Arial"/>
          <w:b/>
          <w:sz w:val="24"/>
          <w:szCs w:val="24"/>
        </w:rPr>
        <w:t>Déclaration attestant que les matières premières secondaires répondent aux critères de fin de l’état de déchet</w:t>
      </w:r>
    </w:p>
    <w:p w14:paraId="6CB22342" w14:textId="77777777" w:rsidR="00B7715F" w:rsidRPr="00EE4F56" w:rsidRDefault="00B7715F" w:rsidP="00EE4F56">
      <w:pPr>
        <w:keepNext/>
        <w:spacing w:after="0" w:line="240" w:lineRule="auto"/>
        <w:rPr>
          <w:rFonts w:ascii="Arial" w:hAnsi="Arial" w:cs="Arial"/>
          <w:sz w:val="18"/>
          <w:szCs w:val="18"/>
        </w:rPr>
      </w:pP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200065C6" w14:textId="77777777" w:rsidTr="00AE0B47">
        <w:tc>
          <w:tcPr>
            <w:tcW w:w="3775" w:type="dxa"/>
          </w:tcPr>
          <w:p w14:paraId="26DF1B13" w14:textId="28460EB5" w:rsidR="00B7715F" w:rsidRPr="00EE4F56" w:rsidRDefault="00B7715F" w:rsidP="00AE0B47">
            <w:pPr>
              <w:spacing w:after="0" w:line="240" w:lineRule="auto"/>
              <w:rPr>
                <w:rFonts w:ascii="Arial" w:hAnsi="Arial" w:cs="Arial"/>
                <w:sz w:val="18"/>
                <w:szCs w:val="18"/>
              </w:rPr>
            </w:pPr>
            <w:r>
              <w:rPr>
                <w:rFonts w:ascii="Arial" w:hAnsi="Arial"/>
                <w:sz w:val="18"/>
                <w:szCs w:val="18"/>
              </w:rPr>
              <w:t>1. Informations sur le transformateur des pneus hors d’usage</w:t>
            </w:r>
          </w:p>
        </w:tc>
        <w:tc>
          <w:tcPr>
            <w:tcW w:w="5280" w:type="dxa"/>
          </w:tcPr>
          <w:p w14:paraId="581E5DC6" w14:textId="77777777" w:rsidR="00B7715F" w:rsidRPr="00EE4F56" w:rsidRDefault="00B7715F" w:rsidP="00AE0B47">
            <w:pPr>
              <w:spacing w:after="0" w:line="240" w:lineRule="auto"/>
              <w:rPr>
                <w:rFonts w:ascii="Arial" w:hAnsi="Arial" w:cs="Arial"/>
                <w:sz w:val="18"/>
                <w:szCs w:val="18"/>
              </w:rPr>
            </w:pPr>
          </w:p>
        </w:tc>
      </w:tr>
      <w:tr w:rsidR="00B7715F" w:rsidRPr="00EE4F56" w14:paraId="509BDBB2" w14:textId="77777777" w:rsidTr="00AE0B47">
        <w:tc>
          <w:tcPr>
            <w:tcW w:w="3775" w:type="dxa"/>
          </w:tcPr>
          <w:p w14:paraId="4A4D2589" w14:textId="4AC78EC0" w:rsidR="00B7715F" w:rsidRPr="00EE4F56" w:rsidRDefault="00B7715F" w:rsidP="00AE0B47">
            <w:pPr>
              <w:spacing w:after="0" w:line="240" w:lineRule="auto"/>
              <w:rPr>
                <w:rFonts w:ascii="Arial" w:hAnsi="Arial" w:cs="Arial"/>
                <w:sz w:val="18"/>
                <w:szCs w:val="18"/>
              </w:rPr>
            </w:pPr>
            <w:r>
              <w:rPr>
                <w:rFonts w:ascii="Arial" w:hAnsi="Arial"/>
                <w:sz w:val="18"/>
                <w:szCs w:val="18"/>
              </w:rPr>
              <w:t>Nom de la personne morale</w:t>
            </w:r>
          </w:p>
        </w:tc>
        <w:tc>
          <w:tcPr>
            <w:tcW w:w="5280" w:type="dxa"/>
            <w:tcBorders>
              <w:bottom w:val="single" w:sz="4" w:space="0" w:color="auto"/>
            </w:tcBorders>
          </w:tcPr>
          <w:p w14:paraId="0CA5D2FD" w14:textId="77777777" w:rsidR="00B7715F" w:rsidRPr="00EE4F56" w:rsidRDefault="00B7715F" w:rsidP="00AE0B47">
            <w:pPr>
              <w:spacing w:after="0" w:line="240" w:lineRule="auto"/>
              <w:rPr>
                <w:rFonts w:ascii="Arial" w:hAnsi="Arial" w:cs="Arial"/>
                <w:sz w:val="18"/>
                <w:szCs w:val="18"/>
              </w:rPr>
            </w:pPr>
          </w:p>
        </w:tc>
      </w:tr>
      <w:tr w:rsidR="00B7715F" w:rsidRPr="00EE4F56" w14:paraId="0E1638E8" w14:textId="77777777" w:rsidTr="00AE0B47">
        <w:tc>
          <w:tcPr>
            <w:tcW w:w="3775" w:type="dxa"/>
          </w:tcPr>
          <w:p w14:paraId="064826D1" w14:textId="7953A0F5" w:rsidR="00B7715F" w:rsidRPr="00EE4F56" w:rsidRDefault="00B7715F" w:rsidP="00AE0B47">
            <w:pPr>
              <w:spacing w:after="0" w:line="240" w:lineRule="auto"/>
              <w:rPr>
                <w:rFonts w:ascii="Arial" w:hAnsi="Arial" w:cs="Arial"/>
                <w:sz w:val="18"/>
                <w:szCs w:val="18"/>
              </w:rPr>
            </w:pPr>
            <w:r>
              <w:rPr>
                <w:rFonts w:ascii="Arial" w:hAnsi="Arial"/>
                <w:sz w:val="18"/>
                <w:szCs w:val="18"/>
              </w:rPr>
              <w:t>Numéro d’enregistrement</w:t>
            </w:r>
          </w:p>
        </w:tc>
        <w:tc>
          <w:tcPr>
            <w:tcW w:w="5280" w:type="dxa"/>
            <w:tcBorders>
              <w:top w:val="single" w:sz="4" w:space="0" w:color="auto"/>
              <w:bottom w:val="single" w:sz="4" w:space="0" w:color="auto"/>
            </w:tcBorders>
          </w:tcPr>
          <w:p w14:paraId="1905C9AA" w14:textId="77777777" w:rsidR="00B7715F" w:rsidRPr="00EE4F56" w:rsidRDefault="00B7715F" w:rsidP="00AE0B47">
            <w:pPr>
              <w:spacing w:after="0" w:line="240" w:lineRule="auto"/>
              <w:rPr>
                <w:rFonts w:ascii="Arial" w:hAnsi="Arial" w:cs="Arial"/>
                <w:sz w:val="18"/>
                <w:szCs w:val="18"/>
              </w:rPr>
            </w:pPr>
          </w:p>
        </w:tc>
      </w:tr>
      <w:tr w:rsidR="00B7715F" w:rsidRPr="00EE4F56" w14:paraId="50D6F8D1" w14:textId="77777777" w:rsidTr="00AE0B47">
        <w:tc>
          <w:tcPr>
            <w:tcW w:w="3775" w:type="dxa"/>
          </w:tcPr>
          <w:p w14:paraId="0591CDF6" w14:textId="6B57CCC7" w:rsidR="00B7715F" w:rsidRPr="00EE4F56" w:rsidRDefault="00B7715F" w:rsidP="00AE0B47">
            <w:pPr>
              <w:spacing w:after="0" w:line="240" w:lineRule="auto"/>
              <w:rPr>
                <w:rFonts w:ascii="Arial" w:hAnsi="Arial" w:cs="Arial"/>
                <w:sz w:val="18"/>
                <w:szCs w:val="18"/>
              </w:rPr>
            </w:pPr>
            <w:r>
              <w:rPr>
                <w:rFonts w:ascii="Arial" w:hAnsi="Arial"/>
                <w:sz w:val="18"/>
                <w:szCs w:val="18"/>
              </w:rPr>
              <w:t>Adresse actuelle</w:t>
            </w:r>
          </w:p>
        </w:tc>
        <w:tc>
          <w:tcPr>
            <w:tcW w:w="5280" w:type="dxa"/>
            <w:tcBorders>
              <w:top w:val="single" w:sz="4" w:space="0" w:color="auto"/>
              <w:bottom w:val="single" w:sz="4" w:space="0" w:color="auto"/>
            </w:tcBorders>
          </w:tcPr>
          <w:p w14:paraId="45971A41" w14:textId="77777777" w:rsidR="00B7715F" w:rsidRPr="00EE4F56" w:rsidRDefault="00B7715F" w:rsidP="00AE0B47">
            <w:pPr>
              <w:spacing w:after="0" w:line="240" w:lineRule="auto"/>
              <w:rPr>
                <w:rFonts w:ascii="Arial" w:hAnsi="Arial" w:cs="Arial"/>
                <w:sz w:val="18"/>
                <w:szCs w:val="18"/>
              </w:rPr>
            </w:pPr>
          </w:p>
        </w:tc>
      </w:tr>
      <w:tr w:rsidR="00B7715F" w:rsidRPr="00EE4F56" w14:paraId="48317DDA" w14:textId="77777777" w:rsidTr="00AE0B47">
        <w:tc>
          <w:tcPr>
            <w:tcW w:w="3775" w:type="dxa"/>
          </w:tcPr>
          <w:p w14:paraId="62145585" w14:textId="6BCA7126" w:rsidR="00B7715F" w:rsidRPr="00EE4F56" w:rsidRDefault="00B7715F" w:rsidP="00AE0B47">
            <w:pPr>
              <w:spacing w:after="0" w:line="240" w:lineRule="auto"/>
              <w:rPr>
                <w:rFonts w:ascii="Arial" w:hAnsi="Arial" w:cs="Arial"/>
                <w:sz w:val="18"/>
                <w:szCs w:val="18"/>
              </w:rPr>
            </w:pPr>
            <w:r>
              <w:rPr>
                <w:rFonts w:ascii="Arial" w:hAnsi="Arial"/>
                <w:sz w:val="18"/>
                <w:szCs w:val="18"/>
              </w:rPr>
              <w:t>Siège social</w:t>
            </w:r>
          </w:p>
        </w:tc>
        <w:tc>
          <w:tcPr>
            <w:tcW w:w="5280" w:type="dxa"/>
            <w:tcBorders>
              <w:top w:val="single" w:sz="4" w:space="0" w:color="auto"/>
              <w:bottom w:val="single" w:sz="4" w:space="0" w:color="auto"/>
            </w:tcBorders>
          </w:tcPr>
          <w:p w14:paraId="4121C93A" w14:textId="77777777" w:rsidR="00B7715F" w:rsidRPr="00EE4F56" w:rsidRDefault="00B7715F" w:rsidP="00AE0B47">
            <w:pPr>
              <w:spacing w:after="0" w:line="240" w:lineRule="auto"/>
              <w:rPr>
                <w:rFonts w:ascii="Arial" w:hAnsi="Arial" w:cs="Arial"/>
                <w:sz w:val="18"/>
                <w:szCs w:val="18"/>
              </w:rPr>
            </w:pPr>
          </w:p>
        </w:tc>
      </w:tr>
      <w:tr w:rsidR="00B7715F" w:rsidRPr="00EE4F56" w14:paraId="65C69248" w14:textId="77777777" w:rsidTr="00AE0B47">
        <w:tc>
          <w:tcPr>
            <w:tcW w:w="3775" w:type="dxa"/>
          </w:tcPr>
          <w:p w14:paraId="2DB5EE7C" w14:textId="46EE0B6A" w:rsidR="00B7715F" w:rsidRPr="00EE4F56" w:rsidRDefault="00B7715F" w:rsidP="00AE0B47">
            <w:pPr>
              <w:spacing w:after="0" w:line="240" w:lineRule="auto"/>
              <w:rPr>
                <w:rFonts w:ascii="Arial" w:hAnsi="Arial" w:cs="Arial"/>
                <w:sz w:val="18"/>
                <w:szCs w:val="18"/>
              </w:rPr>
            </w:pPr>
            <w:r>
              <w:rPr>
                <w:rFonts w:ascii="Arial" w:hAnsi="Arial"/>
                <w:sz w:val="18"/>
                <w:szCs w:val="18"/>
              </w:rPr>
              <w:t>Personne à contacter</w:t>
            </w:r>
          </w:p>
        </w:tc>
        <w:tc>
          <w:tcPr>
            <w:tcW w:w="5280" w:type="dxa"/>
            <w:tcBorders>
              <w:top w:val="single" w:sz="4" w:space="0" w:color="auto"/>
              <w:bottom w:val="single" w:sz="4" w:space="0" w:color="auto"/>
            </w:tcBorders>
          </w:tcPr>
          <w:p w14:paraId="378AE02B" w14:textId="77777777" w:rsidR="00B7715F" w:rsidRPr="00EE4F56" w:rsidRDefault="00B7715F" w:rsidP="00AE0B47">
            <w:pPr>
              <w:spacing w:after="0" w:line="240" w:lineRule="auto"/>
              <w:rPr>
                <w:rFonts w:ascii="Arial" w:hAnsi="Arial" w:cs="Arial"/>
                <w:sz w:val="18"/>
                <w:szCs w:val="18"/>
              </w:rPr>
            </w:pPr>
          </w:p>
        </w:tc>
      </w:tr>
      <w:tr w:rsidR="00B7715F" w:rsidRPr="00EE4F56" w14:paraId="0F1B80C7" w14:textId="77777777" w:rsidTr="00AE0B47">
        <w:tc>
          <w:tcPr>
            <w:tcW w:w="3775" w:type="dxa"/>
          </w:tcPr>
          <w:p w14:paraId="0DE6CAFF" w14:textId="7792A84C" w:rsidR="00B7715F" w:rsidRPr="00EE4F56" w:rsidRDefault="00B7715F" w:rsidP="00AE0B47">
            <w:pPr>
              <w:spacing w:after="0" w:line="240" w:lineRule="auto"/>
              <w:rPr>
                <w:rFonts w:ascii="Arial" w:hAnsi="Arial" w:cs="Arial"/>
                <w:sz w:val="18"/>
                <w:szCs w:val="18"/>
              </w:rPr>
            </w:pPr>
            <w:r>
              <w:rPr>
                <w:rFonts w:ascii="Arial" w:hAnsi="Arial"/>
                <w:sz w:val="18"/>
                <w:szCs w:val="18"/>
              </w:rPr>
              <w:t>Téléphone</w:t>
            </w:r>
          </w:p>
        </w:tc>
        <w:tc>
          <w:tcPr>
            <w:tcW w:w="5280" w:type="dxa"/>
            <w:tcBorders>
              <w:top w:val="single" w:sz="4" w:space="0" w:color="auto"/>
              <w:bottom w:val="single" w:sz="4" w:space="0" w:color="auto"/>
            </w:tcBorders>
          </w:tcPr>
          <w:p w14:paraId="6A064F42" w14:textId="77777777" w:rsidR="00B7715F" w:rsidRPr="00EE4F56" w:rsidRDefault="00B7715F" w:rsidP="00AE0B47">
            <w:pPr>
              <w:spacing w:after="0" w:line="240" w:lineRule="auto"/>
              <w:rPr>
                <w:rFonts w:ascii="Arial" w:hAnsi="Arial" w:cs="Arial"/>
                <w:sz w:val="18"/>
                <w:szCs w:val="18"/>
              </w:rPr>
            </w:pPr>
          </w:p>
        </w:tc>
      </w:tr>
      <w:tr w:rsidR="00B7715F" w:rsidRPr="00EE4F56" w14:paraId="189B72E0" w14:textId="77777777" w:rsidTr="00AE0B47">
        <w:tc>
          <w:tcPr>
            <w:tcW w:w="3775" w:type="dxa"/>
          </w:tcPr>
          <w:p w14:paraId="2D28180D" w14:textId="504F5F26" w:rsidR="00B7715F" w:rsidRPr="00EE4F56" w:rsidRDefault="00B7715F" w:rsidP="00AE0B47">
            <w:pPr>
              <w:spacing w:after="0" w:line="240" w:lineRule="auto"/>
              <w:rPr>
                <w:rFonts w:ascii="Arial" w:hAnsi="Arial" w:cs="Arial"/>
                <w:sz w:val="18"/>
                <w:szCs w:val="18"/>
              </w:rPr>
            </w:pPr>
            <w:r>
              <w:rPr>
                <w:rFonts w:ascii="Arial" w:hAnsi="Arial"/>
                <w:sz w:val="18"/>
                <w:szCs w:val="18"/>
              </w:rPr>
              <w:t>Courriel</w:t>
            </w:r>
          </w:p>
        </w:tc>
        <w:tc>
          <w:tcPr>
            <w:tcW w:w="5280" w:type="dxa"/>
            <w:tcBorders>
              <w:top w:val="single" w:sz="4" w:space="0" w:color="auto"/>
              <w:bottom w:val="single" w:sz="4" w:space="0" w:color="auto"/>
            </w:tcBorders>
          </w:tcPr>
          <w:p w14:paraId="762F88AE" w14:textId="77777777" w:rsidR="00B7715F" w:rsidRPr="00EE4F56" w:rsidRDefault="00B7715F" w:rsidP="00AE0B47">
            <w:pPr>
              <w:spacing w:after="0" w:line="240" w:lineRule="auto"/>
              <w:rPr>
                <w:rFonts w:ascii="Arial" w:hAnsi="Arial" w:cs="Arial"/>
                <w:sz w:val="18"/>
                <w:szCs w:val="18"/>
              </w:rPr>
            </w:pPr>
          </w:p>
        </w:tc>
      </w:tr>
    </w:tbl>
    <w:p w14:paraId="08FF7AE3" w14:textId="77777777" w:rsidR="00B7715F" w:rsidRPr="00EE4F56" w:rsidRDefault="00B7715F" w:rsidP="00C073D2">
      <w:pPr>
        <w:spacing w:before="120" w:after="120" w:line="240" w:lineRule="auto"/>
        <w:rPr>
          <w:rFonts w:ascii="Arial" w:hAnsi="Arial" w:cs="Arial"/>
          <w:sz w:val="18"/>
          <w:szCs w:val="18"/>
        </w:rPr>
      </w:pPr>
    </w:p>
    <w:p w14:paraId="4C1A1D1F" w14:textId="582B67BC" w:rsidR="00B7715F" w:rsidRPr="00EE4F56" w:rsidRDefault="00B7715F" w:rsidP="00C073D2">
      <w:pPr>
        <w:spacing w:before="120" w:after="120" w:line="240" w:lineRule="auto"/>
        <w:rPr>
          <w:rFonts w:ascii="Arial" w:hAnsi="Arial" w:cs="Arial"/>
          <w:sz w:val="18"/>
          <w:szCs w:val="18"/>
        </w:rPr>
      </w:pPr>
      <w:r>
        <w:rPr>
          <w:rFonts w:ascii="Arial" w:hAnsi="Arial"/>
          <w:sz w:val="18"/>
          <w:szCs w:val="18"/>
        </w:rPr>
        <w:t>2. Les exigences prévues par la spécification technique applicable à l’acheteur des matières premières secondaires, y compris la composition, la taille, les adjuvants, les propriétés physico-chimiques (veuillez préciser les exigences techniques)</w:t>
      </w:r>
    </w:p>
    <w:p w14:paraId="20DC131E" w14:textId="6362BFA0" w:rsidR="00B7715F" w:rsidRPr="00EE4F56" w:rsidRDefault="00B7715F" w:rsidP="00B7715F">
      <w:pPr>
        <w:tabs>
          <w:tab w:val="right" w:leader="underscore" w:pos="9065"/>
        </w:tabs>
        <w:spacing w:before="120" w:after="120" w:line="240" w:lineRule="auto"/>
        <w:rPr>
          <w:rFonts w:ascii="Arial" w:hAnsi="Arial" w:cs="Arial"/>
          <w:sz w:val="18"/>
          <w:szCs w:val="18"/>
        </w:rPr>
      </w:pPr>
      <w:r>
        <w:rPr>
          <w:rFonts w:ascii="Arial" w:hAnsi="Arial"/>
          <w:sz w:val="18"/>
          <w:szCs w:val="18"/>
        </w:rPr>
        <w:tab/>
      </w:r>
    </w:p>
    <w:p w14:paraId="14378538" w14:textId="5E5E3829" w:rsidR="00B7715F" w:rsidRPr="00EE4F56" w:rsidRDefault="00B7715F" w:rsidP="00B7715F">
      <w:pPr>
        <w:tabs>
          <w:tab w:val="right" w:leader="underscore" w:pos="9065"/>
        </w:tabs>
        <w:spacing w:before="120" w:after="120" w:line="240" w:lineRule="auto"/>
        <w:rPr>
          <w:rFonts w:ascii="Arial" w:hAnsi="Arial" w:cs="Arial"/>
          <w:sz w:val="18"/>
          <w:szCs w:val="18"/>
        </w:rPr>
      </w:pPr>
      <w:r>
        <w:rPr>
          <w:rFonts w:ascii="Arial" w:hAnsi="Arial"/>
          <w:sz w:val="18"/>
          <w:szCs w:val="18"/>
        </w:rPr>
        <w:tab/>
      </w:r>
    </w:p>
    <w:p w14:paraId="30FE7ABB" w14:textId="1F4C6576" w:rsidR="00B7715F" w:rsidRPr="00EE4F56" w:rsidRDefault="00B7715F" w:rsidP="00C073D2">
      <w:pPr>
        <w:spacing w:before="120" w:after="120" w:line="240" w:lineRule="auto"/>
        <w:rPr>
          <w:rFonts w:ascii="Arial" w:hAnsi="Arial" w:cs="Arial"/>
          <w:sz w:val="18"/>
          <w:szCs w:val="18"/>
        </w:rPr>
      </w:pPr>
      <w:r>
        <w:rPr>
          <w:rFonts w:ascii="Arial" w:hAnsi="Arial"/>
          <w:sz w:val="18"/>
          <w:szCs w:val="18"/>
        </w:rPr>
        <w:t>Les matières premières secondaires issues des pneus hors d’usage répondent aux exigences définies dans les spécifications techniques.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0067A56A" w14:textId="77777777" w:rsidTr="00AE0B47">
        <w:tc>
          <w:tcPr>
            <w:tcW w:w="3775" w:type="dxa"/>
          </w:tcPr>
          <w:p w14:paraId="2C9C765D" w14:textId="04B847BF" w:rsidR="00B7715F" w:rsidRPr="00EE4F56" w:rsidRDefault="00B7715F" w:rsidP="008F09A9">
            <w:pPr>
              <w:spacing w:before="120" w:after="120" w:line="240" w:lineRule="auto"/>
              <w:rPr>
                <w:rFonts w:ascii="Arial" w:hAnsi="Arial" w:cs="Arial"/>
                <w:sz w:val="18"/>
                <w:szCs w:val="18"/>
              </w:rPr>
            </w:pPr>
            <w:r>
              <w:rPr>
                <w:rFonts w:ascii="Arial" w:hAnsi="Arial"/>
                <w:sz w:val="18"/>
                <w:szCs w:val="18"/>
              </w:rPr>
              <w:t>3. Poids net de la cargaison exprimé en kg</w:t>
            </w:r>
          </w:p>
        </w:tc>
        <w:tc>
          <w:tcPr>
            <w:tcW w:w="5280" w:type="dxa"/>
            <w:tcBorders>
              <w:bottom w:val="single" w:sz="4" w:space="0" w:color="auto"/>
            </w:tcBorders>
          </w:tcPr>
          <w:p w14:paraId="09759F29" w14:textId="77777777" w:rsidR="00B7715F" w:rsidRPr="00EE4F56" w:rsidRDefault="00B7715F" w:rsidP="008F09A9">
            <w:pPr>
              <w:spacing w:before="120" w:after="120" w:line="240" w:lineRule="auto"/>
              <w:rPr>
                <w:rFonts w:ascii="Arial" w:hAnsi="Arial" w:cs="Arial"/>
                <w:sz w:val="18"/>
                <w:szCs w:val="18"/>
              </w:rPr>
            </w:pPr>
          </w:p>
        </w:tc>
      </w:tr>
    </w:tbl>
    <w:p w14:paraId="43549ADB" w14:textId="08FACEC8" w:rsidR="00B7715F" w:rsidRPr="00EE4F56" w:rsidRDefault="00B7715F" w:rsidP="00C073D2">
      <w:pPr>
        <w:spacing w:before="120" w:after="120" w:line="240" w:lineRule="auto"/>
        <w:rPr>
          <w:rFonts w:ascii="Arial" w:hAnsi="Arial" w:cs="Arial"/>
          <w:sz w:val="18"/>
          <w:szCs w:val="18"/>
        </w:rPr>
      </w:pPr>
      <w:r>
        <w:rPr>
          <w:rFonts w:ascii="Arial" w:hAnsi="Arial"/>
          <w:sz w:val="18"/>
          <w:szCs w:val="18"/>
        </w:rPr>
        <w:t>4. Les matières premières secondaires issues des pneus hors d’usage répondent aux critères de fin de l’état de déchet.*</w:t>
      </w:r>
    </w:p>
    <w:p w14:paraId="1FC59C20" w14:textId="22230D62" w:rsidR="00B7715F" w:rsidRPr="00EE4F56" w:rsidRDefault="00B7715F" w:rsidP="00C073D2">
      <w:pPr>
        <w:spacing w:before="120" w:after="120" w:line="240" w:lineRule="auto"/>
        <w:rPr>
          <w:rFonts w:ascii="Arial" w:hAnsi="Arial" w:cs="Arial"/>
          <w:sz w:val="18"/>
          <w:szCs w:val="18"/>
        </w:rPr>
      </w:pPr>
      <w:r>
        <w:rPr>
          <w:rFonts w:ascii="Arial" w:hAnsi="Arial"/>
          <w:sz w:val="18"/>
          <w:szCs w:val="18"/>
        </w:rPr>
        <w:t>5. Le transformateur de pneus hors d’usage se conforme au système de gestion de la qualité mis en place.</w:t>
      </w:r>
    </w:p>
    <w:p w14:paraId="7B0345EC" w14:textId="1115596F" w:rsidR="00B7715F" w:rsidRPr="00EE4F56" w:rsidRDefault="00B7715F" w:rsidP="00C073D2">
      <w:pPr>
        <w:spacing w:before="120" w:after="120" w:line="240" w:lineRule="auto"/>
        <w:rPr>
          <w:rFonts w:ascii="Arial" w:hAnsi="Arial" w:cs="Arial"/>
          <w:sz w:val="18"/>
          <w:szCs w:val="18"/>
        </w:rPr>
      </w:pPr>
      <w:r>
        <w:rPr>
          <w:rFonts w:ascii="Arial" w:hAnsi="Arial"/>
          <w:sz w:val="18"/>
          <w:szCs w:val="18"/>
        </w:rPr>
        <w:t>6. Les matières premières secondaires incluses dans la cargaison sont uniquement destinées à une utilisation directe (veuillez préciser l’utilisation prévue):</w:t>
      </w:r>
    </w:p>
    <w:p w14:paraId="12A81E9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rPr>
          <w:rFonts w:ascii="Arial" w:hAnsi="Arial"/>
          <w:sz w:val="18"/>
          <w:szCs w:val="18"/>
        </w:rPr>
        <w:tab/>
      </w:r>
    </w:p>
    <w:p w14:paraId="56AA0222"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rPr>
          <w:rFonts w:ascii="Arial" w:hAnsi="Arial"/>
          <w:sz w:val="18"/>
          <w:szCs w:val="18"/>
        </w:rPr>
        <w:tab/>
      </w:r>
    </w:p>
    <w:p w14:paraId="479E67D1" w14:textId="46E2033A" w:rsidR="00B7715F" w:rsidRPr="00EE4F56" w:rsidRDefault="00B7715F" w:rsidP="00C073D2">
      <w:pPr>
        <w:spacing w:before="120" w:after="120" w:line="240" w:lineRule="auto"/>
        <w:rPr>
          <w:rFonts w:ascii="Arial" w:hAnsi="Arial" w:cs="Arial"/>
          <w:sz w:val="18"/>
          <w:szCs w:val="18"/>
        </w:rPr>
      </w:pPr>
      <w:r>
        <w:rPr>
          <w:rFonts w:ascii="Arial" w:hAnsi="Arial"/>
          <w:sz w:val="18"/>
          <w:szCs w:val="18"/>
        </w:rPr>
        <w:t>7. Informations supplémentaires</w:t>
      </w:r>
    </w:p>
    <w:p w14:paraId="7CEA73E9"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rPr>
          <w:rFonts w:ascii="Arial" w:hAnsi="Arial"/>
          <w:sz w:val="18"/>
          <w:szCs w:val="18"/>
        </w:rPr>
        <w:tab/>
      </w:r>
    </w:p>
    <w:p w14:paraId="496DA8B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rPr>
          <w:rFonts w:ascii="Arial" w:hAnsi="Arial"/>
          <w:sz w:val="18"/>
          <w:szCs w:val="18"/>
        </w:rPr>
        <w:tab/>
      </w:r>
    </w:p>
    <w:p w14:paraId="5320C18B" w14:textId="16066DFF" w:rsidR="00B7715F" w:rsidRPr="00EE4F56" w:rsidRDefault="00B7715F" w:rsidP="00C073D2">
      <w:pPr>
        <w:spacing w:before="120" w:after="120" w:line="240" w:lineRule="auto"/>
        <w:rPr>
          <w:rFonts w:ascii="Arial" w:hAnsi="Arial" w:cs="Arial"/>
          <w:sz w:val="18"/>
          <w:szCs w:val="18"/>
        </w:rPr>
      </w:pPr>
      <w:r>
        <w:rPr>
          <w:rFonts w:ascii="Arial" w:hAnsi="Arial"/>
          <w:sz w:val="18"/>
          <w:szCs w:val="18"/>
        </w:rPr>
        <w:t>8. Je confirme par la présente que les informations figurant dans la présente déclaration sont exactes et complètes.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14:paraId="5915DE74" w14:textId="77777777" w:rsidTr="00AE0B47">
        <w:tc>
          <w:tcPr>
            <w:tcW w:w="1848" w:type="dxa"/>
          </w:tcPr>
          <w:p w14:paraId="7D57F917" w14:textId="1035618B" w:rsidR="00AE0B47" w:rsidRPr="00EE4F56" w:rsidRDefault="00AE0B47" w:rsidP="00C073D2">
            <w:pPr>
              <w:spacing w:before="120" w:after="120" w:line="240" w:lineRule="auto"/>
              <w:rPr>
                <w:rFonts w:ascii="Arial" w:hAnsi="Arial" w:cs="Arial"/>
                <w:sz w:val="18"/>
                <w:szCs w:val="18"/>
              </w:rPr>
            </w:pPr>
            <w:r>
              <w:rPr>
                <w:rFonts w:ascii="Arial" w:hAnsi="Arial"/>
                <w:sz w:val="18"/>
                <w:szCs w:val="18"/>
              </w:rPr>
              <w:t>Représentant de l’opérateur économique</w:t>
            </w:r>
          </w:p>
        </w:tc>
        <w:tc>
          <w:tcPr>
            <w:tcW w:w="2112" w:type="dxa"/>
            <w:tcBorders>
              <w:bottom w:val="single" w:sz="4" w:space="0" w:color="auto"/>
            </w:tcBorders>
          </w:tcPr>
          <w:p w14:paraId="32FBF199" w14:textId="77777777" w:rsidR="00AE0B47" w:rsidRPr="00EE4F56" w:rsidRDefault="00AE0B47" w:rsidP="00C073D2">
            <w:pPr>
              <w:spacing w:before="120" w:after="120" w:line="240" w:lineRule="auto"/>
              <w:rPr>
                <w:rFonts w:ascii="Arial" w:hAnsi="Arial" w:cs="Arial"/>
                <w:sz w:val="18"/>
                <w:szCs w:val="18"/>
              </w:rPr>
            </w:pPr>
          </w:p>
        </w:tc>
        <w:tc>
          <w:tcPr>
            <w:tcW w:w="270" w:type="dxa"/>
          </w:tcPr>
          <w:p w14:paraId="335E1741"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0670595F" w14:textId="0D4F3983" w:rsidR="00AE0B47" w:rsidRPr="00EE4F56" w:rsidRDefault="00AE0B47" w:rsidP="00C073D2">
            <w:pPr>
              <w:spacing w:before="120" w:after="120" w:line="240" w:lineRule="auto"/>
              <w:rPr>
                <w:rFonts w:ascii="Arial" w:hAnsi="Arial" w:cs="Arial"/>
                <w:sz w:val="18"/>
                <w:szCs w:val="18"/>
              </w:rPr>
            </w:pPr>
          </w:p>
        </w:tc>
        <w:tc>
          <w:tcPr>
            <w:tcW w:w="270" w:type="dxa"/>
          </w:tcPr>
          <w:p w14:paraId="6748BEB5"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1F213C5F" w14:textId="0F59135E" w:rsidR="00AE0B47" w:rsidRPr="00EE4F56" w:rsidRDefault="00AE0B47" w:rsidP="00C073D2">
            <w:pPr>
              <w:spacing w:before="120" w:after="120" w:line="240" w:lineRule="auto"/>
              <w:rPr>
                <w:rFonts w:ascii="Arial" w:hAnsi="Arial" w:cs="Arial"/>
                <w:sz w:val="18"/>
                <w:szCs w:val="18"/>
              </w:rPr>
            </w:pPr>
          </w:p>
        </w:tc>
      </w:tr>
      <w:tr w:rsidR="00AE0B47" w:rsidRPr="00EE4F56" w14:paraId="673F0330" w14:textId="77777777" w:rsidTr="00AE0B47">
        <w:tc>
          <w:tcPr>
            <w:tcW w:w="1848" w:type="dxa"/>
          </w:tcPr>
          <w:p w14:paraId="3703EF18" w14:textId="77777777"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14:paraId="2CF8353A" w14:textId="02DE13F1" w:rsidR="00AE0B47" w:rsidRPr="00EE4F56" w:rsidRDefault="00AE0B47" w:rsidP="00C073D2">
            <w:pPr>
              <w:spacing w:before="120" w:after="120" w:line="240" w:lineRule="auto"/>
              <w:rPr>
                <w:rFonts w:ascii="Arial" w:hAnsi="Arial" w:cs="Arial"/>
                <w:sz w:val="18"/>
                <w:szCs w:val="18"/>
              </w:rPr>
            </w:pPr>
            <w:r>
              <w:rPr>
                <w:rFonts w:ascii="Arial" w:hAnsi="Arial"/>
                <w:sz w:val="18"/>
                <w:szCs w:val="18"/>
              </w:rPr>
              <w:t>(nom, prénom)</w:t>
            </w:r>
          </w:p>
        </w:tc>
        <w:tc>
          <w:tcPr>
            <w:tcW w:w="270" w:type="dxa"/>
          </w:tcPr>
          <w:p w14:paraId="4030CDFA"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491EACD0" w14:textId="3BAEE916" w:rsidR="00AE0B47" w:rsidRPr="00EE4F56" w:rsidRDefault="00AE0B47" w:rsidP="00C073D2">
            <w:pPr>
              <w:spacing w:before="120" w:after="120" w:line="240" w:lineRule="auto"/>
              <w:rPr>
                <w:rFonts w:ascii="Arial" w:hAnsi="Arial" w:cs="Arial"/>
                <w:sz w:val="18"/>
                <w:szCs w:val="18"/>
              </w:rPr>
            </w:pPr>
            <w:r>
              <w:rPr>
                <w:rFonts w:ascii="Arial" w:hAnsi="Arial"/>
                <w:sz w:val="18"/>
                <w:szCs w:val="18"/>
              </w:rPr>
              <w:t>(fonction)</w:t>
            </w:r>
          </w:p>
        </w:tc>
        <w:tc>
          <w:tcPr>
            <w:tcW w:w="270" w:type="dxa"/>
          </w:tcPr>
          <w:p w14:paraId="7B631DF1"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38D890FD" w14:textId="6CC9237B" w:rsidR="00AE0B47" w:rsidRPr="00EE4F56" w:rsidRDefault="00AE0B47" w:rsidP="00C073D2">
            <w:pPr>
              <w:spacing w:before="120" w:after="120" w:line="240" w:lineRule="auto"/>
              <w:rPr>
                <w:rFonts w:ascii="Arial" w:hAnsi="Arial" w:cs="Arial"/>
                <w:sz w:val="18"/>
                <w:szCs w:val="18"/>
              </w:rPr>
            </w:pPr>
            <w:r>
              <w:rPr>
                <w:rFonts w:ascii="Arial" w:hAnsi="Arial"/>
                <w:sz w:val="18"/>
                <w:szCs w:val="18"/>
              </w:rPr>
              <w:t>(signature)</w:t>
            </w:r>
          </w:p>
        </w:tc>
      </w:tr>
    </w:tbl>
    <w:p w14:paraId="2AADE09E" w14:textId="053B16F2" w:rsidR="00B7715F" w:rsidRPr="00EE4F56" w:rsidRDefault="00B7715F" w:rsidP="00B7715F">
      <w:pPr>
        <w:tabs>
          <w:tab w:val="left" w:leader="underscore" w:pos="3600"/>
        </w:tabs>
        <w:spacing w:before="120" w:after="120" w:line="240" w:lineRule="auto"/>
        <w:rPr>
          <w:rFonts w:ascii="Arial" w:hAnsi="Arial" w:cs="Arial"/>
          <w:sz w:val="18"/>
          <w:szCs w:val="18"/>
        </w:rPr>
      </w:pPr>
      <w:r>
        <w:rPr>
          <w:rFonts w:ascii="Arial" w:hAnsi="Arial"/>
          <w:sz w:val="18"/>
          <w:szCs w:val="18"/>
        </w:rPr>
        <w:t xml:space="preserve">Date </w:t>
      </w:r>
      <w:r>
        <w:rPr>
          <w:rFonts w:ascii="Arial" w:hAnsi="Arial"/>
          <w:sz w:val="18"/>
          <w:szCs w:val="18"/>
        </w:rPr>
        <w:tab/>
      </w:r>
    </w:p>
    <w:p w14:paraId="6B8ECF2F" w14:textId="67FDA42C" w:rsidR="00B7715F" w:rsidRPr="00EE4F56" w:rsidRDefault="00B7715F" w:rsidP="00C073D2">
      <w:pPr>
        <w:spacing w:before="120" w:after="120" w:line="240" w:lineRule="auto"/>
        <w:rPr>
          <w:rFonts w:ascii="Arial" w:hAnsi="Arial" w:cs="Arial"/>
          <w:sz w:val="18"/>
          <w:szCs w:val="18"/>
        </w:rPr>
      </w:pPr>
      <w:r>
        <w:rPr>
          <w:rFonts w:ascii="Arial" w:hAnsi="Arial"/>
          <w:sz w:val="18"/>
          <w:szCs w:val="18"/>
        </w:rPr>
        <w:t>Remarque: * Les critères sont établis à l’annexe 1 du règlement nº 682 du Cabinet des ministres du 13 novembre 2018 «Modalités de la fin du statut de déchet applicables aux matériaux de caoutchouc issu des pneus hors d’usage» et sont inclus au système de gestion de la qualité du transformateur des pneus hors d’usage.</w:t>
      </w:r>
    </w:p>
    <w:p w14:paraId="08902B5E" w14:textId="13292DF0" w:rsidR="00B7715F" w:rsidRPr="00EE4F56" w:rsidRDefault="00B7715F" w:rsidP="00AE0B47">
      <w:pPr>
        <w:spacing w:before="120" w:after="120" w:line="240" w:lineRule="auto"/>
        <w:jc w:val="right"/>
        <w:rPr>
          <w:rFonts w:ascii="Arial" w:hAnsi="Arial" w:cs="Arial"/>
          <w:sz w:val="18"/>
          <w:szCs w:val="18"/>
        </w:rPr>
      </w:pPr>
      <w:r>
        <w:rPr>
          <w:rFonts w:ascii="Arial" w:hAnsi="Arial"/>
          <w:sz w:val="18"/>
          <w:szCs w:val="18"/>
        </w:rPr>
        <w:t>Ministre de la protection de l’environnement et du développement régional</w:t>
      </w:r>
      <w:r>
        <w:rPr>
          <w:rFonts w:ascii="Arial" w:hAnsi="Arial"/>
          <w:sz w:val="18"/>
          <w:szCs w:val="18"/>
        </w:rPr>
        <w:tab/>
        <w:t xml:space="preserve"> Kaspars Gerhards</w:t>
      </w:r>
    </w:p>
    <w:p w14:paraId="1DDC6089" w14:textId="77777777" w:rsidR="00B7715F" w:rsidRPr="00EE4F56" w:rsidRDefault="00B7715F" w:rsidP="00C073D2">
      <w:pPr>
        <w:spacing w:before="120" w:after="120" w:line="240" w:lineRule="auto"/>
        <w:rPr>
          <w:rFonts w:ascii="Arial" w:hAnsi="Arial" w:cs="Arial"/>
          <w:sz w:val="18"/>
          <w:szCs w:val="18"/>
        </w:rPr>
      </w:pPr>
    </w:p>
    <w:p w14:paraId="2DD4180C" w14:textId="77777777" w:rsidR="00AE0B47" w:rsidRPr="00EE4F56" w:rsidRDefault="00AE0B47" w:rsidP="00AE0B47">
      <w:pPr>
        <w:pBdr>
          <w:bottom w:val="single" w:sz="18" w:space="1" w:color="53C862" w:themeColor="background1" w:themeShade="A6"/>
        </w:pBdr>
        <w:spacing w:before="120" w:after="120" w:line="240" w:lineRule="auto"/>
        <w:rPr>
          <w:rFonts w:ascii="Arial" w:hAnsi="Arial" w:cs="Arial"/>
          <w:sz w:val="18"/>
          <w:szCs w:val="18"/>
        </w:rPr>
      </w:pPr>
    </w:p>
    <w:p w14:paraId="10DA1750" w14:textId="72D52856" w:rsidR="00B7715F" w:rsidRPr="00EE4F56" w:rsidRDefault="00B7715F" w:rsidP="00C073D2">
      <w:pPr>
        <w:spacing w:before="120" w:after="120" w:line="240" w:lineRule="auto"/>
        <w:rPr>
          <w:rFonts w:ascii="Arial" w:hAnsi="Arial" w:cs="Arial"/>
          <w:b/>
          <w:color w:val="A6A6A6"/>
          <w:sz w:val="18"/>
          <w:szCs w:val="18"/>
        </w:rPr>
      </w:pPr>
      <w:r>
        <w:rPr>
          <w:rFonts w:ascii="Arial" w:hAnsi="Arial"/>
          <w:b/>
          <w:color w:val="A6A6A6"/>
          <w:sz w:val="18"/>
          <w:szCs w:val="18"/>
        </w:rPr>
        <w:t>© Éditeur officiel «Latvijas Vēstnesis»</w:t>
      </w:r>
    </w:p>
    <w:sectPr w:rsidR="00B7715F" w:rsidRPr="00EE4F56" w:rsidSect="000027DE">
      <w:footerReference w:type="default" r:id="rId9"/>
      <w:footerReference w:type="first" r:id="rId10"/>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E6501" w14:textId="77777777" w:rsidR="00DB300D" w:rsidRDefault="00DB300D">
      <w:pPr>
        <w:spacing w:after="0" w:line="240" w:lineRule="auto"/>
      </w:pPr>
      <w:r>
        <w:separator/>
      </w:r>
    </w:p>
  </w:endnote>
  <w:endnote w:type="continuationSeparator" w:id="0">
    <w:p w14:paraId="20733B4C" w14:textId="77777777" w:rsidR="00DB300D" w:rsidRDefault="00DB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14:paraId="2CE71666" w14:textId="0258F6DE" w:rsidR="00C77626" w:rsidRPr="001919C1" w:rsidRDefault="00C77626" w:rsidP="00C77626">
        <w:pPr>
          <w:pStyle w:val="Footer"/>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sidR="00025672">
          <w:rPr>
            <w:rFonts w:ascii="Arial" w:hAnsi="Arial" w:cs="Arial"/>
            <w:noProof/>
            <w:sz w:val="18"/>
            <w:szCs w:val="18"/>
          </w:rPr>
          <w:t>4</w:t>
        </w:r>
        <w:r w:rsidRPr="001919C1">
          <w:rPr>
            <w:rFonts w:ascii="Arial" w:hAnsi="Arial" w:cs="Arial"/>
            <w:sz w:val="18"/>
            <w:szCs w:val="18"/>
          </w:rPr>
          <w:fldChar w:fldCharType="end"/>
        </w:r>
        <w:r>
          <w:rPr>
            <w:rFonts w:ascii="Arial" w:hAnsi="Arial"/>
            <w:sz w:val="18"/>
            <w:szCs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sidR="00025672">
              <w:rPr>
                <w:rFonts w:ascii="Arial" w:hAnsi="Arial" w:cs="Arial"/>
                <w:noProof/>
                <w:sz w:val="18"/>
                <w:szCs w:val="18"/>
              </w:rPr>
              <w:t>5</w:t>
            </w:r>
            <w:r w:rsidRPr="001919C1">
              <w:rPr>
                <w:rFonts w:ascii="Arial" w:hAnsi="Arial" w:cs="Arial"/>
                <w:sz w:val="18"/>
                <w:szCs w:val="18"/>
              </w:rPr>
              <w:fldChar w:fldCharType="end"/>
            </w:r>
          </w:sdtContent>
        </w:sdt>
      </w:p>
      <w:p w14:paraId="73533EAC" w14:textId="340B73F3" w:rsidR="00C77626" w:rsidRDefault="00025672">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2138" w14:textId="0E250D30" w:rsidR="00FC6D0F" w:rsidRPr="00BB2301" w:rsidRDefault="00025672" w:rsidP="00FC6D0F">
    <w:pPr>
      <w:pStyle w:val="Header"/>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1</w:t>
        </w:r>
        <w:r w:rsidR="00FC6D0F" w:rsidRPr="00BB2301">
          <w:rPr>
            <w:rFonts w:ascii="Times New Roman" w:hAnsi="Times New Roman"/>
            <w:sz w:val="24"/>
            <w:szCs w:val="24"/>
          </w:rPr>
          <w:fldChar w:fldCharType="end"/>
        </w:r>
      </w:sdtContent>
    </w:sdt>
    <w:r w:rsidR="00344F8E">
      <w:rPr>
        <w:rFonts w:ascii="Times New Roman" w:hAnsi="Times New Roman"/>
        <w:sz w:val="24"/>
        <w:szCs w:val="24"/>
      </w:rPr>
      <w:t>/</w:t>
    </w:r>
    <w:r w:rsidR="00344F8E">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1</w:t>
        </w:r>
        <w:r w:rsidR="00FC6D0F" w:rsidRPr="00BB2301">
          <w:rPr>
            <w:rFonts w:ascii="Times New Roman" w:hAnsi="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31E0B" w14:textId="77777777" w:rsidR="00DB300D" w:rsidRDefault="00DB300D">
      <w:pPr>
        <w:spacing w:after="0" w:line="240" w:lineRule="auto"/>
      </w:pPr>
      <w:r>
        <w:separator/>
      </w:r>
    </w:p>
  </w:footnote>
  <w:footnote w:type="continuationSeparator" w:id="0">
    <w:p w14:paraId="24050FB4" w14:textId="77777777" w:rsidR="00DB300D" w:rsidRDefault="00DB3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1">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1">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1">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1">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1">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1">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1">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1">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1">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HyphenateCaps/>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25672"/>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4E01"/>
    <w:rsid w:val="00160F1C"/>
    <w:rsid w:val="00175207"/>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80381"/>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300D"/>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0DF55E"/>
  <w14:defaultImageDpi w14:val="330"/>
  <w15:docId w15:val="{3753F23E-36E1-4124-A5F5-13E5097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lang w:eastAsia="x-none"/>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9B3"/>
    <w:rPr>
      <w:sz w:val="16"/>
      <w:szCs w:val="16"/>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fr-FR"/>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fr-FR"/>
    </w:rPr>
  </w:style>
  <w:style w:type="paragraph" w:styleId="ListParagraph">
    <w:name w:val="List Paragraph"/>
    <w:basedOn w:val="Normal"/>
    <w:uiPriority w:val="34"/>
    <w:qFormat/>
    <w:rsid w:val="00BA59B3"/>
    <w:pPr>
      <w:ind w:left="720"/>
      <w:contextualSpacing/>
    </w:pPr>
    <w:rPr>
      <w:rFonts w:ascii="Calibri" w:eastAsia="宋体" w:hAnsi="Calibri" w:cs="Times New Roman"/>
      <w:lang w:eastAsia="lv-LV"/>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fr-FR" w:eastAsia="x-none"/>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fr-FR" w:eastAsia="x-none"/>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fr-FR"/>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fr-FR"/>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宋体" w:hAnsi="Calibri" w:cs="Times New Roman"/>
      <w:lang w:eastAsia="lv-LV"/>
    </w:rPr>
  </w:style>
  <w:style w:type="character" w:customStyle="1" w:styleId="HeaderChar">
    <w:name w:val="Header Char"/>
    <w:basedOn w:val="DefaultParagraphFont"/>
    <w:link w:val="Header"/>
    <w:uiPriority w:val="99"/>
    <w:rsid w:val="008D118F"/>
    <w:rPr>
      <w:rFonts w:ascii="Calibri" w:eastAsia="宋体" w:hAnsi="Calibri" w:cs="Times New Roman"/>
      <w:sz w:val="22"/>
      <w:szCs w:val="22"/>
      <w:lang w:val="fr-FR" w:eastAsia="lv-LV"/>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宋体" w:hAnsi="Calibri" w:cs="Times New Roman"/>
      <w:lang w:eastAsia="lv-LV"/>
    </w:rPr>
  </w:style>
  <w:style w:type="character" w:customStyle="1" w:styleId="FooterChar">
    <w:name w:val="Footer Char"/>
    <w:basedOn w:val="DefaultParagraphFont"/>
    <w:link w:val="Footer"/>
    <w:uiPriority w:val="99"/>
    <w:rsid w:val="008D118F"/>
    <w:rPr>
      <w:rFonts w:ascii="Calibri" w:eastAsia="宋体" w:hAnsi="Calibri" w:cs="Times New Roman"/>
      <w:sz w:val="22"/>
      <w:szCs w:val="22"/>
      <w:lang w:val="fr-FR" w:eastAsia="lv-LV"/>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lang w:eastAsia="lv-LV"/>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A600B"/>
    <w:rPr>
      <w:rFonts w:eastAsiaTheme="minorHAnsi"/>
      <w:sz w:val="22"/>
      <w:szCs w:val="22"/>
    </w:rPr>
  </w:style>
  <w:style w:type="table" w:styleId="TableGrid">
    <w:name w:val="Table Grid"/>
    <w:basedOn w:val="TableNormal"/>
    <w:uiPriority w:val="59"/>
    <w:rsid w:val="00FC6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E81C-6ADC-409C-A7D4-1BF8901F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Liu, Lei</cp:lastModifiedBy>
  <cp:revision>23</cp:revision>
  <cp:lastPrinted>2018-03-14T09:38:00Z</cp:lastPrinted>
  <dcterms:created xsi:type="dcterms:W3CDTF">2018-05-16T10:48:00Z</dcterms:created>
  <dcterms:modified xsi:type="dcterms:W3CDTF">2019-12-18T05:16:00Z</dcterms:modified>
</cp:coreProperties>
</file>