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888"/>
        <w:gridCol w:w="2887"/>
      </w:tblGrid>
      <w:tr w:rsidR="00FC6D0F" w:rsidRPr="00EE4F56" w14:paraId="3A0B40E4" w14:textId="77777777" w:rsidTr="00F16937">
        <w:tc>
          <w:tcPr>
            <w:tcW w:w="3018" w:type="dxa"/>
          </w:tcPr>
          <w:p w14:paraId="251EF203" w14:textId="550681D8" w:rsidR="00FC6D0F" w:rsidRPr="00EE4F56" w:rsidRDefault="00FC6D0F" w:rsidP="002C4FD9">
            <w:pPr>
              <w:spacing w:after="60" w:line="240" w:lineRule="auto"/>
              <w:rPr>
                <w:rFonts w:ascii="Arial" w:hAnsi="Arial" w:cs="Arial"/>
                <w:b/>
                <w:sz w:val="18"/>
                <w:szCs w:val="18"/>
              </w:rPr>
            </w:pPr>
            <w:r>
              <w:rPr>
                <w:rFonts w:ascii="Arial" w:hAnsi="Arial" w:cs="Arial"/>
                <w:noProof/>
                <w:sz w:val="18"/>
                <w:szCs w:val="18"/>
                <w:lang w:val="en-US" w:eastAsia="en-US" w:bidi="ar-SA"/>
              </w:rPr>
              <w:drawing>
                <wp:inline distT="0" distB="0" distL="0" distR="0" wp14:anchorId="75B031B4" wp14:editId="036FB85C">
                  <wp:extent cx="1952381"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381" cy="314286"/>
                          </a:xfrm>
                          <a:prstGeom prst="rect">
                            <a:avLst/>
                          </a:prstGeom>
                        </pic:spPr>
                      </pic:pic>
                    </a:graphicData>
                  </a:graphic>
                </wp:inline>
              </w:drawing>
            </w:r>
          </w:p>
        </w:tc>
        <w:tc>
          <w:tcPr>
            <w:tcW w:w="3018" w:type="dxa"/>
          </w:tcPr>
          <w:p w14:paraId="32EAAB70" w14:textId="77777777" w:rsidR="002C4FD9" w:rsidRPr="00EE4F56" w:rsidRDefault="00FC6D0F" w:rsidP="002C4FD9">
            <w:pPr>
              <w:spacing w:after="60" w:line="240" w:lineRule="auto"/>
              <w:rPr>
                <w:rFonts w:ascii="Arial" w:hAnsi="Arial" w:cs="Arial"/>
                <w:b/>
                <w:sz w:val="18"/>
                <w:szCs w:val="18"/>
              </w:rPr>
            </w:pPr>
            <w:r>
              <w:rPr>
                <w:rFonts w:ascii="Arial" w:hAnsi="Arial"/>
                <w:b/>
                <w:sz w:val="18"/>
              </w:rPr>
              <w:t>Wydawca: Rada Ministrów</w:t>
            </w:r>
          </w:p>
          <w:p w14:paraId="16989A06" w14:textId="77777777" w:rsidR="002C4FD9" w:rsidRPr="00EE4F56" w:rsidRDefault="002C4FD9" w:rsidP="002C4FD9">
            <w:pPr>
              <w:spacing w:after="60" w:line="240" w:lineRule="auto"/>
              <w:rPr>
                <w:rFonts w:ascii="Arial" w:hAnsi="Arial" w:cs="Arial"/>
                <w:b/>
                <w:sz w:val="18"/>
                <w:szCs w:val="18"/>
              </w:rPr>
            </w:pPr>
            <w:r>
              <w:rPr>
                <w:rFonts w:ascii="Arial" w:hAnsi="Arial"/>
                <w:b/>
                <w:sz w:val="18"/>
              </w:rPr>
              <w:t>Forma: rozporządzenie</w:t>
            </w:r>
          </w:p>
          <w:p w14:paraId="0FDC095B" w14:textId="1656AF87" w:rsidR="00FC6D0F" w:rsidRPr="00EE4F56" w:rsidRDefault="00FC6D0F" w:rsidP="002C4FD9">
            <w:pPr>
              <w:spacing w:after="60" w:line="240" w:lineRule="auto"/>
              <w:rPr>
                <w:rFonts w:ascii="Arial" w:hAnsi="Arial" w:cs="Arial"/>
                <w:b/>
                <w:sz w:val="18"/>
                <w:szCs w:val="18"/>
              </w:rPr>
            </w:pPr>
            <w:r>
              <w:rPr>
                <w:rFonts w:ascii="Arial" w:hAnsi="Arial"/>
                <w:b/>
                <w:sz w:val="18"/>
              </w:rPr>
              <w:t>Numer: 682</w:t>
            </w:r>
          </w:p>
          <w:p w14:paraId="1F711D81" w14:textId="77777777" w:rsidR="002C4FD9" w:rsidRPr="00EE4F56" w:rsidRDefault="002C4FD9" w:rsidP="002C4FD9">
            <w:pPr>
              <w:spacing w:after="60" w:line="240" w:lineRule="auto"/>
              <w:rPr>
                <w:rFonts w:ascii="Arial" w:hAnsi="Arial" w:cs="Arial"/>
                <w:b/>
                <w:sz w:val="18"/>
                <w:szCs w:val="18"/>
              </w:rPr>
            </w:pPr>
            <w:r>
              <w:rPr>
                <w:rFonts w:ascii="Arial" w:hAnsi="Arial"/>
                <w:b/>
                <w:sz w:val="18"/>
              </w:rPr>
              <w:t xml:space="preserve">Przyjęto: 13.11.2018 </w:t>
            </w:r>
            <w:proofErr w:type="gramStart"/>
            <w:r>
              <w:rPr>
                <w:rFonts w:ascii="Arial" w:hAnsi="Arial"/>
                <w:b/>
                <w:sz w:val="18"/>
              </w:rPr>
              <w:t>r</w:t>
            </w:r>
            <w:proofErr w:type="gramEnd"/>
            <w:r>
              <w:rPr>
                <w:rFonts w:ascii="Arial" w:hAnsi="Arial"/>
                <w:b/>
                <w:sz w:val="18"/>
              </w:rPr>
              <w:t>.</w:t>
            </w:r>
          </w:p>
          <w:p w14:paraId="2F3725B2" w14:textId="425DB18C" w:rsidR="00FC6D0F" w:rsidRPr="00EE4F56" w:rsidRDefault="00FC6D0F" w:rsidP="002C4FD9">
            <w:pPr>
              <w:spacing w:after="60" w:line="240" w:lineRule="auto"/>
              <w:rPr>
                <w:rFonts w:ascii="Arial" w:hAnsi="Arial" w:cs="Arial"/>
                <w:b/>
                <w:sz w:val="18"/>
                <w:szCs w:val="18"/>
              </w:rPr>
            </w:pPr>
            <w:r>
              <w:rPr>
                <w:rFonts w:ascii="Arial" w:hAnsi="Arial"/>
                <w:b/>
                <w:sz w:val="18"/>
              </w:rPr>
              <w:t xml:space="preserve">Wejście w życie: 16.11.2018 </w:t>
            </w:r>
            <w:proofErr w:type="gramStart"/>
            <w:r>
              <w:rPr>
                <w:rFonts w:ascii="Arial" w:hAnsi="Arial"/>
                <w:b/>
                <w:sz w:val="18"/>
              </w:rPr>
              <w:t>r</w:t>
            </w:r>
            <w:proofErr w:type="gramEnd"/>
            <w:r>
              <w:rPr>
                <w:rFonts w:ascii="Arial" w:hAnsi="Arial"/>
                <w:b/>
                <w:sz w:val="18"/>
              </w:rPr>
              <w:t>.</w:t>
            </w:r>
          </w:p>
        </w:tc>
        <w:tc>
          <w:tcPr>
            <w:tcW w:w="3019" w:type="dxa"/>
          </w:tcPr>
          <w:p w14:paraId="7488A0B7" w14:textId="77777777" w:rsidR="00FC6D0F" w:rsidRPr="00EE4F56" w:rsidRDefault="00FC6D0F" w:rsidP="002C4FD9">
            <w:pPr>
              <w:spacing w:after="60" w:line="240" w:lineRule="auto"/>
              <w:rPr>
                <w:rFonts w:ascii="Arial" w:hAnsi="Arial" w:cs="Arial"/>
                <w:b/>
                <w:sz w:val="18"/>
                <w:szCs w:val="18"/>
              </w:rPr>
            </w:pPr>
            <w:r>
              <w:rPr>
                <w:rFonts w:ascii="Arial" w:hAnsi="Arial"/>
                <w:b/>
                <w:sz w:val="18"/>
              </w:rPr>
              <w:t>Opublikowano:</w:t>
            </w:r>
          </w:p>
          <w:p w14:paraId="478E30BE" w14:textId="77777777" w:rsidR="002C4FD9" w:rsidRPr="00EE4F56" w:rsidRDefault="002C4FD9" w:rsidP="002C4FD9">
            <w:pPr>
              <w:spacing w:after="60" w:line="240" w:lineRule="auto"/>
              <w:rPr>
                <w:rFonts w:ascii="Arial" w:hAnsi="Arial" w:cs="Arial"/>
                <w:b/>
                <w:sz w:val="18"/>
                <w:szCs w:val="18"/>
              </w:rPr>
            </w:pPr>
            <w:proofErr w:type="spellStart"/>
            <w:r>
              <w:rPr>
                <w:rFonts w:ascii="Arial" w:hAnsi="Arial"/>
                <w:b/>
                <w:sz w:val="18"/>
              </w:rPr>
              <w:t>Latvijas</w:t>
            </w:r>
            <w:proofErr w:type="spellEnd"/>
            <w:r>
              <w:rPr>
                <w:rFonts w:ascii="Arial" w:hAnsi="Arial"/>
                <w:b/>
                <w:sz w:val="18"/>
              </w:rPr>
              <w:t xml:space="preserve"> </w:t>
            </w:r>
            <w:proofErr w:type="spellStart"/>
            <w:r>
              <w:rPr>
                <w:rFonts w:ascii="Arial" w:hAnsi="Arial"/>
                <w:b/>
                <w:sz w:val="18"/>
              </w:rPr>
              <w:t>Vēstnesis</w:t>
            </w:r>
            <w:proofErr w:type="spellEnd"/>
            <w:r>
              <w:rPr>
                <w:rFonts w:ascii="Arial" w:hAnsi="Arial"/>
                <w:b/>
                <w:sz w:val="18"/>
              </w:rPr>
              <w:t xml:space="preserve"> [Dziennik Urzędowy Republiki Łotewskiej], 226/6312,</w:t>
            </w:r>
          </w:p>
          <w:p w14:paraId="388A83C4" w14:textId="0FAEFF8B" w:rsidR="00FC6D0F" w:rsidRPr="00EE4F56" w:rsidRDefault="00FC6D0F" w:rsidP="002C4FD9">
            <w:pPr>
              <w:spacing w:after="60" w:line="240" w:lineRule="auto"/>
              <w:rPr>
                <w:rFonts w:ascii="Arial" w:hAnsi="Arial" w:cs="Arial"/>
                <w:b/>
                <w:sz w:val="18"/>
                <w:szCs w:val="18"/>
              </w:rPr>
            </w:pPr>
            <w:r>
              <w:rPr>
                <w:rFonts w:ascii="Arial" w:hAnsi="Arial"/>
                <w:b/>
                <w:sz w:val="18"/>
              </w:rPr>
              <w:t>15.11.2018</w:t>
            </w:r>
          </w:p>
          <w:p w14:paraId="1222F8F6" w14:textId="77777777" w:rsidR="002C4FD9" w:rsidRPr="00EE4F56" w:rsidRDefault="002C4FD9" w:rsidP="002C4FD9">
            <w:pPr>
              <w:spacing w:after="60" w:line="240" w:lineRule="auto"/>
              <w:rPr>
                <w:rFonts w:ascii="Arial" w:hAnsi="Arial" w:cs="Arial"/>
                <w:b/>
                <w:sz w:val="18"/>
                <w:szCs w:val="18"/>
              </w:rPr>
            </w:pPr>
          </w:p>
          <w:p w14:paraId="71ADF7E0" w14:textId="34EDD6A3" w:rsidR="00FC6D0F" w:rsidRPr="00EE4F56" w:rsidRDefault="00FC6D0F" w:rsidP="002C4FD9">
            <w:pPr>
              <w:spacing w:after="60" w:line="240" w:lineRule="auto"/>
              <w:rPr>
                <w:rFonts w:ascii="Arial" w:hAnsi="Arial" w:cs="Arial"/>
                <w:b/>
                <w:sz w:val="18"/>
                <w:szCs w:val="18"/>
              </w:rPr>
            </w:pPr>
            <w:r>
              <w:rPr>
                <w:rFonts w:ascii="Arial" w:hAnsi="Arial"/>
                <w:b/>
                <w:sz w:val="18"/>
              </w:rPr>
              <w:t>Numer OP: 2018/226,2</w:t>
            </w:r>
          </w:p>
        </w:tc>
      </w:tr>
      <w:tr w:rsidR="002C4FD9" w:rsidRPr="00EE4F56" w14:paraId="4D939C94" w14:textId="77777777" w:rsidTr="00F16937">
        <w:tc>
          <w:tcPr>
            <w:tcW w:w="3018" w:type="dxa"/>
            <w:tcBorders>
              <w:bottom w:val="single" w:sz="12" w:space="0" w:color="A6A6A6"/>
            </w:tcBorders>
          </w:tcPr>
          <w:p w14:paraId="5331360F" w14:textId="34F0BA2C" w:rsidR="002C4FD9" w:rsidRPr="00EE4F56" w:rsidRDefault="002C4FD9" w:rsidP="002C4FD9">
            <w:pPr>
              <w:spacing w:after="60" w:line="240" w:lineRule="auto"/>
              <w:rPr>
                <w:rFonts w:ascii="Arial" w:hAnsi="Arial" w:cs="Arial"/>
                <w:noProof/>
                <w:sz w:val="18"/>
                <w:szCs w:val="18"/>
              </w:rPr>
            </w:pPr>
          </w:p>
        </w:tc>
        <w:tc>
          <w:tcPr>
            <w:tcW w:w="3018" w:type="dxa"/>
            <w:tcBorders>
              <w:bottom w:val="single" w:sz="12" w:space="0" w:color="A6A6A6"/>
            </w:tcBorders>
          </w:tcPr>
          <w:p w14:paraId="21F3C753" w14:textId="77777777"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EE4F56" w:rsidRDefault="002C4FD9" w:rsidP="002C4FD9">
            <w:pPr>
              <w:spacing w:after="60" w:line="240" w:lineRule="auto"/>
              <w:rPr>
                <w:rFonts w:ascii="Arial" w:hAnsi="Arial" w:cs="Arial"/>
                <w:b/>
                <w:sz w:val="18"/>
                <w:szCs w:val="18"/>
              </w:rPr>
            </w:pPr>
          </w:p>
        </w:tc>
      </w:tr>
    </w:tbl>
    <w:p w14:paraId="2F583246" w14:textId="05D287ED" w:rsidR="00C05723" w:rsidRPr="00EE4F56" w:rsidRDefault="00C05723" w:rsidP="002C4FD9">
      <w:pPr>
        <w:spacing w:before="120" w:after="120" w:line="240" w:lineRule="auto"/>
        <w:rPr>
          <w:rFonts w:ascii="Arial" w:hAnsi="Arial" w:cs="Arial"/>
          <w:b/>
          <w:sz w:val="18"/>
          <w:szCs w:val="18"/>
        </w:rPr>
      </w:pPr>
    </w:p>
    <w:p w14:paraId="1B1C223E" w14:textId="121B5946" w:rsidR="00344F8E" w:rsidRDefault="007F7956" w:rsidP="00344F8E">
      <w:pPr>
        <w:pStyle w:val="PlainText"/>
        <w:rPr>
          <w:rFonts w:ascii="Courier New" w:hAnsi="Courier New" w:cs="Courier New"/>
          <w:sz w:val="20"/>
          <w:szCs w:val="20"/>
        </w:rPr>
      </w:pPr>
      <w:r>
        <w:rPr>
          <w:rFonts w:ascii="Courier New" w:hAnsi="Courier New"/>
          <w:sz w:val="20"/>
        </w:rPr>
        <w:t>1. ------IND- 2018 0211 LV-- PL</w:t>
      </w:r>
      <w:bookmarkStart w:id="0" w:name="_GoBack"/>
      <w:bookmarkEnd w:id="0"/>
      <w:r w:rsidR="00344F8E">
        <w:rPr>
          <w:rFonts w:ascii="Courier New" w:hAnsi="Courier New"/>
          <w:sz w:val="20"/>
        </w:rPr>
        <w:t>- ------ 20191218 --- --- FINAL</w:t>
      </w:r>
    </w:p>
    <w:p w14:paraId="5B599D26" w14:textId="77777777" w:rsidR="00FC6D0F" w:rsidRPr="00EE4F56" w:rsidRDefault="00FC6D0F" w:rsidP="00154E01">
      <w:pPr>
        <w:spacing w:before="120" w:after="120" w:line="240" w:lineRule="auto"/>
        <w:jc w:val="right"/>
        <w:rPr>
          <w:rFonts w:ascii="Arial" w:hAnsi="Arial" w:cs="Arial"/>
          <w:b/>
          <w:sz w:val="18"/>
          <w:szCs w:val="18"/>
        </w:rPr>
      </w:pPr>
      <w:r>
        <w:rPr>
          <w:rFonts w:ascii="Arial" w:hAnsi="Arial"/>
          <w:b/>
          <w:sz w:val="18"/>
        </w:rPr>
        <w:t>Rozporządzenie Rady Ministrów nr 682</w:t>
      </w:r>
    </w:p>
    <w:p w14:paraId="72CF7DF1" w14:textId="17EEA2F5" w:rsidR="00451295" w:rsidRPr="00EE4F56" w:rsidRDefault="00FC6D0F" w:rsidP="00154E01">
      <w:pPr>
        <w:spacing w:before="120" w:after="120" w:line="240" w:lineRule="auto"/>
        <w:jc w:val="right"/>
        <w:rPr>
          <w:rFonts w:ascii="Arial" w:hAnsi="Arial" w:cs="Arial"/>
          <w:sz w:val="18"/>
          <w:szCs w:val="18"/>
        </w:rPr>
      </w:pPr>
      <w:r>
        <w:rPr>
          <w:rFonts w:ascii="Arial" w:hAnsi="Arial"/>
          <w:sz w:val="18"/>
        </w:rPr>
        <w:t>Ryga, 13 listopada 2018 r. (nr ref. 52 34. §)</w:t>
      </w:r>
    </w:p>
    <w:p w14:paraId="38EE56EA" w14:textId="77777777" w:rsidR="00FC6D0F" w:rsidRPr="00EE4F56" w:rsidRDefault="00FC6D0F" w:rsidP="002C4FD9">
      <w:pPr>
        <w:spacing w:before="120" w:after="120" w:line="240" w:lineRule="auto"/>
        <w:rPr>
          <w:rFonts w:ascii="Arial" w:hAnsi="Arial" w:cs="Arial"/>
          <w:b/>
          <w:sz w:val="18"/>
          <w:szCs w:val="18"/>
        </w:rPr>
      </w:pPr>
    </w:p>
    <w:p w14:paraId="2A89148B" w14:textId="77777777" w:rsidR="00FC6D0F" w:rsidRPr="00EE4F56" w:rsidRDefault="00FC6D0F" w:rsidP="002C4FD9">
      <w:pPr>
        <w:spacing w:before="120" w:after="120" w:line="240" w:lineRule="auto"/>
        <w:rPr>
          <w:rFonts w:ascii="Arial" w:hAnsi="Arial" w:cs="Arial"/>
          <w:b/>
          <w:sz w:val="18"/>
          <w:szCs w:val="18"/>
        </w:rPr>
      </w:pPr>
    </w:p>
    <w:p w14:paraId="7F6485A1" w14:textId="6519F9EF" w:rsidR="00BA59B3" w:rsidRPr="00EE4F56" w:rsidRDefault="00FC6D0F" w:rsidP="002C4FD9">
      <w:pPr>
        <w:spacing w:before="120" w:after="120" w:line="240" w:lineRule="auto"/>
        <w:jc w:val="center"/>
        <w:rPr>
          <w:rFonts w:ascii="Arial" w:eastAsia="Times New Roman" w:hAnsi="Arial" w:cs="Arial"/>
          <w:b/>
          <w:sz w:val="28"/>
          <w:szCs w:val="28"/>
        </w:rPr>
      </w:pPr>
      <w:r>
        <w:rPr>
          <w:rFonts w:ascii="Arial" w:hAnsi="Arial"/>
          <w:b/>
          <w:sz w:val="28"/>
        </w:rPr>
        <w:t>Procedura zniesienia statusu odpadu w odniesieniu do materiałów gumowych uzyskiwanych ze zużytych opon</w:t>
      </w:r>
    </w:p>
    <w:p w14:paraId="1D1F7932" w14:textId="77777777" w:rsidR="00451295" w:rsidRPr="00EE4F56" w:rsidRDefault="00451295" w:rsidP="002C4FD9">
      <w:pPr>
        <w:spacing w:before="120" w:after="120" w:line="240" w:lineRule="auto"/>
        <w:jc w:val="right"/>
        <w:rPr>
          <w:rFonts w:ascii="Arial" w:eastAsia="Times New Roman" w:hAnsi="Arial" w:cs="Arial"/>
          <w:sz w:val="18"/>
          <w:szCs w:val="18"/>
        </w:rPr>
      </w:pPr>
    </w:p>
    <w:p w14:paraId="107A9741" w14:textId="11FBC4C8" w:rsidR="00FB0141" w:rsidRPr="00EE4F56" w:rsidRDefault="00154E01" w:rsidP="00EE4F56">
      <w:pPr>
        <w:keepNext/>
        <w:keepLines/>
        <w:spacing w:before="120" w:after="120" w:line="240" w:lineRule="auto"/>
        <w:jc w:val="right"/>
        <w:rPr>
          <w:rFonts w:ascii="Arial" w:eastAsia="Times New Roman" w:hAnsi="Arial" w:cs="Arial"/>
          <w:i/>
          <w:sz w:val="18"/>
          <w:szCs w:val="18"/>
        </w:rPr>
      </w:pPr>
      <w:r>
        <w:rPr>
          <w:rFonts w:ascii="Arial" w:hAnsi="Arial"/>
          <w:i/>
          <w:sz w:val="18"/>
          <w:szCs w:val="18"/>
        </w:rPr>
        <w:t xml:space="preserve">Wydano zgodnie z </w:t>
      </w:r>
      <w:r>
        <w:rPr>
          <w:rFonts w:ascii="Arial" w:hAnsi="Arial"/>
          <w:i/>
          <w:sz w:val="18"/>
        </w:rPr>
        <w:br/>
        <w:t>art. 6 ust. 1 pkt. 1</w:t>
      </w:r>
      <w:r>
        <w:rPr>
          <w:rFonts w:ascii="Arial" w:hAnsi="Arial"/>
          <w:i/>
          <w:sz w:val="18"/>
        </w:rPr>
        <w:br/>
        <w:t>ustawy o gospodarowaniu odpadami</w:t>
      </w:r>
    </w:p>
    <w:p w14:paraId="712531AB" w14:textId="5769D68D" w:rsidR="00BA59B3" w:rsidRPr="00EE4F56" w:rsidRDefault="00565BE4" w:rsidP="00565BE4">
      <w:pPr>
        <w:pStyle w:val="ListParagraph"/>
        <w:numPr>
          <w:ilvl w:val="0"/>
          <w:numId w:val="1"/>
        </w:numPr>
        <w:spacing w:before="120" w:after="120" w:line="240" w:lineRule="auto"/>
        <w:contextualSpacing w:val="0"/>
        <w:jc w:val="both"/>
        <w:rPr>
          <w:rFonts w:ascii="Arial" w:hAnsi="Arial" w:cs="Arial"/>
          <w:sz w:val="18"/>
          <w:szCs w:val="18"/>
        </w:rPr>
      </w:pPr>
      <w:r>
        <w:rPr>
          <w:rFonts w:ascii="Arial" w:hAnsi="Arial"/>
          <w:sz w:val="18"/>
        </w:rPr>
        <w:t>Rozporządzenie określa procedurę zniesienia statusu odpadu w odniesieniu do materiałów gumowych uzyskiwanych ze zużytych opon.</w:t>
      </w:r>
    </w:p>
    <w:p w14:paraId="292A079A" w14:textId="36B6788D" w:rsidR="005F5128" w:rsidRPr="00EE4F56" w:rsidRDefault="00565BE4" w:rsidP="00565BE4">
      <w:pPr>
        <w:pStyle w:val="NumPar1"/>
        <w:numPr>
          <w:ilvl w:val="0"/>
          <w:numId w:val="1"/>
        </w:numPr>
        <w:rPr>
          <w:rFonts w:ascii="Arial" w:hAnsi="Arial" w:cs="Arial"/>
          <w:sz w:val="18"/>
          <w:szCs w:val="18"/>
        </w:rPr>
      </w:pPr>
      <w:r>
        <w:rPr>
          <w:rFonts w:ascii="Arial" w:hAnsi="Arial"/>
          <w:sz w:val="18"/>
        </w:rPr>
        <w:t>W rozumieniu niniejszego rozporządzenia za surowce wtórne uznaje się materiały gumowe uzyskiwane ze zużytych opon przez rozrywanie, kruszenie, strzępienie, cięcie lub granulowanie, jeżeli po przetworzeniu opon te materiały są przeznaczone do sprzedaży na rynku w celu dalszego użycia, ze substancjami wiążącymi lub bez, oraz spełniają wszystkie kryteria wymienione w załączniku 1 do niniejszego rozporządzenia.</w:t>
      </w:r>
    </w:p>
    <w:p w14:paraId="0C893223" w14:textId="5D905217" w:rsidR="00B25D4C" w:rsidRPr="00EE4F56" w:rsidRDefault="005770E0" w:rsidP="002C4FD9">
      <w:pPr>
        <w:pStyle w:val="ListParagraph"/>
        <w:keepNext/>
        <w:keepLines/>
        <w:numPr>
          <w:ilvl w:val="0"/>
          <w:numId w:val="1"/>
        </w:numPr>
        <w:spacing w:before="120" w:after="120" w:line="240" w:lineRule="auto"/>
        <w:contextualSpacing w:val="0"/>
        <w:jc w:val="both"/>
        <w:rPr>
          <w:rFonts w:ascii="Arial" w:hAnsi="Arial" w:cs="Arial"/>
          <w:sz w:val="18"/>
          <w:szCs w:val="18"/>
        </w:rPr>
      </w:pPr>
      <w:r>
        <w:rPr>
          <w:rFonts w:ascii="Arial" w:hAnsi="Arial"/>
          <w:sz w:val="18"/>
        </w:rPr>
        <w:t>Następujące surowce wtórne można uzyskiwać ze zużytych opon:</w:t>
      </w:r>
    </w:p>
    <w:p w14:paraId="06550F9B" w14:textId="34B2435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proofErr w:type="gramStart"/>
      <w:r>
        <w:rPr>
          <w:rFonts w:ascii="Arial" w:hAnsi="Arial"/>
          <w:sz w:val="18"/>
        </w:rPr>
        <w:t>miał</w:t>
      </w:r>
      <w:proofErr w:type="gramEnd"/>
      <w:r>
        <w:rPr>
          <w:rFonts w:ascii="Arial" w:hAnsi="Arial"/>
          <w:sz w:val="18"/>
        </w:rPr>
        <w:t xml:space="preserve"> gumowy: materiał gumowy uzyskiwany przez kruszenie zużytych opon, w wyniku którego uzyskuje się cząstki o rozmiarze do 0,8 mm;</w:t>
      </w:r>
    </w:p>
    <w:p w14:paraId="08446B34" w14:textId="330C7D69"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proofErr w:type="gramStart"/>
      <w:r>
        <w:rPr>
          <w:rFonts w:ascii="Arial" w:hAnsi="Arial"/>
          <w:sz w:val="18"/>
        </w:rPr>
        <w:t>granulat</w:t>
      </w:r>
      <w:proofErr w:type="gramEnd"/>
      <w:r>
        <w:rPr>
          <w:rFonts w:ascii="Arial" w:hAnsi="Arial"/>
          <w:sz w:val="18"/>
        </w:rPr>
        <w:t xml:space="preserve"> gumowy: materiał gumowy uzyskiwany przez granulowanie zużytych opon, w wyniku którego uzyskuje się cząstki o rozmiarze 0,9–20 mm; </w:t>
      </w:r>
    </w:p>
    <w:p w14:paraId="43D15EB7" w14:textId="2CBC7E4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proofErr w:type="gramStart"/>
      <w:r>
        <w:rPr>
          <w:rFonts w:ascii="Arial" w:hAnsi="Arial"/>
          <w:sz w:val="18"/>
        </w:rPr>
        <w:t>ściółka</w:t>
      </w:r>
      <w:proofErr w:type="gramEnd"/>
      <w:r>
        <w:rPr>
          <w:rFonts w:ascii="Arial" w:hAnsi="Arial"/>
          <w:sz w:val="18"/>
        </w:rPr>
        <w:t xml:space="preserve"> gumowa: materiał gumowy otrzymywany przez rozdrabnianie, kruszenie lub strzępienie zużytych opon, w wyniku którego uzyskuje się cząstki o nieregularnym kształcie w rozmiarze 10–50 mm. Dozwolona jest domieszka materiałów włókienniczych; </w:t>
      </w:r>
    </w:p>
    <w:p w14:paraId="522B6E7E" w14:textId="216598D1"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proofErr w:type="gramStart"/>
      <w:r>
        <w:rPr>
          <w:rFonts w:ascii="Arial" w:hAnsi="Arial"/>
          <w:sz w:val="18"/>
        </w:rPr>
        <w:t>guma</w:t>
      </w:r>
      <w:proofErr w:type="gramEnd"/>
      <w:r>
        <w:rPr>
          <w:rFonts w:ascii="Arial" w:hAnsi="Arial"/>
          <w:sz w:val="18"/>
        </w:rPr>
        <w:t xml:space="preserve"> kruszona: materiał gumowy uzyskiwany przez rozdrabnianie, kruszenie lub strzępienie zużytych opon, w wyniku którego uzyskuje się cząstki o nieregularnym kształcie w rozmiarze głównie od 50 do 300 mm. Dozwolona jest domieszka metalowych drutów i materiałów włókienniczych;</w:t>
      </w:r>
    </w:p>
    <w:p w14:paraId="673AB3B5" w14:textId="61406F9C"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proofErr w:type="gramStart"/>
      <w:r>
        <w:rPr>
          <w:rFonts w:ascii="Arial" w:hAnsi="Arial"/>
          <w:sz w:val="18"/>
        </w:rPr>
        <w:t>ścinki</w:t>
      </w:r>
      <w:proofErr w:type="gramEnd"/>
      <w:r>
        <w:rPr>
          <w:rFonts w:ascii="Arial" w:hAnsi="Arial"/>
          <w:sz w:val="18"/>
        </w:rPr>
        <w:t xml:space="preserve"> gumowe: materiał gumowy uzyskiwany przez rozdrabnianie, kruszenie lub strzępienie zużytych opon, w wyniku którego uzyskuje się cząstki o nieregularnym kształcie w rozmiarze głównie od 300 do 500 mm. Dozwolona jest domieszka metalowych drutów i materiałów włókienniczych.</w:t>
      </w:r>
    </w:p>
    <w:p w14:paraId="389623F8" w14:textId="05737329" w:rsidR="00BB0531" w:rsidRPr="00EE4F56" w:rsidRDefault="00565BE4" w:rsidP="00565BE4">
      <w:pPr>
        <w:pStyle w:val="NumPar1"/>
        <w:keepNext/>
        <w:keepLines/>
        <w:numPr>
          <w:ilvl w:val="0"/>
          <w:numId w:val="1"/>
        </w:numPr>
        <w:rPr>
          <w:rFonts w:ascii="Arial" w:hAnsi="Arial" w:cs="Arial"/>
          <w:sz w:val="18"/>
          <w:szCs w:val="18"/>
        </w:rPr>
      </w:pPr>
      <w:r>
        <w:rPr>
          <w:rFonts w:ascii="Arial" w:hAnsi="Arial"/>
          <w:sz w:val="18"/>
        </w:rPr>
        <w:t xml:space="preserve">Materiałów gumowych nie uznaje się za surowce wtórne, lecz za odpady, jeżeli są stosowane do </w:t>
      </w:r>
      <w:proofErr w:type="gramStart"/>
      <w:r>
        <w:rPr>
          <w:rFonts w:ascii="Arial" w:hAnsi="Arial"/>
          <w:sz w:val="18"/>
        </w:rPr>
        <w:t>następujących</w:t>
      </w:r>
      <w:proofErr w:type="gramEnd"/>
      <w:r>
        <w:rPr>
          <w:rFonts w:ascii="Arial" w:hAnsi="Arial"/>
          <w:sz w:val="18"/>
        </w:rPr>
        <w:t xml:space="preserve"> celów:</w:t>
      </w:r>
    </w:p>
    <w:p w14:paraId="72EEBFA7" w14:textId="77777777" w:rsidR="00BB0531" w:rsidRPr="00EE4F56" w:rsidRDefault="005770E0" w:rsidP="002C4FD9">
      <w:pPr>
        <w:pStyle w:val="NumPar1"/>
        <w:numPr>
          <w:ilvl w:val="1"/>
          <w:numId w:val="1"/>
        </w:numPr>
        <w:rPr>
          <w:rFonts w:ascii="Arial" w:hAnsi="Arial" w:cs="Arial"/>
          <w:sz w:val="18"/>
          <w:szCs w:val="18"/>
        </w:rPr>
      </w:pPr>
      <w:proofErr w:type="gramStart"/>
      <w:r>
        <w:rPr>
          <w:rFonts w:ascii="Arial" w:hAnsi="Arial"/>
          <w:sz w:val="18"/>
        </w:rPr>
        <w:t>spalania</w:t>
      </w:r>
      <w:proofErr w:type="gramEnd"/>
      <w:r>
        <w:rPr>
          <w:rFonts w:ascii="Arial" w:hAnsi="Arial"/>
          <w:sz w:val="18"/>
        </w:rPr>
        <w:t>, z odzyskiem energii lub bez;</w:t>
      </w:r>
    </w:p>
    <w:p w14:paraId="4C3B4C59" w14:textId="198943EB" w:rsidR="00BB0531" w:rsidRPr="00EE4F56" w:rsidRDefault="005770E0" w:rsidP="002C4FD9">
      <w:pPr>
        <w:pStyle w:val="NumPar1"/>
        <w:numPr>
          <w:ilvl w:val="1"/>
          <w:numId w:val="1"/>
        </w:numPr>
        <w:rPr>
          <w:rFonts w:ascii="Arial" w:hAnsi="Arial" w:cs="Arial"/>
          <w:sz w:val="18"/>
          <w:szCs w:val="18"/>
        </w:rPr>
      </w:pPr>
      <w:proofErr w:type="gramStart"/>
      <w:r>
        <w:rPr>
          <w:rFonts w:ascii="Arial" w:hAnsi="Arial"/>
          <w:sz w:val="18"/>
        </w:rPr>
        <w:t>pirolizy</w:t>
      </w:r>
      <w:proofErr w:type="gramEnd"/>
      <w:r>
        <w:rPr>
          <w:rFonts w:ascii="Arial" w:hAnsi="Arial"/>
          <w:sz w:val="18"/>
        </w:rPr>
        <w:t>, plazmolizy, zgazowania i innych procesów technologicznych, w ramach których fizyczne lub chemiczne właściwości materiałów gumowych ulegają zmianie;</w:t>
      </w:r>
    </w:p>
    <w:p w14:paraId="19ECD4B7" w14:textId="371489AD" w:rsidR="00BB0531"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składowania</w:t>
      </w:r>
      <w:proofErr w:type="gramEnd"/>
      <w:r>
        <w:rPr>
          <w:rFonts w:ascii="Arial" w:hAnsi="Arial"/>
          <w:sz w:val="18"/>
        </w:rPr>
        <w:t xml:space="preserve"> na wysypiskach lub przechowywania dłużej niż rok.</w:t>
      </w:r>
    </w:p>
    <w:p w14:paraId="39D31276" w14:textId="7C214E46" w:rsidR="00F43F5D" w:rsidRPr="00EE4F56" w:rsidRDefault="00565BE4" w:rsidP="00565BE4">
      <w:pPr>
        <w:pStyle w:val="NumPar1"/>
        <w:keepNext/>
        <w:keepLines/>
        <w:numPr>
          <w:ilvl w:val="0"/>
          <w:numId w:val="1"/>
        </w:numPr>
        <w:rPr>
          <w:rFonts w:ascii="Arial" w:hAnsi="Arial" w:cs="Arial"/>
          <w:sz w:val="18"/>
          <w:szCs w:val="18"/>
        </w:rPr>
      </w:pPr>
      <w:r>
        <w:rPr>
          <w:rFonts w:ascii="Arial" w:hAnsi="Arial"/>
          <w:sz w:val="18"/>
        </w:rPr>
        <w:t>Podmiot przetwarzający zużyte opony zapewnia, aby:</w:t>
      </w:r>
    </w:p>
    <w:p w14:paraId="51D52158" w14:textId="29D643C9" w:rsidR="009653E2" w:rsidRPr="00EE4F56" w:rsidRDefault="00565BE4" w:rsidP="00565BE4">
      <w:pPr>
        <w:pStyle w:val="NumPar1"/>
        <w:numPr>
          <w:ilvl w:val="1"/>
          <w:numId w:val="1"/>
        </w:numPr>
        <w:rPr>
          <w:rFonts w:ascii="Arial" w:eastAsia="SimSun" w:hAnsi="Arial" w:cs="Arial"/>
          <w:snapToGrid/>
          <w:sz w:val="18"/>
          <w:szCs w:val="18"/>
        </w:rPr>
      </w:pPr>
      <w:proofErr w:type="gramStart"/>
      <w:r>
        <w:rPr>
          <w:rFonts w:ascii="Arial" w:hAnsi="Arial"/>
          <w:snapToGrid/>
          <w:sz w:val="18"/>
        </w:rPr>
        <w:t>dla</w:t>
      </w:r>
      <w:proofErr w:type="gramEnd"/>
      <w:r>
        <w:rPr>
          <w:rFonts w:ascii="Arial" w:hAnsi="Arial"/>
          <w:snapToGrid/>
          <w:sz w:val="18"/>
        </w:rPr>
        <w:t xml:space="preserve"> każdej partii surowców wtórnych wypełniana była deklaracja wykazująca, że surowce wtórne spełniają kryteria zniesienia statusu odpadu określone w załączniku 1 do niniejszego rozporządzenia zgodnie z załącznikiem 2 do niego (zwana dalej „deklaracją zgodności”);</w:t>
      </w:r>
    </w:p>
    <w:p w14:paraId="28D93D0E" w14:textId="117C311A" w:rsidR="00AF72FA" w:rsidRPr="00EE4F56" w:rsidRDefault="005770E0" w:rsidP="002C4FD9">
      <w:pPr>
        <w:pStyle w:val="ListParagraph"/>
        <w:numPr>
          <w:ilvl w:val="1"/>
          <w:numId w:val="1"/>
        </w:numPr>
        <w:spacing w:before="120" w:after="120" w:line="240" w:lineRule="auto"/>
        <w:contextualSpacing w:val="0"/>
        <w:jc w:val="both"/>
        <w:rPr>
          <w:rFonts w:ascii="Arial" w:hAnsi="Arial" w:cs="Arial"/>
          <w:sz w:val="18"/>
          <w:szCs w:val="18"/>
        </w:rPr>
      </w:pPr>
      <w:proofErr w:type="gramStart"/>
      <w:r>
        <w:rPr>
          <w:rFonts w:ascii="Arial" w:hAnsi="Arial"/>
          <w:sz w:val="18"/>
        </w:rPr>
        <w:t>dokumentacja</w:t>
      </w:r>
      <w:proofErr w:type="gramEnd"/>
      <w:r>
        <w:rPr>
          <w:rFonts w:ascii="Arial" w:hAnsi="Arial"/>
          <w:sz w:val="18"/>
        </w:rPr>
        <w:t xml:space="preserve"> nadających się do recyklingu zużytych opon była prowadzona zgodnie ze zasadami i przepisami dotyczącymi oficjalnych form statystyk środowiskowych; </w:t>
      </w:r>
    </w:p>
    <w:p w14:paraId="786D0934" w14:textId="58A6CBBB" w:rsidR="009653E2"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lastRenderedPageBreak/>
        <w:t>podczas</w:t>
      </w:r>
      <w:proofErr w:type="gramEnd"/>
      <w:r>
        <w:rPr>
          <w:rFonts w:ascii="Arial" w:hAnsi="Arial"/>
          <w:sz w:val="18"/>
        </w:rPr>
        <w:t xml:space="preserve"> transportu każdej partii surowców wtórnych towarzyszyły wydruk deklaracji zgodności umożliwiający Państwowej Służbie Ochrony Środowiska Republiki Łotewskiej zażądanie, aby podmiot przetwarzający zużyte opony przedstawił oryginał deklaracji zgodności.</w:t>
      </w:r>
    </w:p>
    <w:p w14:paraId="49B3F50D" w14:textId="3BD9020A" w:rsidR="00380381" w:rsidRPr="00EE4F56" w:rsidRDefault="00565BE4" w:rsidP="00565BE4">
      <w:pPr>
        <w:pStyle w:val="NumPar1"/>
        <w:numPr>
          <w:ilvl w:val="0"/>
          <w:numId w:val="1"/>
        </w:numPr>
        <w:rPr>
          <w:rFonts w:ascii="Arial" w:hAnsi="Arial" w:cs="Arial"/>
          <w:sz w:val="18"/>
          <w:szCs w:val="18"/>
        </w:rPr>
      </w:pPr>
      <w:r>
        <w:rPr>
          <w:rFonts w:ascii="Arial" w:hAnsi="Arial"/>
          <w:sz w:val="18"/>
        </w:rPr>
        <w:t>Deklarację zgodności sporządza się elektronicznie zgodnie z zasadami i przepisami dotyczącymi dokumentów elektronicznych.</w:t>
      </w:r>
    </w:p>
    <w:p w14:paraId="0A20DC9F" w14:textId="49A390BE" w:rsidR="00565BE4" w:rsidRPr="00EE4F56" w:rsidRDefault="00565BE4" w:rsidP="00565BE4">
      <w:pPr>
        <w:pStyle w:val="NumPar1"/>
        <w:numPr>
          <w:ilvl w:val="0"/>
          <w:numId w:val="1"/>
        </w:numPr>
        <w:rPr>
          <w:rFonts w:ascii="Arial" w:hAnsi="Arial" w:cs="Arial"/>
          <w:sz w:val="18"/>
          <w:szCs w:val="18"/>
        </w:rPr>
      </w:pPr>
      <w:r>
        <w:rPr>
          <w:rFonts w:ascii="Arial" w:hAnsi="Arial"/>
          <w:sz w:val="18"/>
        </w:rPr>
        <w:t>Podmiot przetwarzający zużyte opony zachowuje deklarację zgodności przez 5 lat od daty jej wydania oraz przedstawia ją w ciągu 10 dni roboczych na żądanie właściwych organów odpowiedzialnych za gospodarowanie odpadami.</w:t>
      </w:r>
    </w:p>
    <w:p w14:paraId="291BE649" w14:textId="3A776A32" w:rsidR="009653E2" w:rsidRPr="00EE4F56" w:rsidRDefault="00565BE4" w:rsidP="00565BE4">
      <w:pPr>
        <w:pStyle w:val="NumPar1"/>
        <w:numPr>
          <w:ilvl w:val="0"/>
          <w:numId w:val="1"/>
        </w:numPr>
        <w:rPr>
          <w:rFonts w:ascii="Arial" w:hAnsi="Arial" w:cs="Arial"/>
          <w:sz w:val="18"/>
          <w:szCs w:val="18"/>
        </w:rPr>
      </w:pPr>
      <w:r>
        <w:rPr>
          <w:rFonts w:ascii="Arial" w:hAnsi="Arial"/>
          <w:sz w:val="18"/>
        </w:rPr>
        <w:t>Podmiot przetwarzający zużyte opony załącza do każdej partii surowców wtórnych specyfikację techniczną produktu.</w:t>
      </w:r>
    </w:p>
    <w:p w14:paraId="74EDE252" w14:textId="3B99B488" w:rsidR="00E40F3E" w:rsidRPr="00EE4F56" w:rsidRDefault="005770E0" w:rsidP="00565BE4">
      <w:pPr>
        <w:pStyle w:val="NumPar1"/>
        <w:numPr>
          <w:ilvl w:val="0"/>
          <w:numId w:val="1"/>
        </w:numPr>
        <w:rPr>
          <w:rFonts w:ascii="Arial" w:hAnsi="Arial" w:cs="Arial"/>
          <w:sz w:val="18"/>
          <w:szCs w:val="18"/>
        </w:rPr>
      </w:pPr>
      <w:r>
        <w:rPr>
          <w:rFonts w:ascii="Arial" w:hAnsi="Arial"/>
          <w:sz w:val="18"/>
        </w:rPr>
        <w:t>Osoba odpowiedzialna za przywóz surowców wtórnych na terytorium Łotwy zapewnia, aby podmiot przetwarzający zużyte opony załączał do każdej partii surowców wtórnych oświadczenie zawierające informacje o fizycznych i chemicznych właściwościach ładunku oraz dane podmiotu przetwarzającego zużyte opony.</w:t>
      </w:r>
    </w:p>
    <w:p w14:paraId="135C14D9" w14:textId="4C3291F3" w:rsidR="00E40F3E" w:rsidRPr="00EE4F56" w:rsidRDefault="00565BE4" w:rsidP="00565BE4">
      <w:pPr>
        <w:pStyle w:val="NumPar1"/>
        <w:numPr>
          <w:ilvl w:val="0"/>
          <w:numId w:val="1"/>
        </w:numPr>
        <w:rPr>
          <w:rFonts w:ascii="Arial" w:hAnsi="Arial" w:cs="Arial"/>
          <w:sz w:val="18"/>
          <w:szCs w:val="18"/>
        </w:rPr>
      </w:pPr>
      <w:r>
        <w:rPr>
          <w:rFonts w:ascii="Arial" w:hAnsi="Arial"/>
          <w:sz w:val="18"/>
        </w:rPr>
        <w:t>Osoba odpowiedzialna za przywóz surowców wtórnych na terytorium Łotwy zachowuje oświadczenie, o którym mowa w ust. 9 niniejszego rozporządzenia, przez 5 lat od daty jego sporządzenia oraz przedstawia je w ciągu 10 dni roboczych na żądanie właściwych organów odpowiedzialnych za gospodarowanie odpadami.</w:t>
      </w:r>
    </w:p>
    <w:p w14:paraId="2E5E440E" w14:textId="072B3AB0" w:rsidR="007F3ACF" w:rsidRPr="00EE4F56" w:rsidRDefault="00565BE4" w:rsidP="00565BE4">
      <w:pPr>
        <w:pStyle w:val="NumPar1"/>
        <w:numPr>
          <w:ilvl w:val="0"/>
          <w:numId w:val="1"/>
        </w:numPr>
        <w:rPr>
          <w:rFonts w:ascii="Arial" w:hAnsi="Arial" w:cs="Arial"/>
          <w:sz w:val="18"/>
          <w:szCs w:val="18"/>
        </w:rPr>
      </w:pPr>
      <w:r>
        <w:rPr>
          <w:rFonts w:ascii="Arial" w:hAnsi="Arial"/>
          <w:sz w:val="18"/>
        </w:rPr>
        <w:t>Podmiot przetwarzający zużyte opony wprowadza system zarządzania jakością, aby zagwarantować identyfikowalność przetwarzania zużytych opon. Podmiot przetwarzający zużyte opony przestrzega wymagań nabywcy surowców wtórnych odnośnie do jakości oraz fizycznych i chemicznych właściwości surowców wtórnych, określonych w specyfikacji technicznej nabywcy surowców wtórnych.</w:t>
      </w:r>
    </w:p>
    <w:p w14:paraId="71659623" w14:textId="1D6FD2D2" w:rsidR="007F3ACF" w:rsidRPr="00EE4F56" w:rsidRDefault="00565BE4" w:rsidP="00565BE4">
      <w:pPr>
        <w:pStyle w:val="NumPar1"/>
        <w:keepNext/>
        <w:keepLines/>
        <w:numPr>
          <w:ilvl w:val="0"/>
          <w:numId w:val="1"/>
        </w:numPr>
        <w:rPr>
          <w:rFonts w:ascii="Arial" w:hAnsi="Arial" w:cs="Arial"/>
          <w:sz w:val="18"/>
          <w:szCs w:val="18"/>
        </w:rPr>
      </w:pPr>
      <w:r>
        <w:rPr>
          <w:rFonts w:ascii="Arial" w:hAnsi="Arial"/>
          <w:sz w:val="18"/>
        </w:rPr>
        <w:t>System zarządzania jakością obejmuje szczegółowy opis przetwarzania zużytych opon zawierający następujące informacje:</w:t>
      </w:r>
    </w:p>
    <w:p w14:paraId="613DC0BD" w14:textId="3D66A01D" w:rsidR="007F3ACF"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opis</w:t>
      </w:r>
      <w:proofErr w:type="gramEnd"/>
      <w:r>
        <w:rPr>
          <w:rFonts w:ascii="Arial" w:hAnsi="Arial"/>
          <w:sz w:val="18"/>
        </w:rPr>
        <w:t xml:space="preserve"> monitorowania jakości przetwarzania zużytych opon zgodnie z załącznikiem 1 do niniejszego rozporządzenia;</w:t>
      </w:r>
    </w:p>
    <w:p w14:paraId="1917EE9A" w14:textId="53719853" w:rsidR="007F3ACF"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zastosowane</w:t>
      </w:r>
      <w:proofErr w:type="gramEnd"/>
      <w:r>
        <w:rPr>
          <w:rFonts w:ascii="Arial" w:hAnsi="Arial"/>
          <w:sz w:val="18"/>
        </w:rPr>
        <w:t xml:space="preserve"> metody pobierania próbek, testy fizyczne i chemiczne próbek, oznakowanie surowców wtórnych, opis procesów pakowania i przechowywania;</w:t>
      </w:r>
    </w:p>
    <w:p w14:paraId="4629388D" w14:textId="455AFCE6" w:rsidR="007F3ACF"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kryteria</w:t>
      </w:r>
      <w:proofErr w:type="gramEnd"/>
      <w:r>
        <w:rPr>
          <w:rFonts w:ascii="Arial" w:hAnsi="Arial"/>
          <w:sz w:val="18"/>
        </w:rPr>
        <w:t xml:space="preserve"> zgodności zużytych opon, rodzaje środków kontroli mających na celu ocenę zużytych opon pod kątem zgodności oraz metody dokumentowania rezultatów kontroli;</w:t>
      </w:r>
    </w:p>
    <w:p w14:paraId="4E419FC7" w14:textId="4E331898" w:rsidR="00480951"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opis</w:t>
      </w:r>
      <w:proofErr w:type="gramEnd"/>
      <w:r>
        <w:rPr>
          <w:rFonts w:ascii="Arial" w:hAnsi="Arial"/>
          <w:sz w:val="18"/>
        </w:rPr>
        <w:t xml:space="preserve"> całego cyklu przetwarzania zużytych opon wraz z późniejszym gospodarowaniem odpadami powstałymi podczas przetwarzania i ich przechowywaniem oraz informacje o potencjalnej sprzedaży surowców wtórnych;</w:t>
      </w:r>
    </w:p>
    <w:p w14:paraId="469B7188" w14:textId="074B0FBC" w:rsidR="00480951"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kryteria</w:t>
      </w:r>
      <w:proofErr w:type="gramEnd"/>
      <w:r>
        <w:rPr>
          <w:rFonts w:ascii="Arial" w:hAnsi="Arial"/>
          <w:sz w:val="18"/>
        </w:rPr>
        <w:t xml:space="preserve"> zgodności jakościowej surowców wtórnych oraz kryteria samokontroli zgodnie z załącznikiem 1 do niniejszego rozporządzenia;</w:t>
      </w:r>
    </w:p>
    <w:p w14:paraId="4098FDC1" w14:textId="5E9725DF" w:rsidR="00480951"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listę</w:t>
      </w:r>
      <w:proofErr w:type="gramEnd"/>
      <w:r>
        <w:rPr>
          <w:rFonts w:ascii="Arial" w:hAnsi="Arial"/>
          <w:sz w:val="18"/>
        </w:rPr>
        <w:t xml:space="preserve"> pracowników podmiotu przetwarzającego zużyte opony, którzy odpowiadają za każdy etap przetwarzania zużytych opon;</w:t>
      </w:r>
    </w:p>
    <w:p w14:paraId="484BA343" w14:textId="1A535465" w:rsidR="007F3ACF" w:rsidRPr="00EE4F56" w:rsidRDefault="00565BE4" w:rsidP="00565BE4">
      <w:pPr>
        <w:pStyle w:val="NumPar1"/>
        <w:numPr>
          <w:ilvl w:val="1"/>
          <w:numId w:val="1"/>
        </w:numPr>
        <w:rPr>
          <w:rFonts w:ascii="Arial" w:hAnsi="Arial" w:cs="Arial"/>
          <w:sz w:val="18"/>
          <w:szCs w:val="18"/>
        </w:rPr>
      </w:pPr>
      <w:proofErr w:type="gramStart"/>
      <w:r>
        <w:rPr>
          <w:rFonts w:ascii="Arial" w:hAnsi="Arial"/>
          <w:sz w:val="18"/>
        </w:rPr>
        <w:t>potencjalną</w:t>
      </w:r>
      <w:proofErr w:type="gramEnd"/>
      <w:r>
        <w:rPr>
          <w:rFonts w:ascii="Arial" w:hAnsi="Arial"/>
          <w:sz w:val="18"/>
        </w:rPr>
        <w:t xml:space="preserve"> wielkość przetwarzania zużytych opon.</w:t>
      </w:r>
    </w:p>
    <w:p w14:paraId="3FD89920" w14:textId="523E5EB5" w:rsidR="00A31DB8" w:rsidRPr="00EE4F56" w:rsidRDefault="00565BE4" w:rsidP="00565BE4">
      <w:pPr>
        <w:pStyle w:val="NumPar1"/>
        <w:numPr>
          <w:ilvl w:val="0"/>
          <w:numId w:val="1"/>
        </w:numPr>
        <w:snapToGrid w:val="0"/>
        <w:rPr>
          <w:rFonts w:ascii="Arial" w:hAnsi="Arial" w:cs="Arial"/>
          <w:sz w:val="18"/>
          <w:szCs w:val="18"/>
        </w:rPr>
      </w:pPr>
      <w:r>
        <w:rPr>
          <w:rFonts w:ascii="Arial" w:hAnsi="Arial"/>
          <w:sz w:val="18"/>
        </w:rPr>
        <w:t>Podmiot przetwarzający zużyte opony zachowuje informacje określone w par. 12 niniejszego rozporządzenia przez 5 lat od przyjęcia stosownej partii surowców wtórnych.</w:t>
      </w:r>
    </w:p>
    <w:p w14:paraId="47FF1256" w14:textId="25E899E6" w:rsidR="007F3ACF" w:rsidRPr="00EE4F56" w:rsidRDefault="00565BE4" w:rsidP="00565BE4">
      <w:pPr>
        <w:pStyle w:val="NumPar1"/>
        <w:numPr>
          <w:ilvl w:val="0"/>
          <w:numId w:val="1"/>
        </w:numPr>
        <w:snapToGrid w:val="0"/>
        <w:rPr>
          <w:rFonts w:ascii="Arial" w:hAnsi="Arial" w:cs="Arial"/>
          <w:sz w:val="18"/>
          <w:szCs w:val="18"/>
        </w:rPr>
      </w:pPr>
      <w:r>
        <w:rPr>
          <w:rFonts w:ascii="Arial" w:hAnsi="Arial"/>
          <w:sz w:val="18"/>
        </w:rPr>
        <w:t>Podmiot przetwarzający zużyte opony wykonuje przegląd systemu zarządzania jakością każdego roku, a także wtedy, gdy dokonywane są istotne zmiany w procesach technologicznych pozyskiwania surowców wtórnych bądź gdy fizyczne lub chemiczne właściwości surowców wtórnych ulegają zmianie.</w:t>
      </w:r>
    </w:p>
    <w:p w14:paraId="75E15CC2" w14:textId="23425DAE" w:rsidR="00361744" w:rsidRPr="00EE4F56" w:rsidRDefault="00565BE4" w:rsidP="00565BE4">
      <w:pPr>
        <w:pStyle w:val="NumPar1"/>
        <w:numPr>
          <w:ilvl w:val="0"/>
          <w:numId w:val="1"/>
        </w:numPr>
        <w:rPr>
          <w:rFonts w:ascii="Arial" w:hAnsi="Arial" w:cs="Arial"/>
          <w:sz w:val="18"/>
          <w:szCs w:val="18"/>
        </w:rPr>
      </w:pPr>
      <w:r>
        <w:rPr>
          <w:rFonts w:ascii="Arial" w:hAnsi="Arial"/>
          <w:sz w:val="18"/>
        </w:rPr>
        <w:t>Na pisemne żądanie właściwych organów odpowiedzialnych za gospodarowanie odpadami podmiot przetwarzający zużyte opony lub osoba odpowiedzialna za przywóz surowców wtórnych na terytorium Łotwy zapewnia dostęp do wszystkich obszarów, pomieszczeń i dokumentów związanych z przetwarzaniem i przechowywaniem zużytych opon w celu ich oceny pod kątem zgodności z wymaganiami określonymi w niniejszym rozporządzeniu.</w:t>
      </w:r>
    </w:p>
    <w:p w14:paraId="5A891589" w14:textId="735B2B58" w:rsidR="00E83F91" w:rsidRPr="00EE4F56" w:rsidRDefault="00565BE4" w:rsidP="00565BE4">
      <w:pPr>
        <w:pStyle w:val="NumPar1"/>
        <w:numPr>
          <w:ilvl w:val="0"/>
          <w:numId w:val="1"/>
        </w:numPr>
        <w:rPr>
          <w:rFonts w:ascii="Arial" w:hAnsi="Arial" w:cs="Arial"/>
          <w:sz w:val="18"/>
          <w:szCs w:val="18"/>
        </w:rPr>
      </w:pPr>
      <w:r>
        <w:rPr>
          <w:rFonts w:ascii="Arial" w:hAnsi="Arial"/>
          <w:sz w:val="18"/>
        </w:rPr>
        <w:t>Podmiot przetwarzający zużyte opony informuje nabywcę surowców wtórnych o tym, że zużyte opony są przetwarzane w ramach systemu zarządzania jakością.</w:t>
      </w:r>
    </w:p>
    <w:p w14:paraId="21ADDD4B" w14:textId="2365971E" w:rsidR="00E83F91" w:rsidRPr="00EE4F56" w:rsidRDefault="00565BE4" w:rsidP="00565BE4">
      <w:pPr>
        <w:pStyle w:val="NumPar1"/>
        <w:numPr>
          <w:ilvl w:val="0"/>
          <w:numId w:val="1"/>
        </w:numPr>
        <w:snapToGrid w:val="0"/>
        <w:rPr>
          <w:rFonts w:ascii="Arial" w:hAnsi="Arial" w:cs="Arial"/>
          <w:sz w:val="18"/>
          <w:szCs w:val="18"/>
        </w:rPr>
      </w:pPr>
      <w:r>
        <w:rPr>
          <w:rFonts w:ascii="Arial" w:hAnsi="Arial"/>
          <w:sz w:val="18"/>
        </w:rPr>
        <w:t>Jeżeli w przypadku importu materiałów gumowych uzyskanych ze zużytych opon właściwe organy kraju wysyłki i kraju przeznaczenia nie mogą zgodzić się co do klasyfikacji materiału gumowego, stosuje się art. 28 ust. 1 rozporządzenia (WE) nr 1013/2016 Parlamentu Europejskiego i Rady z dnia 14 czerwca 2006 r. w sprawie przemieszczania odpadów.</w:t>
      </w:r>
    </w:p>
    <w:p w14:paraId="76071F60" w14:textId="244EBA92" w:rsidR="00565BE4" w:rsidRPr="00EE4F56" w:rsidRDefault="00565BE4" w:rsidP="00EE4F56">
      <w:pPr>
        <w:keepNext/>
        <w:spacing w:before="120" w:after="120" w:line="240" w:lineRule="auto"/>
        <w:jc w:val="center"/>
        <w:rPr>
          <w:rFonts w:ascii="Arial" w:hAnsi="Arial" w:cs="Arial"/>
          <w:b/>
          <w:sz w:val="18"/>
          <w:szCs w:val="18"/>
        </w:rPr>
      </w:pPr>
      <w:r>
        <w:rPr>
          <w:rFonts w:ascii="Arial" w:hAnsi="Arial"/>
          <w:b/>
          <w:sz w:val="18"/>
        </w:rPr>
        <w:t>Odniesienia do dyrektyw Unii Europejskiej</w:t>
      </w:r>
    </w:p>
    <w:p w14:paraId="0A4B9838" w14:textId="0C6C33F6" w:rsidR="00565BE4" w:rsidRPr="00EE4F56" w:rsidRDefault="00565BE4" w:rsidP="00565BE4">
      <w:pPr>
        <w:spacing w:before="120" w:after="120" w:line="240" w:lineRule="auto"/>
        <w:ind w:firstLine="360"/>
        <w:rPr>
          <w:rFonts w:ascii="Arial" w:hAnsi="Arial" w:cs="Arial"/>
          <w:sz w:val="18"/>
          <w:szCs w:val="18"/>
        </w:rPr>
      </w:pPr>
      <w:r>
        <w:rPr>
          <w:rFonts w:ascii="Arial" w:hAnsi="Arial"/>
          <w:sz w:val="18"/>
        </w:rPr>
        <w:t>Przepisy prawne są uzgadniane z Komisją Europejską i państwami członkowskimi Unii Europejskiej zgodnie z dyrektywą (UE) 2015/1535 Parlamentu Europejskiego i Rady z dnia 9 września 2015 r. ustanawiającą procedurę udzielania informacji w dziedzinie przepisów technicznych oraz zasad dotyczących usług społeczeństwa informacyjnego”.</w:t>
      </w:r>
    </w:p>
    <w:p w14:paraId="111B5704" w14:textId="04E7938A"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lastRenderedPageBreak/>
        <w:t>Premier</w:t>
      </w:r>
      <w:r>
        <w:rPr>
          <w:rFonts w:ascii="Arial" w:hAnsi="Arial"/>
          <w:i/>
          <w:sz w:val="18"/>
        </w:rPr>
        <w:tab/>
      </w:r>
      <w:proofErr w:type="spellStart"/>
      <w:r>
        <w:rPr>
          <w:rFonts w:ascii="Arial" w:hAnsi="Arial"/>
          <w:i/>
          <w:sz w:val="18"/>
        </w:rPr>
        <w:t>Māris</w:t>
      </w:r>
      <w:proofErr w:type="spellEnd"/>
      <w:r>
        <w:rPr>
          <w:rFonts w:ascii="Arial" w:hAnsi="Arial"/>
          <w:i/>
          <w:sz w:val="18"/>
        </w:rPr>
        <w:t xml:space="preserve"> </w:t>
      </w:r>
      <w:proofErr w:type="spellStart"/>
      <w:r>
        <w:rPr>
          <w:rFonts w:ascii="Arial" w:hAnsi="Arial"/>
          <w:i/>
          <w:sz w:val="18"/>
        </w:rPr>
        <w:t>Kučinskis</w:t>
      </w:r>
      <w:proofErr w:type="spellEnd"/>
    </w:p>
    <w:p w14:paraId="3BF184A1" w14:textId="66E75894"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 xml:space="preserve">Minister Ochrony Środowiska i Rozwoju Regionalnego </w:t>
      </w:r>
      <w:proofErr w:type="spellStart"/>
      <w:r>
        <w:rPr>
          <w:rFonts w:ascii="Arial" w:hAnsi="Arial"/>
          <w:i/>
          <w:sz w:val="18"/>
        </w:rPr>
        <w:t>Kaspars</w:t>
      </w:r>
      <w:proofErr w:type="spellEnd"/>
      <w:r>
        <w:rPr>
          <w:rFonts w:ascii="Arial" w:hAnsi="Arial"/>
          <w:i/>
          <w:sz w:val="18"/>
        </w:rPr>
        <w:t xml:space="preserve"> </w:t>
      </w:r>
      <w:proofErr w:type="spellStart"/>
      <w:r>
        <w:rPr>
          <w:rFonts w:ascii="Arial" w:hAnsi="Arial"/>
          <w:i/>
          <w:sz w:val="18"/>
        </w:rPr>
        <w:t>Gerhards</w:t>
      </w:r>
      <w:proofErr w:type="spellEnd"/>
    </w:p>
    <w:p w14:paraId="63DE9F70" w14:textId="458F70E2" w:rsidR="00220D38" w:rsidRPr="00EE4F56" w:rsidRDefault="00220D38" w:rsidP="00F37A47">
      <w:pPr>
        <w:keepNext/>
        <w:keepLines/>
        <w:spacing w:before="120" w:after="120" w:line="240" w:lineRule="auto"/>
        <w:jc w:val="right"/>
        <w:rPr>
          <w:rFonts w:ascii="Arial" w:hAnsi="Arial" w:cs="Arial"/>
          <w:sz w:val="18"/>
          <w:szCs w:val="18"/>
        </w:rPr>
      </w:pPr>
      <w:r>
        <w:rPr>
          <w:rFonts w:ascii="Arial" w:hAnsi="Arial"/>
          <w:sz w:val="18"/>
          <w:szCs w:val="18"/>
        </w:rPr>
        <w:t>Załącznik 1 do</w:t>
      </w:r>
      <w:r>
        <w:rPr>
          <w:rFonts w:ascii="Arial" w:hAnsi="Arial"/>
          <w:sz w:val="18"/>
        </w:rPr>
        <w:br/>
        <w:t>rozporządzenia Rady Ministrów nr 682</w:t>
      </w:r>
      <w:r>
        <w:rPr>
          <w:rFonts w:ascii="Arial" w:hAnsi="Arial"/>
          <w:sz w:val="18"/>
        </w:rPr>
        <w:br/>
        <w:t>z dnia 13 listopada 2018 r.</w:t>
      </w:r>
    </w:p>
    <w:p w14:paraId="6E977901" w14:textId="77777777" w:rsidR="00220D38" w:rsidRPr="00EE4F5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EE4F56" w:rsidRDefault="00811273" w:rsidP="00926EC8">
      <w:pPr>
        <w:keepNext/>
        <w:keepLines/>
        <w:spacing w:before="120" w:after="120" w:line="240" w:lineRule="auto"/>
        <w:jc w:val="center"/>
        <w:rPr>
          <w:rFonts w:ascii="Arial" w:hAnsi="Arial" w:cs="Arial"/>
          <w:b/>
          <w:sz w:val="24"/>
          <w:szCs w:val="24"/>
        </w:rPr>
      </w:pPr>
      <w:r>
        <w:rPr>
          <w:rFonts w:ascii="Arial" w:hAnsi="Arial"/>
          <w:b/>
          <w:sz w:val="24"/>
        </w:rPr>
        <w:t>Kryteria zniesienia statusu odpadu w odniesieniu do materiałów gumowych uzyskiwanych ze zużytych opon</w:t>
      </w:r>
    </w:p>
    <w:p w14:paraId="3A07F18D" w14:textId="77777777" w:rsidR="00926EC8" w:rsidRPr="00EE4F56" w:rsidRDefault="00926EC8" w:rsidP="00926EC8">
      <w:pPr>
        <w:keepNext/>
        <w:keepLines/>
        <w:spacing w:before="120" w:after="120" w:line="240" w:lineRule="auto"/>
        <w:jc w:val="center"/>
        <w:rPr>
          <w:rFonts w:ascii="Arial" w:hAnsi="Arial" w:cs="Arial"/>
          <w:b/>
          <w:sz w:val="18"/>
          <w:szCs w:val="18"/>
        </w:rPr>
      </w:pPr>
    </w:p>
    <w:tbl>
      <w:tblPr>
        <w:tblStyle w:val="TableGrid"/>
        <w:tblW w:w="0" w:type="auto"/>
        <w:tblLook w:val="04A0" w:firstRow="1" w:lastRow="0" w:firstColumn="1" w:lastColumn="0" w:noHBand="0" w:noVBand="1"/>
      </w:tblPr>
      <w:tblGrid>
        <w:gridCol w:w="895"/>
        <w:gridCol w:w="4500"/>
        <w:gridCol w:w="3660"/>
      </w:tblGrid>
      <w:tr w:rsidR="00C073D2" w:rsidRPr="00EE4F56" w14:paraId="13A49071" w14:textId="77777777" w:rsidTr="00457E36">
        <w:tc>
          <w:tcPr>
            <w:tcW w:w="895" w:type="dxa"/>
          </w:tcPr>
          <w:p w14:paraId="1BA90B1F" w14:textId="5E5E0C31" w:rsidR="00C073D2" w:rsidRPr="00EE4F56" w:rsidRDefault="00C073D2" w:rsidP="00EE4F56">
            <w:pPr>
              <w:keepNext/>
              <w:spacing w:after="0" w:line="240" w:lineRule="auto"/>
              <w:rPr>
                <w:rFonts w:ascii="Arial" w:hAnsi="Arial" w:cs="Arial"/>
                <w:sz w:val="18"/>
                <w:szCs w:val="18"/>
              </w:rPr>
            </w:pPr>
            <w:r>
              <w:rPr>
                <w:rFonts w:ascii="Arial" w:hAnsi="Arial"/>
                <w:sz w:val="18"/>
              </w:rPr>
              <w:t>Nr seryjny</w:t>
            </w:r>
          </w:p>
        </w:tc>
        <w:tc>
          <w:tcPr>
            <w:tcW w:w="4500" w:type="dxa"/>
          </w:tcPr>
          <w:p w14:paraId="3F1C7675" w14:textId="0C4E0112" w:rsidR="00C073D2" w:rsidRPr="00EE4F56" w:rsidRDefault="00C073D2" w:rsidP="00EE4F56">
            <w:pPr>
              <w:keepNext/>
              <w:spacing w:after="0" w:line="240" w:lineRule="auto"/>
              <w:rPr>
                <w:rFonts w:ascii="Arial" w:hAnsi="Arial" w:cs="Arial"/>
                <w:sz w:val="18"/>
                <w:szCs w:val="18"/>
              </w:rPr>
            </w:pPr>
            <w:r>
              <w:rPr>
                <w:rFonts w:ascii="Arial" w:hAnsi="Arial"/>
                <w:sz w:val="18"/>
              </w:rPr>
              <w:t>Kryteria zniesienia statusu odpadu</w:t>
            </w:r>
          </w:p>
        </w:tc>
        <w:tc>
          <w:tcPr>
            <w:tcW w:w="3660" w:type="dxa"/>
          </w:tcPr>
          <w:p w14:paraId="41F94A4F" w14:textId="2A896D83" w:rsidR="00C073D2" w:rsidRPr="00EE4F56" w:rsidRDefault="00457E36" w:rsidP="00EE4F56">
            <w:pPr>
              <w:keepNext/>
              <w:spacing w:after="0" w:line="240" w:lineRule="auto"/>
              <w:rPr>
                <w:rFonts w:ascii="Arial" w:hAnsi="Arial" w:cs="Arial"/>
                <w:sz w:val="18"/>
                <w:szCs w:val="18"/>
              </w:rPr>
            </w:pPr>
            <w:r>
              <w:rPr>
                <w:rFonts w:ascii="Arial" w:hAnsi="Arial"/>
                <w:sz w:val="18"/>
              </w:rPr>
              <w:t>Kryteria samokontroli</w:t>
            </w:r>
          </w:p>
        </w:tc>
      </w:tr>
      <w:tr w:rsidR="0092066C" w:rsidRPr="00EE4F56" w14:paraId="2D4DE908" w14:textId="77777777" w:rsidTr="00457E36">
        <w:tc>
          <w:tcPr>
            <w:tcW w:w="895" w:type="dxa"/>
          </w:tcPr>
          <w:p w14:paraId="2B460D6D" w14:textId="5906950E" w:rsidR="0092066C" w:rsidRPr="00EE4F56" w:rsidRDefault="0092066C" w:rsidP="00457E36">
            <w:pPr>
              <w:spacing w:after="0" w:line="240" w:lineRule="auto"/>
              <w:rPr>
                <w:rFonts w:ascii="Arial" w:hAnsi="Arial" w:cs="Arial"/>
                <w:sz w:val="18"/>
                <w:szCs w:val="18"/>
              </w:rPr>
            </w:pPr>
            <w:r>
              <w:rPr>
                <w:rFonts w:ascii="Arial" w:hAnsi="Arial"/>
                <w:sz w:val="18"/>
              </w:rPr>
              <w:t>1.</w:t>
            </w:r>
          </w:p>
        </w:tc>
        <w:tc>
          <w:tcPr>
            <w:tcW w:w="4500" w:type="dxa"/>
          </w:tcPr>
          <w:p w14:paraId="397DE84A" w14:textId="353A33F4" w:rsidR="0092066C" w:rsidRPr="00EE4F56" w:rsidRDefault="0092066C" w:rsidP="00457E36">
            <w:pPr>
              <w:spacing w:after="0" w:line="240" w:lineRule="auto"/>
              <w:rPr>
                <w:rFonts w:ascii="Arial" w:hAnsi="Arial" w:cs="Arial"/>
                <w:sz w:val="18"/>
                <w:szCs w:val="18"/>
              </w:rPr>
            </w:pPr>
            <w:r>
              <w:rPr>
                <w:rFonts w:ascii="Arial" w:hAnsi="Arial"/>
                <w:sz w:val="18"/>
              </w:rPr>
              <w:t>Wymagania jakościowe dla materiałów gumowych uzyskiwanych ze zużytych opon w drodze obróbki mechanicznej:</w:t>
            </w:r>
          </w:p>
        </w:tc>
        <w:tc>
          <w:tcPr>
            <w:tcW w:w="3660" w:type="dxa"/>
            <w:vMerge w:val="restart"/>
          </w:tcPr>
          <w:p w14:paraId="7BBF54CE" w14:textId="77777777" w:rsidR="0092066C" w:rsidRPr="00EE4F56" w:rsidRDefault="00457E36" w:rsidP="00457E36">
            <w:pPr>
              <w:spacing w:after="0" w:line="240" w:lineRule="auto"/>
              <w:rPr>
                <w:rFonts w:ascii="Arial" w:hAnsi="Arial" w:cs="Arial"/>
                <w:sz w:val="18"/>
                <w:szCs w:val="18"/>
              </w:rPr>
            </w:pPr>
            <w:r>
              <w:rPr>
                <w:rFonts w:ascii="Arial" w:hAnsi="Arial"/>
                <w:sz w:val="18"/>
              </w:rPr>
              <w:t>Jakość materiałów gumowych ocenia się poprzez:</w:t>
            </w:r>
          </w:p>
          <w:p w14:paraId="5373921E" w14:textId="77777777" w:rsidR="00457E36" w:rsidRPr="00EE4F56" w:rsidRDefault="00457E36" w:rsidP="00457E36">
            <w:pPr>
              <w:spacing w:after="0" w:line="240" w:lineRule="auto"/>
              <w:rPr>
                <w:rFonts w:ascii="Arial" w:hAnsi="Arial" w:cs="Arial"/>
                <w:sz w:val="18"/>
                <w:szCs w:val="18"/>
              </w:rPr>
            </w:pPr>
            <w:r>
              <w:rPr>
                <w:rFonts w:ascii="Arial" w:hAnsi="Arial"/>
                <w:sz w:val="18"/>
              </w:rPr>
              <w:t>-</w:t>
            </w:r>
            <w:r>
              <w:rPr>
                <w:rFonts w:ascii="Arial" w:hAnsi="Arial"/>
                <w:sz w:val="18"/>
              </w:rPr>
              <w:tab/>
              <w:t>oględziny</w:t>
            </w:r>
          </w:p>
          <w:p w14:paraId="5FC028C4" w14:textId="77777777" w:rsidR="00457E36" w:rsidRPr="00EE4F56" w:rsidRDefault="00457E36" w:rsidP="00457E36">
            <w:pPr>
              <w:spacing w:after="0" w:line="240" w:lineRule="auto"/>
              <w:rPr>
                <w:rFonts w:ascii="Arial" w:hAnsi="Arial" w:cs="Arial"/>
                <w:sz w:val="18"/>
                <w:szCs w:val="18"/>
              </w:rPr>
            </w:pPr>
            <w:r>
              <w:rPr>
                <w:rFonts w:ascii="Arial" w:hAnsi="Arial"/>
                <w:sz w:val="18"/>
              </w:rPr>
              <w:t>•</w:t>
            </w:r>
            <w:r>
              <w:rPr>
                <w:rFonts w:ascii="Arial" w:hAnsi="Arial"/>
                <w:sz w:val="18"/>
              </w:rPr>
              <w:tab/>
              <w:t>właściwości fizyczne i chemiczne: za pomocą sprawozdań z badań laboratoryjnych, łącznie z tymi uwzględnionymi w specyfikacjach technicznych nabywców surowców wtórnych. Na żądanie nabywcy surowców wtórnych mogą zostać przeprowadzone inne badania laboratoryjne zgodnie z dodatkowymi specyfikacjami nabywcy materiałów wtórnych.</w:t>
            </w:r>
          </w:p>
          <w:p w14:paraId="69E8DEB6" w14:textId="77777777" w:rsidR="00457E36" w:rsidRPr="00EE4F56" w:rsidRDefault="00457E36" w:rsidP="00457E36">
            <w:pPr>
              <w:spacing w:after="0" w:line="240" w:lineRule="auto"/>
              <w:rPr>
                <w:rFonts w:ascii="Arial" w:hAnsi="Arial" w:cs="Arial"/>
                <w:sz w:val="18"/>
                <w:szCs w:val="18"/>
              </w:rPr>
            </w:pPr>
            <w:r>
              <w:rPr>
                <w:rFonts w:ascii="Arial" w:hAnsi="Arial"/>
                <w:sz w:val="18"/>
              </w:rPr>
              <w:t>Dla każdego rodzaju surowca wtórnego uzyskanego ze zużytych opon przeprowadza się badania reprezentatywnych próbek.</w:t>
            </w:r>
          </w:p>
          <w:p w14:paraId="11203C7D" w14:textId="153A46CA" w:rsidR="00457E36" w:rsidRPr="00EE4F56" w:rsidRDefault="00457E36" w:rsidP="00457E36">
            <w:pPr>
              <w:spacing w:after="0" w:line="240" w:lineRule="auto"/>
              <w:rPr>
                <w:rFonts w:ascii="Arial" w:hAnsi="Arial" w:cs="Arial"/>
                <w:sz w:val="18"/>
                <w:szCs w:val="18"/>
              </w:rPr>
            </w:pPr>
            <w:r>
              <w:rPr>
                <w:rFonts w:ascii="Arial" w:hAnsi="Arial"/>
                <w:sz w:val="18"/>
              </w:rPr>
              <w:t>Reprezentatywne próbki uzyskuje się zgodnie z procedurą pobierania próbek uwzględnioną i szczegółowo opisaną w ramach systemu zarządzania jakością (np. stosowane metody pobierania próbek, częstotliwość pobierania próbek, rozmiar, rodzaje i liczba próbek, analiza statystyczna itp</w:t>
            </w:r>
            <w:proofErr w:type="gramStart"/>
            <w:r>
              <w:rPr>
                <w:rFonts w:ascii="Arial" w:hAnsi="Arial"/>
                <w:sz w:val="18"/>
              </w:rPr>
              <w:t>.). Właściwości</w:t>
            </w:r>
            <w:proofErr w:type="gramEnd"/>
            <w:r>
              <w:rPr>
                <w:rFonts w:ascii="Arial" w:hAnsi="Arial"/>
                <w:sz w:val="18"/>
              </w:rPr>
              <w:t xml:space="preserve"> fizyczne i chemiczne bada się w laboratorium.</w:t>
            </w:r>
          </w:p>
          <w:p w14:paraId="2E45229F" w14:textId="1CBD42AE" w:rsidR="00457E36" w:rsidRPr="00EE4F56" w:rsidRDefault="00457E36" w:rsidP="00457E36">
            <w:pPr>
              <w:spacing w:after="0" w:line="240" w:lineRule="auto"/>
              <w:rPr>
                <w:rFonts w:ascii="Arial" w:hAnsi="Arial" w:cs="Arial"/>
                <w:sz w:val="18"/>
                <w:szCs w:val="18"/>
              </w:rPr>
            </w:pPr>
            <w:r>
              <w:rPr>
                <w:rFonts w:ascii="Arial" w:hAnsi="Arial"/>
                <w:sz w:val="18"/>
              </w:rPr>
              <w:t>Kryteria zgodności surowców wtórnych określone w ust. 1 załącznika wprowadza się i opisuje w ramach stosowanego systemu zarządzania jakością.</w:t>
            </w:r>
          </w:p>
        </w:tc>
      </w:tr>
      <w:tr w:rsidR="0092066C" w:rsidRPr="00EE4F56" w14:paraId="22003AE0" w14:textId="77777777" w:rsidTr="00457E36">
        <w:tc>
          <w:tcPr>
            <w:tcW w:w="895" w:type="dxa"/>
          </w:tcPr>
          <w:p w14:paraId="20F1A562" w14:textId="07FED095" w:rsidR="0092066C" w:rsidRPr="00EE4F56" w:rsidRDefault="0092066C" w:rsidP="00457E36">
            <w:pPr>
              <w:spacing w:after="0" w:line="240" w:lineRule="auto"/>
              <w:rPr>
                <w:rFonts w:ascii="Arial" w:hAnsi="Arial" w:cs="Arial"/>
                <w:sz w:val="18"/>
                <w:szCs w:val="18"/>
              </w:rPr>
            </w:pPr>
            <w:r>
              <w:rPr>
                <w:rFonts w:ascii="Arial" w:hAnsi="Arial"/>
                <w:sz w:val="18"/>
              </w:rPr>
              <w:t>1.1</w:t>
            </w:r>
          </w:p>
        </w:tc>
        <w:tc>
          <w:tcPr>
            <w:tcW w:w="4500" w:type="dxa"/>
          </w:tcPr>
          <w:p w14:paraId="71627365" w14:textId="5A597E79" w:rsidR="0092066C" w:rsidRPr="00EE4F56" w:rsidRDefault="0092066C" w:rsidP="00B7715F">
            <w:pPr>
              <w:spacing w:after="0" w:line="240" w:lineRule="auto"/>
              <w:rPr>
                <w:rFonts w:ascii="Arial" w:hAnsi="Arial" w:cs="Arial"/>
                <w:sz w:val="18"/>
                <w:szCs w:val="18"/>
              </w:rPr>
            </w:pPr>
            <w:proofErr w:type="gramStart"/>
            <w:r>
              <w:rPr>
                <w:rFonts w:ascii="Arial" w:hAnsi="Arial"/>
                <w:sz w:val="18"/>
              </w:rPr>
              <w:t>nie</w:t>
            </w:r>
            <w:proofErr w:type="gramEnd"/>
            <w:r>
              <w:rPr>
                <w:rFonts w:ascii="Arial" w:hAnsi="Arial"/>
                <w:sz w:val="18"/>
              </w:rPr>
              <w:t xml:space="preserve"> wykazują właściwości niebezpiecznych, o których mowa w rozporządzeniu Komisji (UE) nr 1357/2014 z dnia 18 grudnia 2014 r. zastępującym załącznik III do dyrektywy Parlamentu Europejskiego i Rady 2008/98/WE w sprawie odpadów oraz uchylającej niektóre dyrektywy, oraz nie przekraczają dopuszczalnych wartości stężenia określonych w załączniku IV do rozporządzenia (WE) nr 850/2004 Parlamentu Europejskiego i Rady z dnia 29 kwietnia 2004 r. dotyczącego trwałych zanieczyszczeń organicznych i zmieniającego dyrektywę 79/117/EWG;</w:t>
            </w:r>
          </w:p>
        </w:tc>
        <w:tc>
          <w:tcPr>
            <w:tcW w:w="3660" w:type="dxa"/>
            <w:vMerge/>
          </w:tcPr>
          <w:p w14:paraId="68F1DEE1" w14:textId="77777777" w:rsidR="0092066C" w:rsidRPr="00EE4F56" w:rsidRDefault="0092066C" w:rsidP="00457E36">
            <w:pPr>
              <w:spacing w:after="0" w:line="240" w:lineRule="auto"/>
              <w:rPr>
                <w:rFonts w:ascii="Arial" w:hAnsi="Arial" w:cs="Arial"/>
                <w:sz w:val="18"/>
                <w:szCs w:val="18"/>
              </w:rPr>
            </w:pPr>
          </w:p>
        </w:tc>
      </w:tr>
      <w:tr w:rsidR="0092066C" w:rsidRPr="00EE4F56" w14:paraId="39061EA2" w14:textId="77777777" w:rsidTr="00457E36">
        <w:tc>
          <w:tcPr>
            <w:tcW w:w="895" w:type="dxa"/>
          </w:tcPr>
          <w:p w14:paraId="7DDF74BE" w14:textId="1922C9D1" w:rsidR="0092066C" w:rsidRPr="00EE4F56" w:rsidRDefault="0092066C" w:rsidP="00457E36">
            <w:pPr>
              <w:spacing w:after="0" w:line="240" w:lineRule="auto"/>
              <w:rPr>
                <w:rFonts w:ascii="Arial" w:hAnsi="Arial" w:cs="Arial"/>
                <w:sz w:val="18"/>
                <w:szCs w:val="18"/>
              </w:rPr>
            </w:pPr>
            <w:r>
              <w:rPr>
                <w:rFonts w:ascii="Arial" w:hAnsi="Arial"/>
                <w:sz w:val="18"/>
              </w:rPr>
              <w:t>1.2.</w:t>
            </w:r>
          </w:p>
        </w:tc>
        <w:tc>
          <w:tcPr>
            <w:tcW w:w="4500" w:type="dxa"/>
          </w:tcPr>
          <w:p w14:paraId="008EA745" w14:textId="5C4C4C5F" w:rsidR="0092066C" w:rsidRPr="00EE4F56" w:rsidRDefault="0092066C" w:rsidP="00457E36">
            <w:pPr>
              <w:spacing w:after="0" w:line="240" w:lineRule="auto"/>
              <w:rPr>
                <w:rFonts w:ascii="Arial" w:hAnsi="Arial" w:cs="Arial"/>
                <w:sz w:val="18"/>
                <w:szCs w:val="18"/>
              </w:rPr>
            </w:pPr>
            <w:proofErr w:type="gramStart"/>
            <w:r>
              <w:rPr>
                <w:rFonts w:ascii="Arial" w:hAnsi="Arial"/>
                <w:sz w:val="18"/>
              </w:rPr>
              <w:t>spełniają</w:t>
            </w:r>
            <w:proofErr w:type="gramEnd"/>
            <w:r>
              <w:rPr>
                <w:rFonts w:ascii="Arial" w:hAnsi="Arial"/>
                <w:sz w:val="18"/>
              </w:rPr>
              <w:t xml:space="preserve"> ograniczenia zawarte w art. 50 załącznika XVII do rozporządzenia (WE) nr 1907/2006 Parlamentu Europejskiego i Rady z dnia 18 grudnia 2006 r. w sprawie rejestracji, oceny, udzielania zezwoleń i stosowanych ograniczeń w zakresie chemikaliów (REACH), utworzenia Europejskiej Agencji Chemikaliów, zmieniającego dyrektywę 1999/45/WE oraz uchylającego rozporządzenie Rady (EWG) nr 793/93 i rozporządzenie Komisji (WE) nr 1488/94, jak również dyrektywę Rady 76/769/EWG i dyrektywy Komisji 91/155/EWG, 93/67/EWG, 93/105/WE i 2000/21/WE;</w:t>
            </w:r>
          </w:p>
        </w:tc>
        <w:tc>
          <w:tcPr>
            <w:tcW w:w="3660" w:type="dxa"/>
            <w:vMerge/>
          </w:tcPr>
          <w:p w14:paraId="7BB3BA7C" w14:textId="77777777" w:rsidR="0092066C" w:rsidRPr="00EE4F56" w:rsidRDefault="0092066C" w:rsidP="00457E36">
            <w:pPr>
              <w:spacing w:after="0" w:line="240" w:lineRule="auto"/>
              <w:rPr>
                <w:rFonts w:ascii="Arial" w:hAnsi="Arial" w:cs="Arial"/>
                <w:sz w:val="18"/>
                <w:szCs w:val="18"/>
              </w:rPr>
            </w:pPr>
          </w:p>
        </w:tc>
      </w:tr>
      <w:tr w:rsidR="0092066C" w:rsidRPr="00EE4F56" w14:paraId="31CC99BE" w14:textId="77777777" w:rsidTr="00457E36">
        <w:tc>
          <w:tcPr>
            <w:tcW w:w="895" w:type="dxa"/>
          </w:tcPr>
          <w:p w14:paraId="3AD20E55" w14:textId="66A523E0" w:rsidR="0092066C" w:rsidRPr="00EE4F56" w:rsidRDefault="0092066C" w:rsidP="00457E36">
            <w:pPr>
              <w:spacing w:after="0" w:line="240" w:lineRule="auto"/>
              <w:rPr>
                <w:rFonts w:ascii="Arial" w:hAnsi="Arial" w:cs="Arial"/>
                <w:sz w:val="18"/>
                <w:szCs w:val="18"/>
              </w:rPr>
            </w:pPr>
            <w:r>
              <w:rPr>
                <w:rFonts w:ascii="Arial" w:hAnsi="Arial"/>
                <w:sz w:val="18"/>
              </w:rPr>
              <w:t>1.3.</w:t>
            </w:r>
          </w:p>
        </w:tc>
        <w:tc>
          <w:tcPr>
            <w:tcW w:w="4500" w:type="dxa"/>
          </w:tcPr>
          <w:p w14:paraId="277CB8C9" w14:textId="43031A50" w:rsidR="0092066C" w:rsidRPr="00EE4F56" w:rsidRDefault="0092066C" w:rsidP="00457E36">
            <w:pPr>
              <w:spacing w:after="0" w:line="240" w:lineRule="auto"/>
              <w:rPr>
                <w:rFonts w:ascii="Arial" w:hAnsi="Arial" w:cs="Arial"/>
                <w:sz w:val="18"/>
                <w:szCs w:val="18"/>
              </w:rPr>
            </w:pPr>
            <w:proofErr w:type="gramStart"/>
            <w:r>
              <w:rPr>
                <w:rFonts w:ascii="Arial" w:hAnsi="Arial"/>
                <w:sz w:val="18"/>
              </w:rPr>
              <w:t>nie</w:t>
            </w:r>
            <w:proofErr w:type="gramEnd"/>
            <w:r>
              <w:rPr>
                <w:rFonts w:ascii="Arial" w:hAnsi="Arial"/>
                <w:sz w:val="18"/>
              </w:rPr>
              <w:t xml:space="preserve"> zawierają zauważalnych ilości oleju i smarów;</w:t>
            </w:r>
          </w:p>
        </w:tc>
        <w:tc>
          <w:tcPr>
            <w:tcW w:w="3660" w:type="dxa"/>
            <w:vMerge/>
          </w:tcPr>
          <w:p w14:paraId="76C9ABB1" w14:textId="77777777" w:rsidR="0092066C" w:rsidRPr="00EE4F56" w:rsidRDefault="0092066C" w:rsidP="00457E36">
            <w:pPr>
              <w:spacing w:after="0" w:line="240" w:lineRule="auto"/>
              <w:rPr>
                <w:rFonts w:ascii="Arial" w:hAnsi="Arial" w:cs="Arial"/>
                <w:sz w:val="18"/>
                <w:szCs w:val="18"/>
              </w:rPr>
            </w:pPr>
          </w:p>
        </w:tc>
      </w:tr>
      <w:tr w:rsidR="0092066C" w:rsidRPr="00EE4F56" w14:paraId="1D92DF7D" w14:textId="77777777" w:rsidTr="00457E36">
        <w:tc>
          <w:tcPr>
            <w:tcW w:w="895" w:type="dxa"/>
          </w:tcPr>
          <w:p w14:paraId="1132CBFE" w14:textId="685E371E" w:rsidR="0092066C" w:rsidRPr="00EE4F56" w:rsidRDefault="0092066C" w:rsidP="00457E36">
            <w:pPr>
              <w:spacing w:after="0" w:line="240" w:lineRule="auto"/>
              <w:rPr>
                <w:rFonts w:ascii="Arial" w:hAnsi="Arial" w:cs="Arial"/>
                <w:sz w:val="18"/>
                <w:szCs w:val="18"/>
              </w:rPr>
            </w:pPr>
            <w:r>
              <w:rPr>
                <w:rFonts w:ascii="Arial" w:hAnsi="Arial"/>
                <w:sz w:val="18"/>
              </w:rPr>
              <w:t>1.4.</w:t>
            </w:r>
          </w:p>
        </w:tc>
        <w:tc>
          <w:tcPr>
            <w:tcW w:w="4500" w:type="dxa"/>
          </w:tcPr>
          <w:p w14:paraId="64C88B10" w14:textId="09CBDBFE" w:rsidR="0092066C" w:rsidRPr="00EE4F56" w:rsidRDefault="0092066C" w:rsidP="00457E36">
            <w:pPr>
              <w:spacing w:after="0" w:line="240" w:lineRule="auto"/>
              <w:rPr>
                <w:rFonts w:ascii="Arial" w:hAnsi="Arial" w:cs="Arial"/>
                <w:sz w:val="18"/>
                <w:szCs w:val="18"/>
              </w:rPr>
            </w:pPr>
            <w:proofErr w:type="gramStart"/>
            <w:r>
              <w:rPr>
                <w:rFonts w:ascii="Arial" w:hAnsi="Arial"/>
                <w:sz w:val="18"/>
              </w:rPr>
              <w:t>oddzielanie</w:t>
            </w:r>
            <w:proofErr w:type="gramEnd"/>
            <w:r>
              <w:rPr>
                <w:rFonts w:ascii="Arial" w:hAnsi="Arial"/>
                <w:sz w:val="18"/>
              </w:rPr>
              <w:t xml:space="preserve"> i oznaczanie ilościowe prowadzi się według rodzaju/rozmiaru.</w:t>
            </w:r>
          </w:p>
        </w:tc>
        <w:tc>
          <w:tcPr>
            <w:tcW w:w="3660" w:type="dxa"/>
            <w:vMerge/>
          </w:tcPr>
          <w:p w14:paraId="7C8BE310" w14:textId="77777777" w:rsidR="0092066C" w:rsidRPr="00EE4F56" w:rsidRDefault="0092066C" w:rsidP="00457E36">
            <w:pPr>
              <w:spacing w:after="0" w:line="240" w:lineRule="auto"/>
              <w:rPr>
                <w:rFonts w:ascii="Arial" w:hAnsi="Arial" w:cs="Arial"/>
                <w:sz w:val="18"/>
                <w:szCs w:val="18"/>
              </w:rPr>
            </w:pPr>
          </w:p>
        </w:tc>
      </w:tr>
      <w:tr w:rsidR="00457E36" w:rsidRPr="00EE4F56" w14:paraId="39631E24" w14:textId="77777777" w:rsidTr="00457E36">
        <w:tc>
          <w:tcPr>
            <w:tcW w:w="895" w:type="dxa"/>
          </w:tcPr>
          <w:p w14:paraId="26948FDC" w14:textId="01756593" w:rsidR="00457E36" w:rsidRPr="00EE4F56" w:rsidRDefault="00457E36" w:rsidP="00457E36">
            <w:pPr>
              <w:spacing w:after="0" w:line="240" w:lineRule="auto"/>
              <w:rPr>
                <w:rFonts w:ascii="Arial" w:hAnsi="Arial" w:cs="Arial"/>
                <w:sz w:val="18"/>
                <w:szCs w:val="18"/>
              </w:rPr>
            </w:pPr>
            <w:r>
              <w:rPr>
                <w:rFonts w:ascii="Arial" w:hAnsi="Arial"/>
                <w:sz w:val="18"/>
              </w:rPr>
              <w:t>2.</w:t>
            </w:r>
          </w:p>
        </w:tc>
        <w:tc>
          <w:tcPr>
            <w:tcW w:w="4500" w:type="dxa"/>
          </w:tcPr>
          <w:p w14:paraId="2C5FAF68" w14:textId="0EBED6BA" w:rsidR="00457E36" w:rsidRPr="00EE4F56" w:rsidRDefault="00457E36" w:rsidP="00457E36">
            <w:pPr>
              <w:spacing w:after="0" w:line="240" w:lineRule="auto"/>
              <w:rPr>
                <w:rFonts w:ascii="Arial" w:hAnsi="Arial" w:cs="Arial"/>
                <w:sz w:val="18"/>
                <w:szCs w:val="18"/>
              </w:rPr>
            </w:pPr>
            <w:r>
              <w:rPr>
                <w:rFonts w:ascii="Arial" w:hAnsi="Arial"/>
                <w:sz w:val="18"/>
              </w:rPr>
              <w:t>Wymagania dotyczące recyklingu odpadów na surowce wtórne:</w:t>
            </w:r>
          </w:p>
        </w:tc>
        <w:tc>
          <w:tcPr>
            <w:tcW w:w="3660" w:type="dxa"/>
            <w:vMerge w:val="restart"/>
          </w:tcPr>
          <w:p w14:paraId="6DD9035E" w14:textId="2E7CF763" w:rsidR="00457E36" w:rsidRPr="00EE4F56" w:rsidRDefault="00457E36" w:rsidP="00457E36">
            <w:pPr>
              <w:spacing w:after="0" w:line="240" w:lineRule="auto"/>
              <w:rPr>
                <w:rFonts w:ascii="Arial" w:hAnsi="Arial" w:cs="Arial"/>
                <w:sz w:val="18"/>
                <w:szCs w:val="18"/>
              </w:rPr>
            </w:pPr>
            <w:r>
              <w:rPr>
                <w:rFonts w:ascii="Arial" w:hAnsi="Arial"/>
                <w:sz w:val="18"/>
              </w:rPr>
              <w:t>Jakość materiałów gumowych ocenia się przez oględziny. Dokumentacja otrzymanych i poddanych recyklingowi zużytych opon była prowadzona zgodnie ze zasadami i przepisami dotyczącymi oficjalnych form statystyk środowiskowych;</w:t>
            </w:r>
          </w:p>
        </w:tc>
      </w:tr>
      <w:tr w:rsidR="00457E36" w:rsidRPr="00EE4F56" w14:paraId="6840C344" w14:textId="77777777" w:rsidTr="00457E36">
        <w:tc>
          <w:tcPr>
            <w:tcW w:w="895" w:type="dxa"/>
          </w:tcPr>
          <w:p w14:paraId="2A88219F" w14:textId="0FC66C8E" w:rsidR="00457E36" w:rsidRPr="00EE4F56" w:rsidRDefault="00457E36" w:rsidP="00457E36">
            <w:pPr>
              <w:spacing w:after="0" w:line="240" w:lineRule="auto"/>
              <w:rPr>
                <w:rFonts w:ascii="Arial" w:hAnsi="Arial" w:cs="Arial"/>
                <w:sz w:val="18"/>
                <w:szCs w:val="18"/>
              </w:rPr>
            </w:pPr>
            <w:r>
              <w:rPr>
                <w:rFonts w:ascii="Arial" w:hAnsi="Arial"/>
                <w:sz w:val="18"/>
              </w:rPr>
              <w:t>2.1.</w:t>
            </w:r>
          </w:p>
        </w:tc>
        <w:tc>
          <w:tcPr>
            <w:tcW w:w="4500" w:type="dxa"/>
          </w:tcPr>
          <w:p w14:paraId="437EA2BC" w14:textId="54240C77" w:rsidR="00457E36" w:rsidRPr="00EE4F56" w:rsidRDefault="00457E36" w:rsidP="00457E36">
            <w:pPr>
              <w:spacing w:after="0" w:line="240" w:lineRule="auto"/>
              <w:rPr>
                <w:rFonts w:ascii="Arial" w:hAnsi="Arial" w:cs="Arial"/>
                <w:sz w:val="18"/>
                <w:szCs w:val="18"/>
              </w:rPr>
            </w:pPr>
            <w:proofErr w:type="gramStart"/>
            <w:r>
              <w:rPr>
                <w:rFonts w:ascii="Arial" w:hAnsi="Arial"/>
                <w:sz w:val="18"/>
              </w:rPr>
              <w:t>stosowane</w:t>
            </w:r>
            <w:proofErr w:type="gramEnd"/>
            <w:r>
              <w:rPr>
                <w:rFonts w:ascii="Arial" w:hAnsi="Arial"/>
                <w:sz w:val="18"/>
              </w:rPr>
              <w:t xml:space="preserve"> mogą być wyłącznie zużyte opony odpowiadające klasyfikacji odpadów i właściwościom odpadów niebezpiecznych określonym w zasadach i przepisach;</w:t>
            </w:r>
          </w:p>
        </w:tc>
        <w:tc>
          <w:tcPr>
            <w:tcW w:w="3660" w:type="dxa"/>
            <w:vMerge/>
          </w:tcPr>
          <w:p w14:paraId="6C35D532" w14:textId="77777777" w:rsidR="00457E36" w:rsidRPr="00EE4F56" w:rsidRDefault="00457E36" w:rsidP="00457E36">
            <w:pPr>
              <w:spacing w:after="0" w:line="240" w:lineRule="auto"/>
              <w:rPr>
                <w:rFonts w:ascii="Arial" w:hAnsi="Arial" w:cs="Arial"/>
                <w:sz w:val="18"/>
                <w:szCs w:val="18"/>
              </w:rPr>
            </w:pPr>
          </w:p>
        </w:tc>
      </w:tr>
      <w:tr w:rsidR="00457E36" w:rsidRPr="00EE4F56" w14:paraId="487D4CB4" w14:textId="77777777" w:rsidTr="00457E36">
        <w:tc>
          <w:tcPr>
            <w:tcW w:w="895" w:type="dxa"/>
          </w:tcPr>
          <w:p w14:paraId="4E990887" w14:textId="4A3F473F" w:rsidR="00457E36" w:rsidRPr="00EE4F56" w:rsidRDefault="00457E36" w:rsidP="00457E36">
            <w:pPr>
              <w:spacing w:after="0" w:line="240" w:lineRule="auto"/>
              <w:rPr>
                <w:rFonts w:ascii="Arial" w:hAnsi="Arial" w:cs="Arial"/>
                <w:sz w:val="18"/>
                <w:szCs w:val="18"/>
              </w:rPr>
            </w:pPr>
            <w:r>
              <w:rPr>
                <w:rFonts w:ascii="Arial" w:hAnsi="Arial"/>
                <w:sz w:val="18"/>
              </w:rPr>
              <w:t>2.2.</w:t>
            </w:r>
          </w:p>
        </w:tc>
        <w:tc>
          <w:tcPr>
            <w:tcW w:w="4500" w:type="dxa"/>
          </w:tcPr>
          <w:p w14:paraId="5FE90D11" w14:textId="5591F11E" w:rsidR="00457E36" w:rsidRPr="00EE4F56" w:rsidRDefault="00457E36" w:rsidP="00457E36">
            <w:pPr>
              <w:spacing w:after="0" w:line="240" w:lineRule="auto"/>
              <w:rPr>
                <w:rFonts w:ascii="Arial" w:hAnsi="Arial" w:cs="Arial"/>
                <w:sz w:val="18"/>
                <w:szCs w:val="18"/>
              </w:rPr>
            </w:pPr>
            <w:proofErr w:type="gramStart"/>
            <w:r>
              <w:rPr>
                <w:rFonts w:ascii="Arial" w:hAnsi="Arial"/>
                <w:sz w:val="18"/>
              </w:rPr>
              <w:t>zużyte</w:t>
            </w:r>
            <w:proofErr w:type="gramEnd"/>
            <w:r>
              <w:rPr>
                <w:rFonts w:ascii="Arial" w:hAnsi="Arial"/>
                <w:sz w:val="18"/>
              </w:rPr>
              <w:t xml:space="preserve"> opony skażone substancjami niebezpiecznymi lub odpadami niebezpiecznymi nie mogą być stosowane.</w:t>
            </w:r>
          </w:p>
        </w:tc>
        <w:tc>
          <w:tcPr>
            <w:tcW w:w="3660" w:type="dxa"/>
            <w:vMerge/>
          </w:tcPr>
          <w:p w14:paraId="0AA71FD8" w14:textId="77777777" w:rsidR="00457E36" w:rsidRPr="00EE4F56" w:rsidRDefault="00457E36" w:rsidP="00457E36">
            <w:pPr>
              <w:spacing w:after="0" w:line="240" w:lineRule="auto"/>
              <w:rPr>
                <w:rFonts w:ascii="Arial" w:hAnsi="Arial" w:cs="Arial"/>
                <w:sz w:val="18"/>
                <w:szCs w:val="18"/>
              </w:rPr>
            </w:pPr>
          </w:p>
        </w:tc>
      </w:tr>
      <w:tr w:rsidR="00457E36" w:rsidRPr="00EE4F56" w14:paraId="57609288" w14:textId="77777777" w:rsidTr="00457E36">
        <w:tc>
          <w:tcPr>
            <w:tcW w:w="895" w:type="dxa"/>
          </w:tcPr>
          <w:p w14:paraId="3F64AF84" w14:textId="789D220C" w:rsidR="00457E36" w:rsidRPr="00EE4F56" w:rsidRDefault="00457E36" w:rsidP="00457E36">
            <w:pPr>
              <w:spacing w:after="0" w:line="240" w:lineRule="auto"/>
              <w:rPr>
                <w:rFonts w:ascii="Arial" w:hAnsi="Arial" w:cs="Arial"/>
                <w:sz w:val="18"/>
                <w:szCs w:val="18"/>
              </w:rPr>
            </w:pPr>
            <w:r>
              <w:rPr>
                <w:rFonts w:ascii="Arial" w:hAnsi="Arial"/>
                <w:sz w:val="18"/>
              </w:rPr>
              <w:t>3.</w:t>
            </w:r>
          </w:p>
        </w:tc>
        <w:tc>
          <w:tcPr>
            <w:tcW w:w="4500" w:type="dxa"/>
          </w:tcPr>
          <w:p w14:paraId="14AE1F5E" w14:textId="31DB0E8D" w:rsidR="00457E36" w:rsidRPr="00EE4F56" w:rsidRDefault="00457E36" w:rsidP="00457E36">
            <w:pPr>
              <w:spacing w:after="0" w:line="240" w:lineRule="auto"/>
              <w:rPr>
                <w:rFonts w:ascii="Arial" w:hAnsi="Arial" w:cs="Arial"/>
                <w:sz w:val="18"/>
                <w:szCs w:val="18"/>
              </w:rPr>
            </w:pPr>
            <w:r>
              <w:rPr>
                <w:rFonts w:ascii="Arial" w:hAnsi="Arial"/>
                <w:sz w:val="18"/>
              </w:rPr>
              <w:t>Zużyte opony przetwarza się w następujący sposób:</w:t>
            </w:r>
          </w:p>
        </w:tc>
        <w:tc>
          <w:tcPr>
            <w:tcW w:w="3660" w:type="dxa"/>
            <w:vMerge w:val="restart"/>
          </w:tcPr>
          <w:p w14:paraId="76F60667" w14:textId="1033D024" w:rsidR="00457E36" w:rsidRPr="00EE4F56" w:rsidRDefault="00457E36" w:rsidP="00457E36">
            <w:pPr>
              <w:spacing w:after="0" w:line="240" w:lineRule="auto"/>
              <w:rPr>
                <w:rFonts w:ascii="Arial" w:hAnsi="Arial" w:cs="Arial"/>
                <w:sz w:val="18"/>
                <w:szCs w:val="18"/>
              </w:rPr>
            </w:pPr>
            <w:proofErr w:type="gramStart"/>
            <w:r>
              <w:rPr>
                <w:rFonts w:ascii="Arial" w:hAnsi="Arial"/>
                <w:sz w:val="18"/>
              </w:rPr>
              <w:t>opony</w:t>
            </w:r>
            <w:proofErr w:type="gramEnd"/>
            <w:r>
              <w:rPr>
                <w:rFonts w:ascii="Arial" w:hAnsi="Arial"/>
                <w:sz w:val="18"/>
              </w:rPr>
              <w:t xml:space="preserve"> czyści się mechanicznie lub ręcznie;</w:t>
            </w:r>
          </w:p>
        </w:tc>
      </w:tr>
      <w:tr w:rsidR="00457E36" w:rsidRPr="00EE4F56" w14:paraId="72ADEF5F" w14:textId="77777777" w:rsidTr="00457E36">
        <w:tc>
          <w:tcPr>
            <w:tcW w:w="895" w:type="dxa"/>
          </w:tcPr>
          <w:p w14:paraId="3144EE83" w14:textId="3F302CEE" w:rsidR="00457E36" w:rsidRPr="00EE4F56" w:rsidRDefault="00457E36" w:rsidP="00457E36">
            <w:pPr>
              <w:spacing w:after="0" w:line="240" w:lineRule="auto"/>
              <w:rPr>
                <w:rFonts w:ascii="Arial" w:hAnsi="Arial" w:cs="Arial"/>
                <w:sz w:val="18"/>
                <w:szCs w:val="18"/>
              </w:rPr>
            </w:pPr>
            <w:r>
              <w:rPr>
                <w:rFonts w:ascii="Arial" w:hAnsi="Arial"/>
                <w:sz w:val="18"/>
              </w:rPr>
              <w:t>3.1.</w:t>
            </w:r>
          </w:p>
        </w:tc>
        <w:tc>
          <w:tcPr>
            <w:tcW w:w="4500" w:type="dxa"/>
          </w:tcPr>
          <w:p w14:paraId="3C7EE451" w14:textId="1F2099C9" w:rsidR="00457E36" w:rsidRPr="00EE4F56" w:rsidRDefault="00457E36" w:rsidP="00457E36">
            <w:pPr>
              <w:spacing w:after="0" w:line="240" w:lineRule="auto"/>
              <w:rPr>
                <w:rFonts w:ascii="Arial" w:hAnsi="Arial" w:cs="Arial"/>
                <w:sz w:val="18"/>
                <w:szCs w:val="18"/>
              </w:rPr>
            </w:pPr>
            <w:proofErr w:type="gramStart"/>
            <w:r>
              <w:rPr>
                <w:rFonts w:ascii="Arial" w:hAnsi="Arial"/>
                <w:sz w:val="18"/>
              </w:rPr>
              <w:t>usuwa</w:t>
            </w:r>
            <w:proofErr w:type="gramEnd"/>
            <w:r>
              <w:rPr>
                <w:rFonts w:ascii="Arial" w:hAnsi="Arial"/>
                <w:sz w:val="18"/>
              </w:rPr>
              <w:t xml:space="preserve"> się ciała obce takie jak kamienie, kawałki metalu i gruz;</w:t>
            </w:r>
          </w:p>
        </w:tc>
        <w:tc>
          <w:tcPr>
            <w:tcW w:w="3660" w:type="dxa"/>
            <w:vMerge/>
          </w:tcPr>
          <w:p w14:paraId="6B09D143" w14:textId="77777777" w:rsidR="00457E36" w:rsidRPr="00EE4F56" w:rsidRDefault="00457E36" w:rsidP="00457E36">
            <w:pPr>
              <w:spacing w:after="0" w:line="240" w:lineRule="auto"/>
              <w:rPr>
                <w:rFonts w:ascii="Arial" w:hAnsi="Arial" w:cs="Arial"/>
                <w:sz w:val="18"/>
                <w:szCs w:val="18"/>
              </w:rPr>
            </w:pPr>
          </w:p>
        </w:tc>
      </w:tr>
      <w:tr w:rsidR="00457E36" w:rsidRPr="00EE4F56" w14:paraId="7930272F" w14:textId="77777777" w:rsidTr="00457E36">
        <w:tc>
          <w:tcPr>
            <w:tcW w:w="895" w:type="dxa"/>
          </w:tcPr>
          <w:p w14:paraId="1BC5B2BD" w14:textId="363888FE" w:rsidR="00457E36" w:rsidRPr="00EE4F56" w:rsidRDefault="00457E36" w:rsidP="00457E36">
            <w:pPr>
              <w:spacing w:after="0" w:line="240" w:lineRule="auto"/>
              <w:rPr>
                <w:rFonts w:ascii="Arial" w:hAnsi="Arial" w:cs="Arial"/>
                <w:sz w:val="18"/>
                <w:szCs w:val="18"/>
              </w:rPr>
            </w:pPr>
            <w:r>
              <w:rPr>
                <w:rFonts w:ascii="Arial" w:hAnsi="Arial"/>
                <w:sz w:val="18"/>
              </w:rPr>
              <w:t>3.2.</w:t>
            </w:r>
          </w:p>
        </w:tc>
        <w:tc>
          <w:tcPr>
            <w:tcW w:w="4500" w:type="dxa"/>
          </w:tcPr>
          <w:p w14:paraId="0A66B71C" w14:textId="02FFCA5B" w:rsidR="00457E36" w:rsidRPr="00EE4F56" w:rsidRDefault="00457E36" w:rsidP="00457E36">
            <w:pPr>
              <w:spacing w:after="0" w:line="240" w:lineRule="auto"/>
              <w:rPr>
                <w:rFonts w:ascii="Arial" w:hAnsi="Arial" w:cs="Arial"/>
                <w:sz w:val="18"/>
                <w:szCs w:val="18"/>
              </w:rPr>
            </w:pPr>
            <w:proofErr w:type="gramStart"/>
            <w:r>
              <w:rPr>
                <w:rFonts w:ascii="Arial" w:hAnsi="Arial"/>
                <w:sz w:val="18"/>
              </w:rPr>
              <w:t>stosowane</w:t>
            </w:r>
            <w:proofErr w:type="gramEnd"/>
            <w:r>
              <w:rPr>
                <w:rFonts w:ascii="Arial" w:hAnsi="Arial"/>
                <w:sz w:val="18"/>
              </w:rPr>
              <w:t xml:space="preserve"> metody i procesy nie mogą mieć negatywnego wpływu na środowisko;</w:t>
            </w:r>
          </w:p>
        </w:tc>
        <w:tc>
          <w:tcPr>
            <w:tcW w:w="3660" w:type="dxa"/>
            <w:vMerge/>
          </w:tcPr>
          <w:p w14:paraId="218B545D" w14:textId="77777777" w:rsidR="00457E36" w:rsidRPr="00EE4F56" w:rsidRDefault="00457E36" w:rsidP="00457E36">
            <w:pPr>
              <w:spacing w:after="0" w:line="240" w:lineRule="auto"/>
              <w:rPr>
                <w:rFonts w:ascii="Arial" w:hAnsi="Arial" w:cs="Arial"/>
                <w:sz w:val="18"/>
                <w:szCs w:val="18"/>
              </w:rPr>
            </w:pPr>
          </w:p>
        </w:tc>
      </w:tr>
      <w:tr w:rsidR="00457E36" w:rsidRPr="00EE4F56" w14:paraId="0A02CBCF" w14:textId="77777777" w:rsidTr="00457E36">
        <w:tc>
          <w:tcPr>
            <w:tcW w:w="895" w:type="dxa"/>
          </w:tcPr>
          <w:p w14:paraId="70EAC344" w14:textId="31EC4CA5" w:rsidR="00457E36" w:rsidRPr="00EE4F56" w:rsidRDefault="00457E36" w:rsidP="00457E36">
            <w:pPr>
              <w:spacing w:after="0" w:line="240" w:lineRule="auto"/>
              <w:rPr>
                <w:rFonts w:ascii="Arial" w:hAnsi="Arial" w:cs="Arial"/>
                <w:sz w:val="18"/>
                <w:szCs w:val="18"/>
              </w:rPr>
            </w:pPr>
            <w:r>
              <w:rPr>
                <w:rFonts w:ascii="Arial" w:hAnsi="Arial"/>
                <w:sz w:val="18"/>
              </w:rPr>
              <w:t>3.3.</w:t>
            </w:r>
          </w:p>
        </w:tc>
        <w:tc>
          <w:tcPr>
            <w:tcW w:w="4500" w:type="dxa"/>
          </w:tcPr>
          <w:p w14:paraId="7951EDFA" w14:textId="60205C4B" w:rsidR="00457E36" w:rsidRPr="00EE4F56" w:rsidRDefault="00457E36" w:rsidP="00457E36">
            <w:pPr>
              <w:spacing w:after="0" w:line="240" w:lineRule="auto"/>
              <w:rPr>
                <w:rFonts w:ascii="Arial" w:hAnsi="Arial" w:cs="Arial"/>
                <w:sz w:val="18"/>
                <w:szCs w:val="18"/>
              </w:rPr>
            </w:pPr>
            <w:proofErr w:type="gramStart"/>
            <w:r>
              <w:rPr>
                <w:rFonts w:ascii="Arial" w:hAnsi="Arial"/>
                <w:sz w:val="18"/>
              </w:rPr>
              <w:t>przestrzega</w:t>
            </w:r>
            <w:proofErr w:type="gramEnd"/>
            <w:r>
              <w:rPr>
                <w:rFonts w:ascii="Arial" w:hAnsi="Arial"/>
                <w:sz w:val="18"/>
              </w:rPr>
              <w:t xml:space="preserve"> się zasad i przepisów regulujących gospodarowanie i postępowanie z odpadami.</w:t>
            </w:r>
          </w:p>
        </w:tc>
        <w:tc>
          <w:tcPr>
            <w:tcW w:w="3660" w:type="dxa"/>
            <w:vMerge/>
          </w:tcPr>
          <w:p w14:paraId="57238DC6" w14:textId="77777777" w:rsidR="00457E36" w:rsidRPr="00EE4F56" w:rsidRDefault="00457E36" w:rsidP="00457E36">
            <w:pPr>
              <w:spacing w:after="0" w:line="240" w:lineRule="auto"/>
              <w:rPr>
                <w:rFonts w:ascii="Arial" w:hAnsi="Arial" w:cs="Arial"/>
                <w:sz w:val="18"/>
                <w:szCs w:val="18"/>
              </w:rPr>
            </w:pPr>
          </w:p>
        </w:tc>
      </w:tr>
    </w:tbl>
    <w:p w14:paraId="5DCA8031" w14:textId="77777777" w:rsidR="00926EC8" w:rsidRPr="00EE4F56" w:rsidRDefault="00926EC8" w:rsidP="00C073D2">
      <w:pPr>
        <w:spacing w:before="120" w:after="120" w:line="240" w:lineRule="auto"/>
        <w:rPr>
          <w:rFonts w:ascii="Arial" w:hAnsi="Arial" w:cs="Arial"/>
          <w:b/>
          <w:sz w:val="18"/>
          <w:szCs w:val="18"/>
        </w:rPr>
      </w:pPr>
    </w:p>
    <w:p w14:paraId="77BA7611" w14:textId="05AD2423" w:rsidR="00B7715F" w:rsidRPr="00EE4F56" w:rsidRDefault="00B7715F" w:rsidP="00F37A47">
      <w:pPr>
        <w:spacing w:before="120" w:after="120" w:line="240" w:lineRule="auto"/>
        <w:jc w:val="right"/>
        <w:rPr>
          <w:rFonts w:ascii="Arial" w:hAnsi="Arial" w:cs="Arial"/>
          <w:sz w:val="18"/>
          <w:szCs w:val="18"/>
        </w:rPr>
      </w:pPr>
      <w:r>
        <w:rPr>
          <w:rFonts w:ascii="Arial" w:hAnsi="Arial"/>
          <w:sz w:val="18"/>
        </w:rPr>
        <w:t xml:space="preserve">Minister Ochrony Środowiska i Rozwoju Regionalnego </w:t>
      </w:r>
      <w:proofErr w:type="spellStart"/>
      <w:r>
        <w:rPr>
          <w:rFonts w:ascii="Arial" w:hAnsi="Arial"/>
          <w:sz w:val="18"/>
        </w:rPr>
        <w:t>Kaspars</w:t>
      </w:r>
      <w:proofErr w:type="spellEnd"/>
      <w:r>
        <w:rPr>
          <w:rFonts w:ascii="Arial" w:hAnsi="Arial"/>
          <w:sz w:val="18"/>
        </w:rPr>
        <w:t xml:space="preserve"> </w:t>
      </w:r>
      <w:proofErr w:type="spellStart"/>
      <w:r>
        <w:rPr>
          <w:rFonts w:ascii="Arial" w:hAnsi="Arial"/>
          <w:sz w:val="18"/>
        </w:rPr>
        <w:t>Gerhards</w:t>
      </w:r>
      <w:proofErr w:type="spellEnd"/>
    </w:p>
    <w:p w14:paraId="47505D57" w14:textId="77777777" w:rsidR="00B7715F" w:rsidRPr="00EE4F56" w:rsidRDefault="00B7715F" w:rsidP="00C073D2">
      <w:pPr>
        <w:spacing w:before="120" w:after="120" w:line="240" w:lineRule="auto"/>
        <w:rPr>
          <w:rFonts w:ascii="Arial" w:hAnsi="Arial" w:cs="Arial"/>
          <w:sz w:val="18"/>
          <w:szCs w:val="18"/>
        </w:rPr>
      </w:pPr>
    </w:p>
    <w:p w14:paraId="7119B37C" w14:textId="18C710E5" w:rsidR="00B7715F" w:rsidRPr="00EE4F56" w:rsidRDefault="00B7715F" w:rsidP="00EE4F56">
      <w:pPr>
        <w:keepNext/>
        <w:keepLines/>
        <w:spacing w:before="120" w:after="120" w:line="240" w:lineRule="auto"/>
        <w:jc w:val="right"/>
        <w:rPr>
          <w:rFonts w:ascii="Arial" w:hAnsi="Arial" w:cs="Arial"/>
          <w:sz w:val="18"/>
          <w:szCs w:val="18"/>
        </w:rPr>
      </w:pPr>
      <w:r>
        <w:rPr>
          <w:rFonts w:ascii="Arial" w:hAnsi="Arial"/>
          <w:sz w:val="18"/>
          <w:szCs w:val="18"/>
        </w:rPr>
        <w:t>Załącznik 2 do</w:t>
      </w:r>
      <w:r>
        <w:rPr>
          <w:rFonts w:ascii="Arial" w:hAnsi="Arial"/>
          <w:sz w:val="18"/>
        </w:rPr>
        <w:br/>
        <w:t>rozporządzenia Rady Ministrów nr 682</w:t>
      </w:r>
      <w:r>
        <w:rPr>
          <w:rFonts w:ascii="Arial" w:hAnsi="Arial"/>
          <w:sz w:val="18"/>
        </w:rPr>
        <w:br/>
        <w:t>z dnia 13 listopada 2018 r.</w:t>
      </w:r>
    </w:p>
    <w:p w14:paraId="020796EF" w14:textId="77777777" w:rsidR="00B7715F" w:rsidRPr="00EE4F56" w:rsidRDefault="00B7715F" w:rsidP="00EE4F56">
      <w:pPr>
        <w:keepNext/>
        <w:spacing w:before="120" w:after="120" w:line="240" w:lineRule="auto"/>
        <w:rPr>
          <w:rFonts w:ascii="Arial" w:hAnsi="Arial" w:cs="Arial"/>
          <w:sz w:val="18"/>
          <w:szCs w:val="18"/>
        </w:rPr>
      </w:pPr>
    </w:p>
    <w:p w14:paraId="24BC73C5" w14:textId="21992D68" w:rsidR="00B7715F" w:rsidRPr="00EE4F56" w:rsidRDefault="00B7715F" w:rsidP="00EE4F56">
      <w:pPr>
        <w:keepNext/>
        <w:spacing w:before="120" w:after="120" w:line="240" w:lineRule="auto"/>
        <w:jc w:val="center"/>
        <w:rPr>
          <w:rFonts w:ascii="Arial" w:hAnsi="Arial" w:cs="Arial"/>
          <w:b/>
          <w:sz w:val="24"/>
          <w:szCs w:val="24"/>
        </w:rPr>
      </w:pPr>
      <w:r>
        <w:rPr>
          <w:rFonts w:ascii="Arial" w:hAnsi="Arial"/>
          <w:b/>
          <w:sz w:val="24"/>
        </w:rPr>
        <w:t>Deklaracja stwierdzająca, że surowce wtórne spełniają kryteria zniesienia statusu odpadu</w:t>
      </w:r>
    </w:p>
    <w:p w14:paraId="6CB22342" w14:textId="77777777" w:rsidR="00B7715F" w:rsidRPr="00EE4F56" w:rsidRDefault="00B7715F" w:rsidP="00EE4F56">
      <w:pPr>
        <w:keepNext/>
        <w:spacing w:after="0" w:line="240" w:lineRule="auto"/>
        <w:rPr>
          <w:rFonts w:ascii="Arial" w:hAnsi="Arial" w:cs="Arial"/>
          <w:sz w:val="18"/>
          <w:szCs w:val="18"/>
        </w:rPr>
      </w:pP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200065C6" w14:textId="77777777" w:rsidTr="00AE0B47">
        <w:tc>
          <w:tcPr>
            <w:tcW w:w="3775" w:type="dxa"/>
          </w:tcPr>
          <w:p w14:paraId="26DF1B13" w14:textId="28460EB5" w:rsidR="00B7715F" w:rsidRPr="00EE4F56" w:rsidRDefault="00B7715F" w:rsidP="00AE0B47">
            <w:pPr>
              <w:spacing w:after="0" w:line="240" w:lineRule="auto"/>
              <w:rPr>
                <w:rFonts w:ascii="Arial" w:hAnsi="Arial" w:cs="Arial"/>
                <w:sz w:val="18"/>
                <w:szCs w:val="18"/>
              </w:rPr>
            </w:pPr>
            <w:r>
              <w:rPr>
                <w:rFonts w:ascii="Arial" w:hAnsi="Arial"/>
                <w:sz w:val="18"/>
              </w:rPr>
              <w:t>1. Dane podmiotu przetwarzającego zużyte opony:</w:t>
            </w:r>
          </w:p>
        </w:tc>
        <w:tc>
          <w:tcPr>
            <w:tcW w:w="5280" w:type="dxa"/>
          </w:tcPr>
          <w:p w14:paraId="581E5DC6" w14:textId="77777777" w:rsidR="00B7715F" w:rsidRPr="00EE4F56" w:rsidRDefault="00B7715F" w:rsidP="00AE0B47">
            <w:pPr>
              <w:spacing w:after="0" w:line="240" w:lineRule="auto"/>
              <w:rPr>
                <w:rFonts w:ascii="Arial" w:hAnsi="Arial" w:cs="Arial"/>
                <w:sz w:val="18"/>
                <w:szCs w:val="18"/>
              </w:rPr>
            </w:pPr>
          </w:p>
        </w:tc>
      </w:tr>
      <w:tr w:rsidR="00B7715F" w:rsidRPr="00EE4F56" w14:paraId="509BDBB2" w14:textId="77777777" w:rsidTr="00AE0B47">
        <w:tc>
          <w:tcPr>
            <w:tcW w:w="3775" w:type="dxa"/>
          </w:tcPr>
          <w:p w14:paraId="4A4D2589" w14:textId="4AC78EC0" w:rsidR="00B7715F" w:rsidRPr="00EE4F56" w:rsidRDefault="00B7715F" w:rsidP="00AE0B47">
            <w:pPr>
              <w:spacing w:after="0" w:line="240" w:lineRule="auto"/>
              <w:rPr>
                <w:rFonts w:ascii="Arial" w:hAnsi="Arial" w:cs="Arial"/>
                <w:sz w:val="18"/>
                <w:szCs w:val="18"/>
              </w:rPr>
            </w:pPr>
            <w:r>
              <w:rPr>
                <w:rFonts w:ascii="Arial" w:hAnsi="Arial"/>
                <w:sz w:val="18"/>
              </w:rPr>
              <w:t>Nazwa osoby prawnej:</w:t>
            </w:r>
          </w:p>
        </w:tc>
        <w:tc>
          <w:tcPr>
            <w:tcW w:w="5280" w:type="dxa"/>
            <w:tcBorders>
              <w:bottom w:val="single" w:sz="4" w:space="0" w:color="auto"/>
            </w:tcBorders>
          </w:tcPr>
          <w:p w14:paraId="0CA5D2FD" w14:textId="77777777" w:rsidR="00B7715F" w:rsidRPr="00EE4F56" w:rsidRDefault="00B7715F" w:rsidP="00AE0B47">
            <w:pPr>
              <w:spacing w:after="0" w:line="240" w:lineRule="auto"/>
              <w:rPr>
                <w:rFonts w:ascii="Arial" w:hAnsi="Arial" w:cs="Arial"/>
                <w:sz w:val="18"/>
                <w:szCs w:val="18"/>
              </w:rPr>
            </w:pPr>
          </w:p>
        </w:tc>
      </w:tr>
      <w:tr w:rsidR="00B7715F" w:rsidRPr="00EE4F56" w14:paraId="0E1638E8" w14:textId="77777777" w:rsidTr="00AE0B47">
        <w:tc>
          <w:tcPr>
            <w:tcW w:w="3775" w:type="dxa"/>
          </w:tcPr>
          <w:p w14:paraId="064826D1" w14:textId="7953A0F5" w:rsidR="00B7715F" w:rsidRPr="00EE4F56" w:rsidRDefault="00B7715F" w:rsidP="00AE0B47">
            <w:pPr>
              <w:spacing w:after="0" w:line="240" w:lineRule="auto"/>
              <w:rPr>
                <w:rFonts w:ascii="Arial" w:hAnsi="Arial" w:cs="Arial"/>
                <w:sz w:val="18"/>
                <w:szCs w:val="18"/>
              </w:rPr>
            </w:pPr>
            <w:r>
              <w:rPr>
                <w:rFonts w:ascii="Arial" w:hAnsi="Arial"/>
                <w:sz w:val="18"/>
              </w:rPr>
              <w:t>Numer rejestracyjny</w:t>
            </w:r>
          </w:p>
        </w:tc>
        <w:tc>
          <w:tcPr>
            <w:tcW w:w="5280" w:type="dxa"/>
            <w:tcBorders>
              <w:top w:val="single" w:sz="4" w:space="0" w:color="auto"/>
              <w:bottom w:val="single" w:sz="4" w:space="0" w:color="auto"/>
            </w:tcBorders>
          </w:tcPr>
          <w:p w14:paraId="1905C9AA" w14:textId="77777777" w:rsidR="00B7715F" w:rsidRPr="00EE4F56" w:rsidRDefault="00B7715F" w:rsidP="00AE0B47">
            <w:pPr>
              <w:spacing w:after="0" w:line="240" w:lineRule="auto"/>
              <w:rPr>
                <w:rFonts w:ascii="Arial" w:hAnsi="Arial" w:cs="Arial"/>
                <w:sz w:val="18"/>
                <w:szCs w:val="18"/>
              </w:rPr>
            </w:pPr>
          </w:p>
        </w:tc>
      </w:tr>
      <w:tr w:rsidR="00B7715F" w:rsidRPr="00EE4F56" w14:paraId="50D6F8D1" w14:textId="77777777" w:rsidTr="00AE0B47">
        <w:tc>
          <w:tcPr>
            <w:tcW w:w="3775" w:type="dxa"/>
          </w:tcPr>
          <w:p w14:paraId="0591CDF6" w14:textId="6B57CCC7" w:rsidR="00B7715F" w:rsidRPr="00EE4F56" w:rsidRDefault="00B7715F" w:rsidP="00AE0B47">
            <w:pPr>
              <w:spacing w:after="0" w:line="240" w:lineRule="auto"/>
              <w:rPr>
                <w:rFonts w:ascii="Arial" w:hAnsi="Arial" w:cs="Arial"/>
                <w:sz w:val="18"/>
                <w:szCs w:val="18"/>
              </w:rPr>
            </w:pPr>
            <w:r>
              <w:rPr>
                <w:rFonts w:ascii="Arial" w:hAnsi="Arial"/>
                <w:sz w:val="18"/>
              </w:rPr>
              <w:t>Faktyczny adres</w:t>
            </w:r>
          </w:p>
        </w:tc>
        <w:tc>
          <w:tcPr>
            <w:tcW w:w="5280" w:type="dxa"/>
            <w:tcBorders>
              <w:top w:val="single" w:sz="4" w:space="0" w:color="auto"/>
              <w:bottom w:val="single" w:sz="4" w:space="0" w:color="auto"/>
            </w:tcBorders>
          </w:tcPr>
          <w:p w14:paraId="45971A41" w14:textId="77777777" w:rsidR="00B7715F" w:rsidRPr="00EE4F56" w:rsidRDefault="00B7715F" w:rsidP="00AE0B47">
            <w:pPr>
              <w:spacing w:after="0" w:line="240" w:lineRule="auto"/>
              <w:rPr>
                <w:rFonts w:ascii="Arial" w:hAnsi="Arial" w:cs="Arial"/>
                <w:sz w:val="18"/>
                <w:szCs w:val="18"/>
              </w:rPr>
            </w:pPr>
          </w:p>
        </w:tc>
      </w:tr>
      <w:tr w:rsidR="00B7715F" w:rsidRPr="00EE4F56" w14:paraId="48317DDA" w14:textId="77777777" w:rsidTr="00AE0B47">
        <w:tc>
          <w:tcPr>
            <w:tcW w:w="3775" w:type="dxa"/>
          </w:tcPr>
          <w:p w14:paraId="62145585" w14:textId="6BCA7126" w:rsidR="00B7715F" w:rsidRPr="00EE4F56" w:rsidRDefault="00B7715F" w:rsidP="00AE0B47">
            <w:pPr>
              <w:spacing w:after="0" w:line="240" w:lineRule="auto"/>
              <w:rPr>
                <w:rFonts w:ascii="Arial" w:hAnsi="Arial" w:cs="Arial"/>
                <w:sz w:val="18"/>
                <w:szCs w:val="18"/>
              </w:rPr>
            </w:pPr>
            <w:r>
              <w:rPr>
                <w:rFonts w:ascii="Arial" w:hAnsi="Arial"/>
                <w:sz w:val="18"/>
              </w:rPr>
              <w:t>Siedziba statutowa:</w:t>
            </w:r>
          </w:p>
        </w:tc>
        <w:tc>
          <w:tcPr>
            <w:tcW w:w="5280" w:type="dxa"/>
            <w:tcBorders>
              <w:top w:val="single" w:sz="4" w:space="0" w:color="auto"/>
              <w:bottom w:val="single" w:sz="4" w:space="0" w:color="auto"/>
            </w:tcBorders>
          </w:tcPr>
          <w:p w14:paraId="4121C93A" w14:textId="77777777" w:rsidR="00B7715F" w:rsidRPr="00EE4F56" w:rsidRDefault="00B7715F" w:rsidP="00AE0B47">
            <w:pPr>
              <w:spacing w:after="0" w:line="240" w:lineRule="auto"/>
              <w:rPr>
                <w:rFonts w:ascii="Arial" w:hAnsi="Arial" w:cs="Arial"/>
                <w:sz w:val="18"/>
                <w:szCs w:val="18"/>
              </w:rPr>
            </w:pPr>
          </w:p>
        </w:tc>
      </w:tr>
      <w:tr w:rsidR="00B7715F" w:rsidRPr="00EE4F56" w14:paraId="65C69248" w14:textId="77777777" w:rsidTr="00AE0B47">
        <w:tc>
          <w:tcPr>
            <w:tcW w:w="3775" w:type="dxa"/>
          </w:tcPr>
          <w:p w14:paraId="2DB5EE7C" w14:textId="46EE0B6A" w:rsidR="00B7715F" w:rsidRPr="00EE4F56" w:rsidRDefault="00B7715F" w:rsidP="00AE0B47">
            <w:pPr>
              <w:spacing w:after="0" w:line="240" w:lineRule="auto"/>
              <w:rPr>
                <w:rFonts w:ascii="Arial" w:hAnsi="Arial" w:cs="Arial"/>
                <w:sz w:val="18"/>
                <w:szCs w:val="18"/>
              </w:rPr>
            </w:pPr>
            <w:r>
              <w:rPr>
                <w:rFonts w:ascii="Arial" w:hAnsi="Arial"/>
                <w:sz w:val="18"/>
              </w:rPr>
              <w:t>Osoba do kontaktów</w:t>
            </w:r>
          </w:p>
        </w:tc>
        <w:tc>
          <w:tcPr>
            <w:tcW w:w="5280" w:type="dxa"/>
            <w:tcBorders>
              <w:top w:val="single" w:sz="4" w:space="0" w:color="auto"/>
              <w:bottom w:val="single" w:sz="4" w:space="0" w:color="auto"/>
            </w:tcBorders>
          </w:tcPr>
          <w:p w14:paraId="378AE02B" w14:textId="77777777" w:rsidR="00B7715F" w:rsidRPr="00EE4F56" w:rsidRDefault="00B7715F" w:rsidP="00AE0B47">
            <w:pPr>
              <w:spacing w:after="0" w:line="240" w:lineRule="auto"/>
              <w:rPr>
                <w:rFonts w:ascii="Arial" w:hAnsi="Arial" w:cs="Arial"/>
                <w:sz w:val="18"/>
                <w:szCs w:val="18"/>
              </w:rPr>
            </w:pPr>
          </w:p>
        </w:tc>
      </w:tr>
      <w:tr w:rsidR="00B7715F" w:rsidRPr="00EE4F56" w14:paraId="0F1B80C7" w14:textId="77777777" w:rsidTr="00AE0B47">
        <w:tc>
          <w:tcPr>
            <w:tcW w:w="3775" w:type="dxa"/>
          </w:tcPr>
          <w:p w14:paraId="0DE6CAFF" w14:textId="7792A84C" w:rsidR="00B7715F" w:rsidRPr="00EE4F56" w:rsidRDefault="00B7715F" w:rsidP="00AE0B47">
            <w:pPr>
              <w:spacing w:after="0" w:line="240" w:lineRule="auto"/>
              <w:rPr>
                <w:rFonts w:ascii="Arial" w:hAnsi="Arial" w:cs="Arial"/>
                <w:sz w:val="18"/>
                <w:szCs w:val="18"/>
              </w:rPr>
            </w:pPr>
            <w:r>
              <w:rPr>
                <w:rFonts w:ascii="Arial" w:hAnsi="Arial"/>
                <w:sz w:val="18"/>
              </w:rPr>
              <w:t>Numer telefonu</w:t>
            </w:r>
          </w:p>
        </w:tc>
        <w:tc>
          <w:tcPr>
            <w:tcW w:w="5280" w:type="dxa"/>
            <w:tcBorders>
              <w:top w:val="single" w:sz="4" w:space="0" w:color="auto"/>
              <w:bottom w:val="single" w:sz="4" w:space="0" w:color="auto"/>
            </w:tcBorders>
          </w:tcPr>
          <w:p w14:paraId="6A064F42" w14:textId="77777777" w:rsidR="00B7715F" w:rsidRPr="00EE4F56" w:rsidRDefault="00B7715F" w:rsidP="00AE0B47">
            <w:pPr>
              <w:spacing w:after="0" w:line="240" w:lineRule="auto"/>
              <w:rPr>
                <w:rFonts w:ascii="Arial" w:hAnsi="Arial" w:cs="Arial"/>
                <w:sz w:val="18"/>
                <w:szCs w:val="18"/>
              </w:rPr>
            </w:pPr>
          </w:p>
        </w:tc>
      </w:tr>
      <w:tr w:rsidR="00B7715F" w:rsidRPr="00EE4F56" w14:paraId="189B72E0" w14:textId="77777777" w:rsidTr="00AE0B47">
        <w:tc>
          <w:tcPr>
            <w:tcW w:w="3775" w:type="dxa"/>
          </w:tcPr>
          <w:p w14:paraId="2D28180D" w14:textId="504F5F26" w:rsidR="00B7715F" w:rsidRPr="00EE4F56" w:rsidRDefault="00B7715F" w:rsidP="00AE0B47">
            <w:pPr>
              <w:spacing w:after="0" w:line="240" w:lineRule="auto"/>
              <w:rPr>
                <w:rFonts w:ascii="Arial" w:hAnsi="Arial" w:cs="Arial"/>
                <w:sz w:val="18"/>
                <w:szCs w:val="18"/>
              </w:rPr>
            </w:pPr>
            <w:r>
              <w:rPr>
                <w:rFonts w:ascii="Arial" w:hAnsi="Arial"/>
                <w:sz w:val="18"/>
              </w:rPr>
              <w:t>E-mail</w:t>
            </w:r>
          </w:p>
        </w:tc>
        <w:tc>
          <w:tcPr>
            <w:tcW w:w="5280" w:type="dxa"/>
            <w:tcBorders>
              <w:top w:val="single" w:sz="4" w:space="0" w:color="auto"/>
              <w:bottom w:val="single" w:sz="4" w:space="0" w:color="auto"/>
            </w:tcBorders>
          </w:tcPr>
          <w:p w14:paraId="762F88AE" w14:textId="77777777" w:rsidR="00B7715F" w:rsidRPr="00EE4F56" w:rsidRDefault="00B7715F" w:rsidP="00AE0B47">
            <w:pPr>
              <w:spacing w:after="0" w:line="240" w:lineRule="auto"/>
              <w:rPr>
                <w:rFonts w:ascii="Arial" w:hAnsi="Arial" w:cs="Arial"/>
                <w:sz w:val="18"/>
                <w:szCs w:val="18"/>
              </w:rPr>
            </w:pPr>
          </w:p>
        </w:tc>
      </w:tr>
    </w:tbl>
    <w:p w14:paraId="08FF7AE3" w14:textId="77777777" w:rsidR="00B7715F" w:rsidRPr="00EE4F56" w:rsidRDefault="00B7715F" w:rsidP="00C073D2">
      <w:pPr>
        <w:spacing w:before="120" w:after="120" w:line="240" w:lineRule="auto"/>
        <w:rPr>
          <w:rFonts w:ascii="Arial" w:hAnsi="Arial" w:cs="Arial"/>
          <w:sz w:val="18"/>
          <w:szCs w:val="18"/>
        </w:rPr>
      </w:pPr>
    </w:p>
    <w:p w14:paraId="4C1A1D1F" w14:textId="582B67BC" w:rsidR="00B7715F" w:rsidRPr="00EE4F56" w:rsidRDefault="00B7715F" w:rsidP="00C073D2">
      <w:pPr>
        <w:spacing w:before="120" w:after="120" w:line="240" w:lineRule="auto"/>
        <w:rPr>
          <w:rFonts w:ascii="Arial" w:hAnsi="Arial" w:cs="Arial"/>
          <w:sz w:val="18"/>
          <w:szCs w:val="18"/>
        </w:rPr>
      </w:pPr>
      <w:r>
        <w:rPr>
          <w:rFonts w:ascii="Arial" w:hAnsi="Arial"/>
          <w:sz w:val="18"/>
        </w:rPr>
        <w:t>2. Wymagania techniczne określone w specyfikacji technicznej nabywcy surowców wtórnych, w tym skład, rozmiar, domieszki, właściwości fizyczne i chemiczne itd. (proszę określić wymagania techniczne):</w:t>
      </w:r>
    </w:p>
    <w:p w14:paraId="20DC131E" w14:textId="6362BFA0"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14378538" w14:textId="5E5E3829"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30FE7ABB" w14:textId="1F4C6576" w:rsidR="00B7715F" w:rsidRPr="00EE4F56" w:rsidRDefault="00B7715F" w:rsidP="00C073D2">
      <w:pPr>
        <w:spacing w:before="120" w:after="120" w:line="240" w:lineRule="auto"/>
        <w:rPr>
          <w:rFonts w:ascii="Arial" w:hAnsi="Arial" w:cs="Arial"/>
          <w:sz w:val="18"/>
          <w:szCs w:val="18"/>
        </w:rPr>
      </w:pPr>
      <w:r>
        <w:rPr>
          <w:rFonts w:ascii="Arial" w:hAnsi="Arial"/>
          <w:sz w:val="18"/>
        </w:rPr>
        <w:t>Surowce wtórne uzyskane ze zużytych opon spełniają wymagania określone w specyfikacji technicznej.</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0067A56A" w14:textId="77777777" w:rsidTr="00AE0B47">
        <w:tc>
          <w:tcPr>
            <w:tcW w:w="3775" w:type="dxa"/>
          </w:tcPr>
          <w:p w14:paraId="2C9C765D" w14:textId="04B847BF" w:rsidR="00B7715F" w:rsidRPr="00EE4F56" w:rsidRDefault="00B7715F" w:rsidP="008F09A9">
            <w:pPr>
              <w:spacing w:before="120" w:after="120" w:line="240" w:lineRule="auto"/>
              <w:rPr>
                <w:rFonts w:ascii="Arial" w:hAnsi="Arial" w:cs="Arial"/>
                <w:sz w:val="18"/>
                <w:szCs w:val="18"/>
              </w:rPr>
            </w:pPr>
            <w:r>
              <w:rPr>
                <w:rFonts w:ascii="Arial" w:hAnsi="Arial"/>
                <w:sz w:val="18"/>
              </w:rPr>
              <w:t>3. Waga ładunku w kg:</w:t>
            </w:r>
          </w:p>
        </w:tc>
        <w:tc>
          <w:tcPr>
            <w:tcW w:w="5280" w:type="dxa"/>
            <w:tcBorders>
              <w:bottom w:val="single" w:sz="4" w:space="0" w:color="auto"/>
            </w:tcBorders>
          </w:tcPr>
          <w:p w14:paraId="09759F29" w14:textId="77777777" w:rsidR="00B7715F" w:rsidRPr="00EE4F56" w:rsidRDefault="00B7715F" w:rsidP="008F09A9">
            <w:pPr>
              <w:spacing w:before="120" w:after="120" w:line="240" w:lineRule="auto"/>
              <w:rPr>
                <w:rFonts w:ascii="Arial" w:hAnsi="Arial" w:cs="Arial"/>
                <w:sz w:val="18"/>
                <w:szCs w:val="18"/>
              </w:rPr>
            </w:pPr>
          </w:p>
        </w:tc>
      </w:tr>
    </w:tbl>
    <w:p w14:paraId="43549ADB" w14:textId="08FACEC8" w:rsidR="00B7715F" w:rsidRPr="00EE4F56" w:rsidRDefault="00B7715F" w:rsidP="00C073D2">
      <w:pPr>
        <w:spacing w:before="120" w:after="120" w:line="240" w:lineRule="auto"/>
        <w:rPr>
          <w:rFonts w:ascii="Arial" w:hAnsi="Arial" w:cs="Arial"/>
          <w:sz w:val="18"/>
          <w:szCs w:val="18"/>
        </w:rPr>
      </w:pPr>
      <w:r>
        <w:rPr>
          <w:rFonts w:ascii="Arial" w:hAnsi="Arial"/>
          <w:sz w:val="18"/>
        </w:rPr>
        <w:t>4. Surowce wtórne uzyskane ze zużytych opon spełniają kryteria zniesienia statusu odpadu.*</w:t>
      </w:r>
    </w:p>
    <w:p w14:paraId="1FC59C20" w14:textId="22230D62" w:rsidR="00B7715F" w:rsidRPr="00EE4F56" w:rsidRDefault="00B7715F" w:rsidP="00C073D2">
      <w:pPr>
        <w:spacing w:before="120" w:after="120" w:line="240" w:lineRule="auto"/>
        <w:rPr>
          <w:rFonts w:ascii="Arial" w:hAnsi="Arial" w:cs="Arial"/>
          <w:sz w:val="18"/>
          <w:szCs w:val="18"/>
        </w:rPr>
      </w:pPr>
      <w:r>
        <w:rPr>
          <w:rFonts w:ascii="Arial" w:hAnsi="Arial"/>
          <w:sz w:val="18"/>
        </w:rPr>
        <w:t>5. Podmiot przetwarzający zużyte opony działa zgodnie z systemem zarządzania jakością.</w:t>
      </w:r>
    </w:p>
    <w:p w14:paraId="7B0345EC" w14:textId="1115596F" w:rsidR="00B7715F" w:rsidRPr="00EE4F56" w:rsidRDefault="00B7715F" w:rsidP="00C073D2">
      <w:pPr>
        <w:spacing w:before="120" w:after="120" w:line="240" w:lineRule="auto"/>
        <w:rPr>
          <w:rFonts w:ascii="Arial" w:hAnsi="Arial" w:cs="Arial"/>
          <w:sz w:val="18"/>
          <w:szCs w:val="18"/>
        </w:rPr>
      </w:pPr>
      <w:r>
        <w:rPr>
          <w:rFonts w:ascii="Arial" w:hAnsi="Arial"/>
          <w:sz w:val="18"/>
        </w:rPr>
        <w:t>6. Surowce wtórne wchodzące w skład ładunku są przeznaczone wyłącznie do bezpośredniego użycia (proszę określić przeznaczenie):</w:t>
      </w:r>
    </w:p>
    <w:p w14:paraId="12A81E9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6AA0222"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79E67D1" w14:textId="46E2033A" w:rsidR="00B7715F" w:rsidRPr="00EE4F56" w:rsidRDefault="00B7715F" w:rsidP="00C073D2">
      <w:pPr>
        <w:spacing w:before="120" w:after="120" w:line="240" w:lineRule="auto"/>
        <w:rPr>
          <w:rFonts w:ascii="Arial" w:hAnsi="Arial" w:cs="Arial"/>
          <w:sz w:val="18"/>
          <w:szCs w:val="18"/>
        </w:rPr>
      </w:pPr>
      <w:r>
        <w:rPr>
          <w:rFonts w:ascii="Arial" w:hAnsi="Arial"/>
          <w:sz w:val="18"/>
        </w:rPr>
        <w:t>7. Inne informacje</w:t>
      </w:r>
    </w:p>
    <w:p w14:paraId="7CEA73E9"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96DA8B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320C18B" w14:textId="16066DFF" w:rsidR="00B7715F" w:rsidRPr="00EE4F56" w:rsidRDefault="00B7715F" w:rsidP="00C073D2">
      <w:pPr>
        <w:spacing w:before="120" w:after="120" w:line="240" w:lineRule="auto"/>
        <w:rPr>
          <w:rFonts w:ascii="Arial" w:hAnsi="Arial" w:cs="Arial"/>
          <w:sz w:val="18"/>
          <w:szCs w:val="18"/>
        </w:rPr>
      </w:pPr>
      <w:r>
        <w:rPr>
          <w:rFonts w:ascii="Arial" w:hAnsi="Arial"/>
          <w:sz w:val="18"/>
        </w:rPr>
        <w:t>8. Niniejszym potwierdzam, że informacje zawarte w niniejszej deklaracji są pełne i prawidłowe.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14:paraId="5915DE74" w14:textId="77777777" w:rsidTr="00AE0B47">
        <w:tc>
          <w:tcPr>
            <w:tcW w:w="1848" w:type="dxa"/>
          </w:tcPr>
          <w:p w14:paraId="7D57F917" w14:textId="1035618B" w:rsidR="00AE0B47" w:rsidRPr="00EE4F56" w:rsidRDefault="00AE0B47" w:rsidP="00C073D2">
            <w:pPr>
              <w:spacing w:before="120" w:after="120" w:line="240" w:lineRule="auto"/>
              <w:rPr>
                <w:rFonts w:ascii="Arial" w:hAnsi="Arial" w:cs="Arial"/>
                <w:sz w:val="18"/>
                <w:szCs w:val="18"/>
              </w:rPr>
            </w:pPr>
            <w:r>
              <w:rPr>
                <w:rFonts w:ascii="Arial" w:hAnsi="Arial"/>
                <w:sz w:val="18"/>
              </w:rPr>
              <w:t>Przedstawiciel podmiotu gospodarczego</w:t>
            </w:r>
          </w:p>
        </w:tc>
        <w:tc>
          <w:tcPr>
            <w:tcW w:w="2112" w:type="dxa"/>
            <w:tcBorders>
              <w:bottom w:val="single" w:sz="4" w:space="0" w:color="auto"/>
            </w:tcBorders>
          </w:tcPr>
          <w:p w14:paraId="32FBF199" w14:textId="77777777" w:rsidR="00AE0B47" w:rsidRPr="00EE4F5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EE4F5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EE4F56" w:rsidRDefault="00AE0B47" w:rsidP="00C073D2">
            <w:pPr>
              <w:spacing w:before="120" w:after="120" w:line="240" w:lineRule="auto"/>
              <w:rPr>
                <w:rFonts w:ascii="Arial" w:hAnsi="Arial" w:cs="Arial"/>
                <w:sz w:val="18"/>
                <w:szCs w:val="18"/>
              </w:rPr>
            </w:pPr>
          </w:p>
        </w:tc>
      </w:tr>
      <w:tr w:rsidR="00AE0B47" w:rsidRPr="00EE4F56" w14:paraId="673F0330" w14:textId="77777777" w:rsidTr="00AE0B47">
        <w:tc>
          <w:tcPr>
            <w:tcW w:w="1848" w:type="dxa"/>
          </w:tcPr>
          <w:p w14:paraId="3703EF18" w14:textId="77777777"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EE4F56" w:rsidRDefault="00AE0B47" w:rsidP="00C073D2">
            <w:pPr>
              <w:spacing w:before="120" w:after="120" w:line="240" w:lineRule="auto"/>
              <w:rPr>
                <w:rFonts w:ascii="Arial" w:hAnsi="Arial" w:cs="Arial"/>
                <w:sz w:val="18"/>
                <w:szCs w:val="18"/>
              </w:rPr>
            </w:pPr>
            <w:r>
              <w:rPr>
                <w:rFonts w:ascii="Arial" w:hAnsi="Arial"/>
                <w:sz w:val="18"/>
              </w:rPr>
              <w:t>(imię i nazwisko)</w:t>
            </w:r>
          </w:p>
        </w:tc>
        <w:tc>
          <w:tcPr>
            <w:tcW w:w="270" w:type="dxa"/>
          </w:tcPr>
          <w:p w14:paraId="4030CDFA"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EE4F56" w:rsidRDefault="00AE0B47" w:rsidP="00C073D2">
            <w:pPr>
              <w:spacing w:before="120" w:after="120" w:line="240" w:lineRule="auto"/>
              <w:rPr>
                <w:rFonts w:ascii="Arial" w:hAnsi="Arial" w:cs="Arial"/>
                <w:sz w:val="18"/>
                <w:szCs w:val="18"/>
              </w:rPr>
            </w:pPr>
            <w:r>
              <w:rPr>
                <w:rFonts w:ascii="Arial" w:hAnsi="Arial"/>
                <w:sz w:val="18"/>
              </w:rPr>
              <w:t>(stanowisko)</w:t>
            </w:r>
          </w:p>
        </w:tc>
        <w:tc>
          <w:tcPr>
            <w:tcW w:w="270" w:type="dxa"/>
          </w:tcPr>
          <w:p w14:paraId="7B631DF1"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EE4F56" w:rsidRDefault="00AE0B47" w:rsidP="00C073D2">
            <w:pPr>
              <w:spacing w:before="120" w:after="120" w:line="240" w:lineRule="auto"/>
              <w:rPr>
                <w:rFonts w:ascii="Arial" w:hAnsi="Arial" w:cs="Arial"/>
                <w:sz w:val="18"/>
                <w:szCs w:val="18"/>
              </w:rPr>
            </w:pPr>
            <w:r>
              <w:rPr>
                <w:rFonts w:ascii="Arial" w:hAnsi="Arial"/>
                <w:sz w:val="18"/>
              </w:rPr>
              <w:t>(podpis)</w:t>
            </w:r>
          </w:p>
        </w:tc>
      </w:tr>
    </w:tbl>
    <w:p w14:paraId="2AADE09E" w14:textId="053B16F2" w:rsidR="00B7715F" w:rsidRPr="00EE4F56" w:rsidRDefault="00B7715F" w:rsidP="00B7715F">
      <w:pPr>
        <w:tabs>
          <w:tab w:val="left" w:leader="underscore" w:pos="3600"/>
        </w:tabs>
        <w:spacing w:before="120" w:after="120" w:line="240" w:lineRule="auto"/>
        <w:rPr>
          <w:rFonts w:ascii="Arial" w:hAnsi="Arial" w:cs="Arial"/>
          <w:sz w:val="18"/>
          <w:szCs w:val="18"/>
        </w:rPr>
      </w:pPr>
      <w:r>
        <w:rPr>
          <w:rFonts w:ascii="Arial" w:hAnsi="Arial"/>
          <w:sz w:val="18"/>
        </w:rPr>
        <w:t xml:space="preserve">Data </w:t>
      </w:r>
      <w:r>
        <w:tab/>
      </w:r>
    </w:p>
    <w:p w14:paraId="6B8ECF2F" w14:textId="67FDA42C" w:rsidR="00B7715F" w:rsidRPr="00EE4F56" w:rsidRDefault="00B7715F" w:rsidP="00C073D2">
      <w:pPr>
        <w:spacing w:before="120" w:after="120" w:line="240" w:lineRule="auto"/>
        <w:rPr>
          <w:rFonts w:ascii="Arial" w:hAnsi="Arial" w:cs="Arial"/>
          <w:sz w:val="18"/>
          <w:szCs w:val="18"/>
        </w:rPr>
      </w:pPr>
      <w:r>
        <w:rPr>
          <w:rFonts w:ascii="Arial" w:hAnsi="Arial"/>
          <w:sz w:val="18"/>
        </w:rPr>
        <w:t>Uwaga: * Kryteria określono w załączniku 1 do rozporządzenia Rady Ministrów nr 682 z dnia 13 listopada 2018 r. w sprawie procedury zniesienia statusu odpadu w odniesieniu do materiałów gumowych uzyskiwanych ze zużytych opon. Stanowią one część systemu zarządzania jakością podmiotu przetwarzającego zużyte opony.</w:t>
      </w:r>
    </w:p>
    <w:p w14:paraId="08902B5E" w14:textId="13292DF0" w:rsidR="00B7715F" w:rsidRPr="00EE4F56" w:rsidRDefault="00B7715F" w:rsidP="00AE0B47">
      <w:pPr>
        <w:spacing w:before="120" w:after="120" w:line="240" w:lineRule="auto"/>
        <w:jc w:val="right"/>
        <w:rPr>
          <w:rFonts w:ascii="Arial" w:hAnsi="Arial" w:cs="Arial"/>
          <w:sz w:val="18"/>
          <w:szCs w:val="18"/>
        </w:rPr>
      </w:pPr>
      <w:r>
        <w:rPr>
          <w:rFonts w:ascii="Arial" w:hAnsi="Arial"/>
          <w:sz w:val="18"/>
        </w:rPr>
        <w:t xml:space="preserve">Minister Ochrony Środowiska i Rozwoju Regionalnego </w:t>
      </w:r>
      <w:proofErr w:type="spellStart"/>
      <w:r>
        <w:rPr>
          <w:rFonts w:ascii="Arial" w:hAnsi="Arial"/>
          <w:sz w:val="18"/>
        </w:rPr>
        <w:t>Kaspars</w:t>
      </w:r>
      <w:proofErr w:type="spellEnd"/>
      <w:r>
        <w:rPr>
          <w:rFonts w:ascii="Arial" w:hAnsi="Arial"/>
          <w:sz w:val="18"/>
        </w:rPr>
        <w:t xml:space="preserve"> </w:t>
      </w:r>
      <w:proofErr w:type="spellStart"/>
      <w:r>
        <w:rPr>
          <w:rFonts w:ascii="Arial" w:hAnsi="Arial"/>
          <w:sz w:val="18"/>
        </w:rPr>
        <w:t>Gerhards</w:t>
      </w:r>
      <w:proofErr w:type="spellEnd"/>
    </w:p>
    <w:p w14:paraId="1DDC6089" w14:textId="77777777" w:rsidR="00B7715F" w:rsidRPr="00EE4F56" w:rsidRDefault="00B7715F" w:rsidP="00C073D2">
      <w:pPr>
        <w:spacing w:before="120" w:after="120" w:line="240" w:lineRule="auto"/>
        <w:rPr>
          <w:rFonts w:ascii="Arial" w:hAnsi="Arial" w:cs="Arial"/>
          <w:sz w:val="18"/>
          <w:szCs w:val="18"/>
        </w:rPr>
      </w:pPr>
    </w:p>
    <w:p w14:paraId="2DD4180C" w14:textId="77777777"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14:paraId="10DA1750" w14:textId="72D52856" w:rsidR="00B7715F" w:rsidRPr="00EE4F56" w:rsidRDefault="00B7715F" w:rsidP="00C073D2">
      <w:pPr>
        <w:spacing w:before="120" w:after="120" w:line="240" w:lineRule="auto"/>
        <w:rPr>
          <w:rFonts w:ascii="Arial" w:hAnsi="Arial" w:cs="Arial"/>
          <w:b/>
          <w:color w:val="A6A6A6"/>
          <w:sz w:val="18"/>
          <w:szCs w:val="18"/>
        </w:rPr>
      </w:pPr>
      <w:r>
        <w:rPr>
          <w:rFonts w:ascii="Arial" w:hAnsi="Arial"/>
          <w:b/>
          <w:color w:val="A6A6A6"/>
          <w:sz w:val="18"/>
        </w:rPr>
        <w:t>© Publikacja urzędowa „</w:t>
      </w:r>
      <w:proofErr w:type="spellStart"/>
      <w:r>
        <w:rPr>
          <w:rFonts w:ascii="Arial" w:hAnsi="Arial"/>
          <w:b/>
          <w:color w:val="A6A6A6"/>
          <w:sz w:val="18"/>
        </w:rPr>
        <w:t>Latvijas</w:t>
      </w:r>
      <w:proofErr w:type="spellEnd"/>
      <w:r>
        <w:rPr>
          <w:rFonts w:ascii="Arial" w:hAnsi="Arial"/>
          <w:b/>
          <w:color w:val="A6A6A6"/>
          <w:sz w:val="18"/>
        </w:rPr>
        <w:t xml:space="preserve"> </w:t>
      </w:r>
      <w:proofErr w:type="spellStart"/>
      <w:r>
        <w:rPr>
          <w:rFonts w:ascii="Arial" w:hAnsi="Arial"/>
          <w:b/>
          <w:color w:val="A6A6A6"/>
          <w:sz w:val="18"/>
        </w:rPr>
        <w:t>Vēstnesis</w:t>
      </w:r>
      <w:proofErr w:type="spellEnd"/>
      <w:r>
        <w:rPr>
          <w:rFonts w:ascii="Arial" w:hAnsi="Arial"/>
          <w:b/>
          <w:color w:val="A6A6A6"/>
          <w:sz w:val="18"/>
        </w:rPr>
        <w:t>”</w:t>
      </w:r>
    </w:p>
    <w:sectPr w:rsidR="00B7715F" w:rsidRPr="00EE4F5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C6FE5" w14:textId="77777777" w:rsidR="00716463" w:rsidRDefault="00716463">
      <w:pPr>
        <w:spacing w:after="0" w:line="240" w:lineRule="auto"/>
      </w:pPr>
      <w:r>
        <w:separator/>
      </w:r>
    </w:p>
  </w:endnote>
  <w:endnote w:type="continuationSeparator" w:id="0">
    <w:p w14:paraId="4C0D660D" w14:textId="77777777" w:rsidR="00716463" w:rsidRDefault="0071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rFonts w:ascii="Arial" w:hAnsi="Arial" w:cs="Arial"/>
            <w:noProof/>
            <w:sz w:val="18"/>
            <w:szCs w:val="18"/>
          </w:rPr>
        </w:pPr>
        <w:r w:rsidRPr="001919C1">
          <w:rPr>
            <w:rFonts w:ascii="Arial" w:hAnsi="Arial" w:cs="Arial"/>
            <w:sz w:val="18"/>
            <w:szCs w:val="18"/>
          </w:rPr>
          <w:fldChar w:fldCharType="begin"/>
        </w:r>
        <w:r w:rsidRPr="001919C1">
          <w:rPr>
            <w:rFonts w:ascii="Arial" w:hAnsi="Arial" w:cs="Arial"/>
            <w:sz w:val="18"/>
            <w:szCs w:val="18"/>
          </w:rPr>
          <w:instrText xml:space="preserve"> PAGE   \* MERGEFORMAT </w:instrText>
        </w:r>
        <w:r w:rsidRPr="001919C1">
          <w:rPr>
            <w:rFonts w:ascii="Arial" w:hAnsi="Arial" w:cs="Arial"/>
            <w:sz w:val="18"/>
            <w:szCs w:val="18"/>
          </w:rPr>
          <w:fldChar w:fldCharType="separate"/>
        </w:r>
        <w:r w:rsidR="007F7956">
          <w:rPr>
            <w:rFonts w:ascii="Arial" w:hAnsi="Arial" w:cs="Arial"/>
            <w:noProof/>
            <w:sz w:val="18"/>
            <w:szCs w:val="18"/>
          </w:rPr>
          <w:t>3</w:t>
        </w:r>
        <w:r w:rsidRPr="001919C1">
          <w:rPr>
            <w:rFonts w:ascii="Arial" w:hAnsi="Arial" w:cs="Arial"/>
            <w:sz w:val="18"/>
            <w:szCs w:val="18"/>
          </w:rPr>
          <w:fldChar w:fldCharType="end"/>
        </w:r>
        <w:r>
          <w:rPr>
            <w:rFonts w:ascii="Arial" w:hAnsi="Arial"/>
            <w:sz w:val="18"/>
          </w:rPr>
          <w:t>/</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rFonts w:ascii="Arial" w:hAnsi="Arial" w:cs="Arial"/>
                <w:sz w:val="18"/>
                <w:szCs w:val="18"/>
              </w:rPr>
              <w:fldChar w:fldCharType="begin"/>
            </w:r>
            <w:r w:rsidRPr="001919C1">
              <w:rPr>
                <w:rFonts w:ascii="Arial" w:hAnsi="Arial" w:cs="Arial"/>
                <w:sz w:val="18"/>
                <w:szCs w:val="18"/>
              </w:rPr>
              <w:instrText xml:space="preserve"> NUMPAGES   \* MERGEFORMAT </w:instrText>
            </w:r>
            <w:r w:rsidRPr="001919C1">
              <w:rPr>
                <w:rFonts w:ascii="Arial" w:hAnsi="Arial" w:cs="Arial"/>
                <w:sz w:val="18"/>
                <w:szCs w:val="18"/>
              </w:rPr>
              <w:fldChar w:fldCharType="separate"/>
            </w:r>
            <w:r w:rsidR="007F7956">
              <w:rPr>
                <w:rFonts w:ascii="Arial" w:hAnsi="Arial" w:cs="Arial"/>
                <w:noProof/>
                <w:sz w:val="18"/>
                <w:szCs w:val="18"/>
              </w:rPr>
              <w:t>4</w:t>
            </w:r>
            <w:r w:rsidRPr="001919C1">
              <w:rPr>
                <w:rFonts w:ascii="Arial" w:hAnsi="Arial" w:cs="Arial"/>
                <w:sz w:val="18"/>
                <w:szCs w:val="18"/>
              </w:rPr>
              <w:fldChar w:fldCharType="end"/>
            </w:r>
          </w:sdtContent>
        </w:sdt>
      </w:p>
      <w:p w14:paraId="73533EAC" w14:textId="340B73F3" w:rsidR="00C77626" w:rsidRDefault="007F7956">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7F7956" w:rsidP="00FC6D0F">
    <w:pPr>
      <w:pStyle w:val="Header"/>
      <w:jc w:val="right"/>
      <w:rPr>
        <w:rFonts w:ascii="Times New Roman" w:hAnsi="Times New Roman"/>
        <w:sz w:val="24"/>
        <w:szCs w:val="24"/>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PAGE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1</w:t>
        </w:r>
        <w:r w:rsidR="00FC6D0F" w:rsidRPr="00BB2301">
          <w:rPr>
            <w:rFonts w:ascii="Times New Roman" w:hAnsi="Times New Roman"/>
            <w:sz w:val="24"/>
            <w:szCs w:val="24"/>
          </w:rPr>
          <w:fldChar w:fldCharType="end"/>
        </w:r>
      </w:sdtContent>
    </w:sdt>
    <w:r w:rsidR="00344F8E">
      <w:rPr>
        <w:rFonts w:ascii="Times New Roman" w:hAnsi="Times New Roman"/>
        <w:sz w:val="24"/>
      </w:rPr>
      <w:t>/</w:t>
    </w:r>
    <w:r w:rsidR="00344F8E">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w:instrText>
        </w:r>
        <w:r w:rsidR="00FC6D0F">
          <w:rPr>
            <w:rFonts w:ascii="Times New Roman" w:hAnsi="Times New Roman"/>
            <w:sz w:val="24"/>
            <w:szCs w:val="24"/>
          </w:rPr>
          <w:instrText>NUM</w:instrText>
        </w:r>
        <w:r w:rsidR="00FC6D0F" w:rsidRPr="00BB2301">
          <w:rPr>
            <w:rFonts w:ascii="Times New Roman" w:hAnsi="Times New Roman"/>
            <w:sz w:val="24"/>
            <w:szCs w:val="24"/>
          </w:rPr>
          <w:instrText>PAGE</w:instrText>
        </w:r>
        <w:r w:rsidR="00FC6D0F">
          <w:rPr>
            <w:rFonts w:ascii="Times New Roman" w:hAnsi="Times New Roman"/>
            <w:sz w:val="24"/>
            <w:szCs w:val="24"/>
          </w:rPr>
          <w:instrText>S</w:instrText>
        </w:r>
        <w:r w:rsidR="00FC6D0F" w:rsidRPr="00BB2301">
          <w:rPr>
            <w:rFonts w:ascii="Times New Roman" w:hAnsi="Times New Roman"/>
            <w:sz w:val="24"/>
            <w:szCs w:val="24"/>
          </w:rPr>
          <w:instrText xml:space="preserv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4</w:t>
        </w:r>
        <w:r w:rsidR="00FC6D0F" w:rsidRPr="00BB2301">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F093D" w14:textId="77777777" w:rsidR="00716463" w:rsidRDefault="00716463">
      <w:pPr>
        <w:spacing w:after="0" w:line="240" w:lineRule="auto"/>
      </w:pPr>
      <w:r>
        <w:separator/>
      </w:r>
    </w:p>
  </w:footnote>
  <w:footnote w:type="continuationSeparator" w:id="0">
    <w:p w14:paraId="6B4DF62E" w14:textId="77777777" w:rsidR="00716463" w:rsidRDefault="0071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7F7956"/>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0DF55E"/>
  <w14:defaultImageDpi w14:val="300"/>
  <w15:docId w15:val="{3753F23E-36E1-4124-A5F5-13E5097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9B3"/>
    <w:rPr>
      <w:sz w:val="16"/>
      <w:szCs w:val="16"/>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basedOn w:val="DefaultParagraphFont"/>
    <w:link w:val="CommentText"/>
    <w:uiPriority w:val="99"/>
    <w:semiHidden/>
    <w:rsid w:val="00BA59B3"/>
    <w:rPr>
      <w:rFonts w:eastAsiaTheme="minorHAnsi"/>
      <w:sz w:val="20"/>
      <w:szCs w:val="20"/>
      <w:lang w:val="pl-PL"/>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pl-PL"/>
    </w:rPr>
  </w:style>
  <w:style w:type="paragraph" w:styleId="ListParagraph">
    <w:name w:val="List Paragraph"/>
    <w:basedOn w:val="Normal"/>
    <w:uiPriority w:val="34"/>
    <w:qFormat/>
    <w:rsid w:val="00BA59B3"/>
    <w:pPr>
      <w:ind w:left="720"/>
      <w:contextualSpacing/>
    </w:pPr>
    <w:rPr>
      <w:rFonts w:ascii="Calibri" w:eastAsia="SimSun" w:hAnsi="Calibri" w:cs="Times New Roman"/>
    </w:rPr>
  </w:style>
  <w:style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pl-PL" w:eastAsia="en-GB"/>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A59B3"/>
    <w:rPr>
      <w:rFonts w:ascii="Times New Roman" w:eastAsia="Times New Roman" w:hAnsi="Times New Roman" w:cs="Times New Roman"/>
      <w:lang w:val="pl-PL" w:eastAsia="en-GB"/>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basedOn w:val="CommentTextChar"/>
    <w:link w:val="CommentSubject"/>
    <w:uiPriority w:val="99"/>
    <w:semiHidden/>
    <w:rsid w:val="00380381"/>
    <w:rPr>
      <w:rFonts w:eastAsiaTheme="minorHAnsi"/>
      <w:b/>
      <w:bCs/>
      <w:sz w:val="20"/>
      <w:szCs w:val="20"/>
      <w:lang w:val="pl-PL"/>
    </w:rPr>
  </w:style>
  <w:style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pl-PL"/>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8D118F"/>
    <w:rPr>
      <w:rFonts w:ascii="Calibri" w:eastAsia="SimSun" w:hAnsi="Calibri" w:cs="Times New Roman"/>
      <w:sz w:val="22"/>
      <w:szCs w:val="22"/>
      <w:lang w:val="pl-PL" w:eastAsia="en-GB"/>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FooterChar">
    <w:name w:val="Footer Char"/>
    <w:basedOn w:val="DefaultParagraphFont"/>
    <w:link w:val="Footer"/>
    <w:uiPriority w:val="99"/>
    <w:rsid w:val="008D118F"/>
    <w:rPr>
      <w:rFonts w:ascii="Calibri" w:eastAsia="SimSun" w:hAnsi="Calibri" w:cs="Times New Roman"/>
      <w:sz w:val="22"/>
      <w:szCs w:val="22"/>
      <w:lang w:val="pl-PL" w:eastAsia="en-GB"/>
    </w:rPr>
  </w:style>
  <w:style w:type="character" w:styleId="Hyperlink">
    <w:name w:val="Hyperlink"/>
    <w:basedOn w:val="DefaultParagraphFont"/>
    <w:uiPriority w:val="99"/>
    <w:semiHidden/>
    <w:unhideWhenUsed/>
    <w:rsid w:val="00695329"/>
    <w:rPr>
      <w:color w:val="0000FF"/>
      <w:u w:val="single"/>
    </w:rPr>
  </w:style>
  <w:style w:type="character" w:styleId="Strong">
    <w:name w:val="Strong"/>
    <w:basedOn w:val="DefaultParagraphFont"/>
    <w:uiPriority w:val="22"/>
    <w:qFormat/>
    <w:rsid w:val="00695329"/>
    <w:rPr>
      <w:b/>
      <w:bCs/>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A600B"/>
    <w:rPr>
      <w:rFonts w:eastAsiaTheme="minorHAnsi"/>
      <w:sz w:val="22"/>
      <w:szCs w:val="22"/>
    </w:rPr>
  </w:style>
  <w:style w:type="table" w:styleId="TableGrid">
    <w:name w:val="Table Grid"/>
    <w:basedOn w:val="TableNormal"/>
    <w:uiPriority w:val="59"/>
    <w:rsid w:val="00FC6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9256-A46D-4F3A-9661-16FC2E53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Varga, Eszter</cp:lastModifiedBy>
  <cp:revision>22</cp:revision>
  <cp:lastPrinted>2018-03-14T09:38:00Z</cp:lastPrinted>
  <dcterms:created xsi:type="dcterms:W3CDTF">2018-05-16T10:48:00Z</dcterms:created>
  <dcterms:modified xsi:type="dcterms:W3CDTF">2019-12-18T16:30:00Z</dcterms:modified>
</cp:coreProperties>
</file>