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9"/>
      </w:tblGrid>
      <w:tr w:rsidR="00FC6D0F" w:rsidRPr="00EE4F56" w14:paraId="3A0B40E4" w14:textId="77777777" w:rsidTr="00F16937">
        <w:tc>
          <w:tcPr>
            <w:tcW w:w="3018" w:type="dxa"/>
          </w:tcPr>
          <w:p w14:paraId="251EF203" w14:textId="550681D8" w:rsidR="00FC6D0F" w:rsidRPr="00EE4F56" w:rsidRDefault="00FC6D0F" w:rsidP="002C4FD9">
            <w:pPr>
              <w:spacing w:after="60" w:line="240" w:lineRule="auto"/>
              <w:rPr>
                <w:rFonts w:ascii="Arial" w:hAnsi="Arial" w:cs="Arial"/>
                <w:b/>
                <w:sz w:val="18"/>
                <w:szCs w:val="18"/>
              </w:rPr>
            </w:pPr>
          </w:p>
        </w:tc>
        <w:tc>
          <w:tcPr>
            <w:tcW w:w="3018" w:type="dxa"/>
          </w:tcPr>
          <w:p w14:paraId="32EAAB70" w14:textId="77777777" w:rsidR="002C4FD9" w:rsidRPr="00EE4F56" w:rsidRDefault="00FC6D0F" w:rsidP="002C4FD9">
            <w:pPr>
              <w:spacing w:after="60" w:line="240" w:lineRule="auto"/>
              <w:rPr>
                <w:rFonts w:ascii="Arial" w:hAnsi="Arial" w:cs="Arial"/>
                <w:b/>
                <w:sz w:val="18"/>
                <w:szCs w:val="18"/>
              </w:rPr>
            </w:pPr>
            <w:r>
              <w:rPr>
                <w:rFonts w:ascii="Arial" w:hAnsi="Arial"/>
                <w:b/>
                <w:sz w:val="18"/>
              </w:rPr>
              <w:t>Vydavateľ: Kabinet ministrov</w:t>
            </w:r>
          </w:p>
          <w:p w14:paraId="16989A06" w14:textId="77777777" w:rsidR="002C4FD9" w:rsidRPr="00EE4F56" w:rsidRDefault="002C4FD9" w:rsidP="002C4FD9">
            <w:pPr>
              <w:spacing w:after="60" w:line="240" w:lineRule="auto"/>
              <w:rPr>
                <w:rFonts w:ascii="Arial" w:hAnsi="Arial" w:cs="Arial"/>
                <w:b/>
                <w:sz w:val="18"/>
                <w:szCs w:val="18"/>
              </w:rPr>
            </w:pPr>
            <w:r>
              <w:rPr>
                <w:rFonts w:ascii="Arial" w:hAnsi="Arial"/>
                <w:b/>
                <w:sz w:val="18"/>
              </w:rPr>
              <w:t>Forma: nariadenie</w:t>
            </w:r>
          </w:p>
          <w:p w14:paraId="0FDC095B" w14:textId="1656AF87" w:rsidR="00FC6D0F" w:rsidRPr="00EE4F56" w:rsidRDefault="00FC6D0F" w:rsidP="002C4FD9">
            <w:pPr>
              <w:spacing w:after="60" w:line="240" w:lineRule="auto"/>
              <w:rPr>
                <w:rFonts w:ascii="Arial" w:hAnsi="Arial" w:cs="Arial"/>
                <w:b/>
                <w:sz w:val="18"/>
                <w:szCs w:val="18"/>
              </w:rPr>
            </w:pPr>
            <w:r>
              <w:rPr>
                <w:rFonts w:ascii="Arial" w:hAnsi="Arial"/>
                <w:b/>
                <w:sz w:val="18"/>
              </w:rPr>
              <w:t>Číslo: 682</w:t>
            </w:r>
          </w:p>
          <w:p w14:paraId="1F711D81" w14:textId="77777777" w:rsidR="002C4FD9" w:rsidRPr="00EE4F56" w:rsidRDefault="002C4FD9" w:rsidP="002C4FD9">
            <w:pPr>
              <w:spacing w:after="60" w:line="240" w:lineRule="auto"/>
              <w:rPr>
                <w:rFonts w:ascii="Arial" w:hAnsi="Arial" w:cs="Arial"/>
                <w:b/>
                <w:sz w:val="18"/>
                <w:szCs w:val="18"/>
              </w:rPr>
            </w:pPr>
            <w:r>
              <w:rPr>
                <w:rFonts w:ascii="Arial" w:hAnsi="Arial"/>
                <w:b/>
                <w:sz w:val="18"/>
              </w:rPr>
              <w:t>Prijaté: 13.11.2018</w:t>
            </w:r>
          </w:p>
          <w:p w14:paraId="2F3725B2" w14:textId="425DB18C" w:rsidR="00FC6D0F" w:rsidRPr="00EE4F56" w:rsidRDefault="00FC6D0F" w:rsidP="002C4FD9">
            <w:pPr>
              <w:spacing w:after="60" w:line="240" w:lineRule="auto"/>
              <w:rPr>
                <w:rFonts w:ascii="Arial" w:hAnsi="Arial" w:cs="Arial"/>
                <w:b/>
                <w:sz w:val="18"/>
                <w:szCs w:val="18"/>
              </w:rPr>
            </w:pPr>
            <w:r>
              <w:rPr>
                <w:rFonts w:ascii="Arial" w:hAnsi="Arial"/>
                <w:b/>
                <w:sz w:val="18"/>
              </w:rPr>
              <w:t>Nadobudnutie účinnosti: 16.11.2018</w:t>
            </w:r>
          </w:p>
        </w:tc>
        <w:tc>
          <w:tcPr>
            <w:tcW w:w="3019" w:type="dxa"/>
          </w:tcPr>
          <w:p w14:paraId="7488A0B7" w14:textId="77777777" w:rsidR="00FC6D0F" w:rsidRPr="00EE4F56" w:rsidRDefault="00FC6D0F" w:rsidP="002C4FD9">
            <w:pPr>
              <w:spacing w:after="60" w:line="240" w:lineRule="auto"/>
              <w:rPr>
                <w:rFonts w:ascii="Arial" w:hAnsi="Arial" w:cs="Arial"/>
                <w:b/>
                <w:sz w:val="18"/>
                <w:szCs w:val="18"/>
              </w:rPr>
            </w:pPr>
            <w:r>
              <w:rPr>
                <w:rFonts w:ascii="Arial" w:hAnsi="Arial"/>
                <w:b/>
                <w:sz w:val="18"/>
              </w:rPr>
              <w:t>Vydané:</w:t>
            </w:r>
          </w:p>
          <w:p w14:paraId="478E30BE" w14:textId="77777777" w:rsidR="002C4FD9" w:rsidRPr="00EE4F56" w:rsidRDefault="002C4FD9" w:rsidP="002C4FD9">
            <w:pPr>
              <w:spacing w:after="60" w:line="240" w:lineRule="auto"/>
              <w:rPr>
                <w:rFonts w:ascii="Arial" w:hAnsi="Arial" w:cs="Arial"/>
                <w:b/>
                <w:sz w:val="18"/>
                <w:szCs w:val="18"/>
              </w:rPr>
            </w:pPr>
            <w:r>
              <w:rPr>
                <w:rFonts w:ascii="Arial" w:hAnsi="Arial"/>
                <w:b/>
                <w:sz w:val="18"/>
              </w:rPr>
              <w:t>Latvijas Vēstnesis (Lotyšský úradný vestník), 226/6312,</w:t>
            </w:r>
          </w:p>
          <w:p w14:paraId="388A83C4" w14:textId="0FAEFF8B" w:rsidR="00FC6D0F" w:rsidRPr="00EE4F56" w:rsidRDefault="00FC6D0F" w:rsidP="002C4FD9">
            <w:pPr>
              <w:spacing w:after="60" w:line="240" w:lineRule="auto"/>
              <w:rPr>
                <w:rFonts w:ascii="Arial" w:hAnsi="Arial" w:cs="Arial"/>
                <w:b/>
                <w:sz w:val="18"/>
                <w:szCs w:val="18"/>
              </w:rPr>
            </w:pPr>
            <w:r>
              <w:rPr>
                <w:rFonts w:ascii="Arial" w:hAnsi="Arial"/>
                <w:b/>
                <w:sz w:val="18"/>
              </w:rPr>
              <w:t>15.11.2018</w:t>
            </w:r>
          </w:p>
          <w:p w14:paraId="1222F8F6" w14:textId="77777777" w:rsidR="002C4FD9" w:rsidRPr="00EE4F56" w:rsidRDefault="002C4FD9" w:rsidP="002C4FD9">
            <w:pPr>
              <w:spacing w:after="60" w:line="240" w:lineRule="auto"/>
              <w:rPr>
                <w:rFonts w:ascii="Arial" w:hAnsi="Arial" w:cs="Arial"/>
                <w:b/>
                <w:sz w:val="18"/>
                <w:szCs w:val="18"/>
              </w:rPr>
            </w:pPr>
          </w:p>
          <w:p w14:paraId="71ADF7E0" w14:textId="34EDD6A3" w:rsidR="00FC6D0F" w:rsidRPr="00EE4F56" w:rsidRDefault="00FC6D0F" w:rsidP="002C4FD9">
            <w:pPr>
              <w:spacing w:after="60" w:line="240" w:lineRule="auto"/>
              <w:rPr>
                <w:rFonts w:ascii="Arial" w:hAnsi="Arial" w:cs="Arial"/>
                <w:b/>
                <w:sz w:val="18"/>
                <w:szCs w:val="18"/>
              </w:rPr>
            </w:pPr>
            <w:r>
              <w:rPr>
                <w:rFonts w:ascii="Arial" w:hAnsi="Arial"/>
                <w:b/>
                <w:sz w:val="18"/>
              </w:rPr>
              <w:t>Číslo OP: 2018/226.2</w:t>
            </w:r>
          </w:p>
        </w:tc>
      </w:tr>
      <w:tr w:rsidR="002C4FD9" w:rsidRPr="00EE4F56" w14:paraId="4D939C94" w14:textId="77777777" w:rsidTr="00F16937">
        <w:tc>
          <w:tcPr>
            <w:tcW w:w="3018" w:type="dxa"/>
            <w:tcBorders>
              <w:bottom w:val="single" w:sz="12" w:space="0" w:color="A6A6A6"/>
            </w:tcBorders>
          </w:tcPr>
          <w:p w14:paraId="5331360F" w14:textId="34F0BA2C" w:rsidR="002C4FD9" w:rsidRPr="00EE4F56" w:rsidRDefault="002C4FD9" w:rsidP="002C4FD9">
            <w:pPr>
              <w:spacing w:after="60" w:line="240" w:lineRule="auto"/>
              <w:rPr>
                <w:rFonts w:ascii="Arial" w:hAnsi="Arial" w:cs="Arial"/>
                <w:noProof/>
                <w:sz w:val="18"/>
                <w:szCs w:val="18"/>
              </w:rPr>
            </w:pPr>
          </w:p>
        </w:tc>
        <w:tc>
          <w:tcPr>
            <w:tcW w:w="3018" w:type="dxa"/>
            <w:tcBorders>
              <w:bottom w:val="single" w:sz="12" w:space="0" w:color="A6A6A6"/>
            </w:tcBorders>
          </w:tcPr>
          <w:p w14:paraId="21F3C753" w14:textId="77777777"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EE4F56" w:rsidRDefault="002C4FD9" w:rsidP="002C4FD9">
            <w:pPr>
              <w:spacing w:after="60" w:line="240" w:lineRule="auto"/>
              <w:rPr>
                <w:rFonts w:ascii="Arial" w:hAnsi="Arial" w:cs="Arial"/>
                <w:b/>
                <w:sz w:val="18"/>
                <w:szCs w:val="18"/>
              </w:rPr>
            </w:pPr>
          </w:p>
        </w:tc>
      </w:tr>
    </w:tbl>
    <w:p w14:paraId="2F583246" w14:textId="05D287ED" w:rsidR="00C05723" w:rsidRPr="00EE4F56" w:rsidRDefault="00C05723" w:rsidP="002C4FD9">
      <w:pPr>
        <w:spacing w:before="120" w:after="120" w:line="240" w:lineRule="auto"/>
        <w:rPr>
          <w:rFonts w:ascii="Arial" w:hAnsi="Arial" w:cs="Arial"/>
          <w:b/>
          <w:sz w:val="18"/>
          <w:szCs w:val="18"/>
        </w:rPr>
      </w:pPr>
    </w:p>
    <w:p w14:paraId="1B1C223E" w14:textId="782A5A38" w:rsidR="00344F8E" w:rsidRDefault="00344F8E" w:rsidP="00344F8E">
      <w:pPr>
        <w:pStyle w:val="PlainText"/>
        <w:rPr>
          <w:rFonts w:ascii="Courier New" w:hAnsi="Courier New" w:cs="Courier New"/>
          <w:sz w:val="20"/>
          <w:szCs w:val="20"/>
        </w:rPr>
      </w:pPr>
      <w:r>
        <w:rPr>
          <w:rFonts w:ascii="Courier New" w:hAnsi="Courier New"/>
          <w:sz w:val="20"/>
        </w:rPr>
        <w:t>1. ------IND- 2018 0211 LV-</w:t>
      </w:r>
      <w:bookmarkStart w:id="0" w:name="_GoBack"/>
      <w:bookmarkEnd w:id="0"/>
      <w:r>
        <w:rPr>
          <w:rFonts w:ascii="Courier New" w:hAnsi="Courier New"/>
          <w:sz w:val="20"/>
        </w:rPr>
        <w:t xml:space="preserve"> SK- ------ 20191218 --- --- FINAL</w:t>
      </w:r>
    </w:p>
    <w:p w14:paraId="5B599D26" w14:textId="77777777"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rPr>
        <w:t>Nariadenie kabinetu č. 682</w:t>
      </w:r>
    </w:p>
    <w:p w14:paraId="72CF7DF1" w14:textId="17EEA2F5" w:rsidR="00451295" w:rsidRPr="00EE4F56" w:rsidRDefault="00FC6D0F" w:rsidP="00154E01">
      <w:pPr>
        <w:spacing w:before="120" w:after="120" w:line="240" w:lineRule="auto"/>
        <w:jc w:val="right"/>
        <w:rPr>
          <w:rFonts w:ascii="Arial" w:hAnsi="Arial" w:cs="Arial"/>
          <w:sz w:val="18"/>
          <w:szCs w:val="18"/>
        </w:rPr>
      </w:pPr>
      <w:r>
        <w:rPr>
          <w:rFonts w:ascii="Arial" w:hAnsi="Arial"/>
          <w:sz w:val="18"/>
        </w:rPr>
        <w:t>Riga 13. novembra 2018 (Ref. č. 52 ods. 34)</w:t>
      </w:r>
    </w:p>
    <w:p w14:paraId="38EE56EA" w14:textId="77777777" w:rsidR="00FC6D0F" w:rsidRPr="00EE4F56" w:rsidRDefault="00FC6D0F" w:rsidP="002C4FD9">
      <w:pPr>
        <w:spacing w:before="120" w:after="120" w:line="240" w:lineRule="auto"/>
        <w:rPr>
          <w:rFonts w:ascii="Arial" w:hAnsi="Arial" w:cs="Arial"/>
          <w:b/>
          <w:sz w:val="18"/>
          <w:szCs w:val="18"/>
        </w:rPr>
      </w:pPr>
    </w:p>
    <w:p w14:paraId="2A89148B" w14:textId="77777777" w:rsidR="00FC6D0F" w:rsidRPr="00EE4F56" w:rsidRDefault="00FC6D0F" w:rsidP="002C4FD9">
      <w:pPr>
        <w:spacing w:before="120" w:after="120" w:line="240" w:lineRule="auto"/>
        <w:rPr>
          <w:rFonts w:ascii="Arial" w:hAnsi="Arial" w:cs="Arial"/>
          <w:b/>
          <w:sz w:val="18"/>
          <w:szCs w:val="18"/>
        </w:rPr>
      </w:pPr>
    </w:p>
    <w:p w14:paraId="7F6485A1" w14:textId="6519F9EF" w:rsidR="00BA59B3" w:rsidRPr="00EE4F56" w:rsidRDefault="00FC6D0F" w:rsidP="002C4FD9">
      <w:pPr>
        <w:spacing w:before="120" w:after="120" w:line="240" w:lineRule="auto"/>
        <w:jc w:val="center"/>
        <w:rPr>
          <w:rFonts w:ascii="Arial" w:eastAsia="Times New Roman" w:hAnsi="Arial" w:cs="Arial"/>
          <w:b/>
          <w:sz w:val="28"/>
          <w:szCs w:val="28"/>
        </w:rPr>
      </w:pPr>
      <w:r>
        <w:rPr>
          <w:rFonts w:ascii="Arial" w:hAnsi="Arial"/>
          <w:b/>
          <w:sz w:val="28"/>
        </w:rPr>
        <w:t>Postup, podľa ktorého sa prestáva uplatňovať stav odpadu gumových materiálov získaných z pneumatík po skončení životnosti</w:t>
      </w:r>
    </w:p>
    <w:p w14:paraId="1D1F7932" w14:textId="77777777" w:rsidR="00451295" w:rsidRPr="00EE4F56" w:rsidRDefault="00451295" w:rsidP="002C4FD9">
      <w:pPr>
        <w:spacing w:before="120" w:after="120" w:line="240" w:lineRule="auto"/>
        <w:jc w:val="right"/>
        <w:rPr>
          <w:rFonts w:ascii="Arial" w:eastAsia="Times New Roman" w:hAnsi="Arial" w:cs="Arial"/>
          <w:sz w:val="18"/>
          <w:szCs w:val="18"/>
        </w:rPr>
      </w:pPr>
    </w:p>
    <w:p w14:paraId="107A9741" w14:textId="11FBC4C8" w:rsidR="00FB0141" w:rsidRPr="00EE4F56" w:rsidRDefault="00154E01" w:rsidP="00EE4F56">
      <w:pPr>
        <w:keepNext/>
        <w:keepLines/>
        <w:spacing w:before="120" w:after="120" w:line="240" w:lineRule="auto"/>
        <w:jc w:val="right"/>
        <w:rPr>
          <w:rFonts w:ascii="Arial" w:eastAsia="Times New Roman" w:hAnsi="Arial" w:cs="Arial"/>
          <w:i/>
          <w:sz w:val="18"/>
          <w:szCs w:val="18"/>
        </w:rPr>
      </w:pPr>
      <w:r>
        <w:rPr>
          <w:rFonts w:ascii="Arial" w:hAnsi="Arial"/>
          <w:i/>
          <w:sz w:val="18"/>
        </w:rPr>
        <w:t>Vydané v súlade s</w:t>
      </w:r>
      <w:r>
        <w:rPr>
          <w:rFonts w:ascii="Arial" w:hAnsi="Arial"/>
          <w:i/>
          <w:sz w:val="18"/>
          <w:szCs w:val="18"/>
        </w:rPr>
        <w:br/>
      </w:r>
      <w:r>
        <w:rPr>
          <w:rFonts w:ascii="Arial" w:hAnsi="Arial"/>
          <w:i/>
          <w:sz w:val="18"/>
        </w:rPr>
        <w:t>článkom 6 ods. 1 bodom 1</w:t>
      </w:r>
      <w:r>
        <w:rPr>
          <w:rFonts w:ascii="Arial" w:hAnsi="Arial"/>
          <w:i/>
          <w:sz w:val="18"/>
          <w:szCs w:val="18"/>
        </w:rPr>
        <w:br/>
      </w:r>
      <w:r>
        <w:rPr>
          <w:rFonts w:ascii="Arial" w:hAnsi="Arial"/>
          <w:i/>
          <w:sz w:val="18"/>
        </w:rPr>
        <w:t>zákona o odpadovom hospodárstve</w:t>
      </w:r>
    </w:p>
    <w:p w14:paraId="712531AB" w14:textId="5769D68D" w:rsidR="00BA59B3" w:rsidRPr="00EE4F5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Pr>
          <w:rFonts w:ascii="Arial" w:hAnsi="Arial"/>
          <w:sz w:val="18"/>
        </w:rPr>
        <w:t>V tomto nariadení sa stanovuje postup, podľa ktorého sa prestáva uplatňovať stav odpadu gumových materiálov získaných z pneumatík po skončení životnosti.</w:t>
      </w:r>
    </w:p>
    <w:p w14:paraId="292A079A" w14:textId="36B6788D" w:rsidR="005F5128" w:rsidRPr="00EE4F56" w:rsidRDefault="00565BE4" w:rsidP="00565BE4">
      <w:pPr>
        <w:pStyle w:val="NumPar1"/>
        <w:numPr>
          <w:ilvl w:val="0"/>
          <w:numId w:val="1"/>
        </w:numPr>
        <w:rPr>
          <w:rFonts w:ascii="Arial" w:hAnsi="Arial" w:cs="Arial"/>
          <w:sz w:val="18"/>
          <w:szCs w:val="18"/>
        </w:rPr>
      </w:pPr>
      <w:r>
        <w:rPr>
          <w:rFonts w:ascii="Arial" w:hAnsi="Arial"/>
          <w:sz w:val="18"/>
        </w:rPr>
        <w:t>V zmysle tohto nariadenia sa za druhotné suroviny považujú gumové materiály získané z pneumatík po skončení životnosti prostredníctvom ich roztrhania, rozdrvenia, rozkúskovania, rozrezania alebo granulovania, ak sú tieto materiály po spracovaní pneumatík určené na predaj na trhu na ďalšie použitie, so spojivami alebo bez nich, a spĺňajú všetky kritériá uvedené v prílohe 1 k tomuto nariadeniu.</w:t>
      </w:r>
    </w:p>
    <w:p w14:paraId="0C893223" w14:textId="5D905217" w:rsidR="00B25D4C" w:rsidRPr="00EE4F5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rPr>
        <w:t>Z pneumatík po skončení životnosti sa môžu získavať tieto druhotné suroviny:</w:t>
      </w:r>
    </w:p>
    <w:p w14:paraId="06550F9B" w14:textId="34B2435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gumový prášok: gumový materiál získaný z rozdrvenia pneumatík po skončení životnosti na čiastočky s veľkosťou do 0,8 mm;</w:t>
      </w:r>
    </w:p>
    <w:p w14:paraId="08446B34" w14:textId="330C7D69"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gumový granulát: gumový materiál získaný z granulovania pneumatík po skončení životnosti na čiastočky s veľkosťou 0,9 – 20 mm; </w:t>
      </w:r>
    </w:p>
    <w:p w14:paraId="43D15EB7" w14:textId="2CBC7E4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gumový mulč: gumový materiál získaný z rozdrobenia, rozdrvenia alebo rozkúskovania pneumatík po skončení životnosti na čiastočky nepravidelného tvaru s veľkosťou 10 – 50 mm; povolená je prímes textílií; </w:t>
      </w:r>
    </w:p>
    <w:p w14:paraId="522B6E7E" w14:textId="216598D1"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gumová drvina: gumový materiál získaný z rozdrobenia, rozdrvenia alebo rozkúskovania pneumatík po skončení životnosti na čiastočky nepravidelného tvaru s veľkosťou prevažne 50 až 300 mm; povolená je prímes kovových drôtov a textílií;</w:t>
      </w:r>
    </w:p>
    <w:p w14:paraId="673AB3B5" w14:textId="61406F9C"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gumové odrezky: gumový materiál získaný z rozdrobenia, rozdrvenia alebo rozkúskovania pneumatík po skončení životnosti na čiastočky nepravidelného tvaru s veľkosťou prevažne 300 až 500 mm; povolená je prímes kovových drôtov a textílií.</w:t>
      </w:r>
    </w:p>
    <w:p w14:paraId="389623F8" w14:textId="05737329"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rPr>
        <w:t>Gumové materiály sa nebudú považovať za druhotné suroviny, ale za odpad, ak sa používajú na nasledujúce účely:</w:t>
      </w:r>
    </w:p>
    <w:p w14:paraId="72EEBFA7" w14:textId="77777777" w:rsidR="00BB0531" w:rsidRPr="00EE4F56" w:rsidRDefault="005770E0" w:rsidP="002C4FD9">
      <w:pPr>
        <w:pStyle w:val="NumPar1"/>
        <w:numPr>
          <w:ilvl w:val="1"/>
          <w:numId w:val="1"/>
        </w:numPr>
        <w:rPr>
          <w:rFonts w:ascii="Arial" w:hAnsi="Arial" w:cs="Arial"/>
          <w:sz w:val="18"/>
          <w:szCs w:val="18"/>
        </w:rPr>
      </w:pPr>
      <w:r>
        <w:rPr>
          <w:rFonts w:ascii="Arial" w:hAnsi="Arial"/>
          <w:sz w:val="18"/>
        </w:rPr>
        <w:t>spaľovanie, s energetickým zhodnocovaním alebo bez energetického zhodnocovania;</w:t>
      </w:r>
    </w:p>
    <w:p w14:paraId="4C3B4C59" w14:textId="198943EB" w:rsidR="00BB0531" w:rsidRPr="00EE4F56" w:rsidRDefault="005770E0" w:rsidP="002C4FD9">
      <w:pPr>
        <w:pStyle w:val="NumPar1"/>
        <w:numPr>
          <w:ilvl w:val="1"/>
          <w:numId w:val="1"/>
        </w:numPr>
        <w:rPr>
          <w:rFonts w:ascii="Arial" w:hAnsi="Arial" w:cs="Arial"/>
          <w:sz w:val="18"/>
          <w:szCs w:val="18"/>
        </w:rPr>
      </w:pPr>
      <w:r>
        <w:rPr>
          <w:rFonts w:ascii="Arial" w:hAnsi="Arial"/>
          <w:sz w:val="18"/>
        </w:rPr>
        <w:t>pyrolýza, plazmolýza, splyňovanie a podobné technologické procesy, pri ktorých sa menia fyzikálne alebo chemické vlastnosti gumových materiálov;</w:t>
      </w:r>
    </w:p>
    <w:p w14:paraId="19ECD4B7" w14:textId="371489AD" w:rsidR="00BB0531" w:rsidRPr="00EE4F56" w:rsidRDefault="00565BE4" w:rsidP="00565BE4">
      <w:pPr>
        <w:pStyle w:val="NumPar1"/>
        <w:numPr>
          <w:ilvl w:val="1"/>
          <w:numId w:val="1"/>
        </w:numPr>
        <w:rPr>
          <w:rFonts w:ascii="Arial" w:hAnsi="Arial" w:cs="Arial"/>
          <w:sz w:val="18"/>
          <w:szCs w:val="18"/>
        </w:rPr>
      </w:pPr>
      <w:r>
        <w:rPr>
          <w:rFonts w:ascii="Arial" w:hAnsi="Arial"/>
          <w:sz w:val="18"/>
        </w:rPr>
        <w:t>skládkovanie alebo skladovanie na obdobie dlhšie ako 1 rok.</w:t>
      </w:r>
    </w:p>
    <w:p w14:paraId="39D31276" w14:textId="7C214E46"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rPr>
        <w:t>Spracovateľ pneumatík po skončení životnosti musí zabezpečiť nasledujúce povinnosti:</w:t>
      </w:r>
    </w:p>
    <w:p w14:paraId="51D52158" w14:textId="29D643C9" w:rsidR="009653E2" w:rsidRPr="00EE4F56" w:rsidRDefault="00565BE4" w:rsidP="00565BE4">
      <w:pPr>
        <w:pStyle w:val="NumPar1"/>
        <w:numPr>
          <w:ilvl w:val="1"/>
          <w:numId w:val="1"/>
        </w:numPr>
        <w:rPr>
          <w:rFonts w:ascii="Arial" w:eastAsia="宋体" w:hAnsi="Arial" w:cs="Arial"/>
          <w:snapToGrid/>
          <w:sz w:val="18"/>
          <w:szCs w:val="18"/>
        </w:rPr>
      </w:pPr>
      <w:r>
        <w:rPr>
          <w:rFonts w:ascii="Arial" w:hAnsi="Arial"/>
          <w:snapToGrid/>
          <w:sz w:val="18"/>
        </w:rPr>
        <w:t>v prípade každej výrobnej dávky druhotných surovín sa vyplní vyhlásenie, ktorým sa preukazuje, že druhotné suroviny spĺňajú platné kritériá stavu konca odpadu stanovené v prílohe 1 k tomuto nariadeniu a tiež podľa prílohy 2 (ďalej len „vyhlásenie o súlade“);</w:t>
      </w:r>
    </w:p>
    <w:p w14:paraId="28D93D0E" w14:textId="117C311A" w:rsidR="00AF72FA" w:rsidRPr="00EE4F5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evidencia recyklovateľných pneumatík po skončení životnosti sa vykonáva v súlade s pravidlami a predpismi na úradných formulároch environmentálnej štatistiky; </w:t>
      </w:r>
    </w:p>
    <w:p w14:paraId="786D0934" w14:textId="58A6CBBB" w:rsidR="009653E2" w:rsidRPr="00EE4F56" w:rsidRDefault="00565BE4" w:rsidP="00565BE4">
      <w:pPr>
        <w:pStyle w:val="NumPar1"/>
        <w:numPr>
          <w:ilvl w:val="1"/>
          <w:numId w:val="1"/>
        </w:numPr>
        <w:rPr>
          <w:rFonts w:ascii="Arial" w:hAnsi="Arial" w:cs="Arial"/>
          <w:sz w:val="18"/>
          <w:szCs w:val="18"/>
        </w:rPr>
      </w:pPr>
      <w:r>
        <w:rPr>
          <w:rFonts w:ascii="Arial" w:hAnsi="Arial"/>
          <w:sz w:val="18"/>
        </w:rPr>
        <w:lastRenderedPageBreak/>
        <w:t>počas prepravy sa ku každej výrobnej dávke druhotných surovín priloží tlačená kópia vyhlásenia o súlade, pričom Environmentálny úrad Lotyšskej republiky môže od spracovateľa pneumatík po skončení životnosti požadovať, aby predložil originál vyhlásenia o súlade.</w:t>
      </w:r>
    </w:p>
    <w:p w14:paraId="49B3F50D" w14:textId="3BD9020A" w:rsidR="00380381" w:rsidRPr="00EE4F56" w:rsidRDefault="00565BE4" w:rsidP="00565BE4">
      <w:pPr>
        <w:pStyle w:val="NumPar1"/>
        <w:numPr>
          <w:ilvl w:val="0"/>
          <w:numId w:val="1"/>
        </w:numPr>
        <w:rPr>
          <w:rFonts w:ascii="Arial" w:hAnsi="Arial" w:cs="Arial"/>
          <w:sz w:val="18"/>
          <w:szCs w:val="18"/>
        </w:rPr>
      </w:pPr>
      <w:r>
        <w:rPr>
          <w:rFonts w:ascii="Arial" w:hAnsi="Arial"/>
          <w:sz w:val="18"/>
        </w:rPr>
        <w:t>Vyhlásenie o súlade bude vypracované elektronicky v súlade s pravidlami a predpismi o elektronických dokumentoch.</w:t>
      </w:r>
    </w:p>
    <w:p w14:paraId="0A20DC9F" w14:textId="49A390BE" w:rsidR="00565BE4" w:rsidRPr="00EE4F56" w:rsidRDefault="00565BE4" w:rsidP="00565BE4">
      <w:pPr>
        <w:pStyle w:val="NumPar1"/>
        <w:numPr>
          <w:ilvl w:val="0"/>
          <w:numId w:val="1"/>
        </w:numPr>
        <w:rPr>
          <w:rFonts w:ascii="Arial" w:hAnsi="Arial" w:cs="Arial"/>
          <w:sz w:val="18"/>
          <w:szCs w:val="18"/>
        </w:rPr>
      </w:pPr>
      <w:r>
        <w:rPr>
          <w:rFonts w:ascii="Arial" w:hAnsi="Arial"/>
          <w:sz w:val="18"/>
        </w:rPr>
        <w:t>Spracovateľ pneumatík po skončení životnosti musí uchovávať vyhlásenie o súlade počas obdobia 5 rokov po dátume jeho vystavenia a predložiť ho na požiadanie príslušných orgánov zodpovedných za nakladanie s odpadom do 10 pracovných dní.</w:t>
      </w:r>
    </w:p>
    <w:p w14:paraId="291BE649" w14:textId="3A776A32" w:rsidR="009653E2" w:rsidRPr="00EE4F56" w:rsidRDefault="00565BE4" w:rsidP="00565BE4">
      <w:pPr>
        <w:pStyle w:val="NumPar1"/>
        <w:numPr>
          <w:ilvl w:val="0"/>
          <w:numId w:val="1"/>
        </w:numPr>
        <w:rPr>
          <w:rFonts w:ascii="Arial" w:hAnsi="Arial" w:cs="Arial"/>
          <w:sz w:val="18"/>
          <w:szCs w:val="18"/>
        </w:rPr>
      </w:pPr>
      <w:r>
        <w:rPr>
          <w:rFonts w:ascii="Arial" w:hAnsi="Arial"/>
          <w:sz w:val="18"/>
        </w:rPr>
        <w:t>Spracovateľ pneumatík po skončení životnosti musí ku každej výrobnej dávke druhotných surovín pripojiť technickú špecifikáciu výrobku.</w:t>
      </w:r>
    </w:p>
    <w:p w14:paraId="74EDE252" w14:textId="3B99B488" w:rsidR="00E40F3E" w:rsidRPr="00EE4F56" w:rsidRDefault="005770E0" w:rsidP="00565BE4">
      <w:pPr>
        <w:pStyle w:val="NumPar1"/>
        <w:numPr>
          <w:ilvl w:val="0"/>
          <w:numId w:val="1"/>
        </w:numPr>
        <w:rPr>
          <w:rFonts w:ascii="Arial" w:hAnsi="Arial" w:cs="Arial"/>
          <w:sz w:val="18"/>
          <w:szCs w:val="18"/>
        </w:rPr>
      </w:pPr>
      <w:r>
        <w:rPr>
          <w:rFonts w:ascii="Arial" w:hAnsi="Arial"/>
          <w:sz w:val="18"/>
        </w:rPr>
        <w:t>Osoba zodpovedná za dovoz druhotných surovín do Lotyšska musí zabezpečiť, aby spracovateľ pneumatík po skončení životnosti pripojil ku každej výrobnej dávke druhotných surovín vyhlásenie s informáciami o fyzikálnych a chemických vlastnostiach zásielky a údajmi o spracovateľovi pneumatík po skončení životnosti</w:t>
      </w:r>
    </w:p>
    <w:p w14:paraId="135C14D9" w14:textId="4C3291F3" w:rsidR="00E40F3E" w:rsidRPr="00EE4F56" w:rsidRDefault="00565BE4" w:rsidP="00565BE4">
      <w:pPr>
        <w:pStyle w:val="NumPar1"/>
        <w:numPr>
          <w:ilvl w:val="0"/>
          <w:numId w:val="1"/>
        </w:numPr>
        <w:rPr>
          <w:rFonts w:ascii="Arial" w:hAnsi="Arial" w:cs="Arial"/>
          <w:sz w:val="18"/>
          <w:szCs w:val="18"/>
        </w:rPr>
      </w:pPr>
      <w:r>
        <w:rPr>
          <w:rFonts w:ascii="Arial" w:hAnsi="Arial"/>
          <w:sz w:val="18"/>
        </w:rPr>
        <w:t>Osoba zodpovedná za dovoz druhotných surovín do Lotyšska musí uchovávať vyhlásenie uvedené v odseku 9 tohto nariadenia počas obdobia 5 rokov po dátume jeho vystavenia a musí ho predložiť na požiadanie príslušných orgánov zodpovedných za nakladanie s odpadom do 10 pracovných dní.</w:t>
      </w:r>
    </w:p>
    <w:p w14:paraId="2E5E440E" w14:textId="072B3AB0" w:rsidR="007F3ACF" w:rsidRPr="00EE4F56" w:rsidRDefault="00565BE4" w:rsidP="00565BE4">
      <w:pPr>
        <w:pStyle w:val="NumPar1"/>
        <w:numPr>
          <w:ilvl w:val="0"/>
          <w:numId w:val="1"/>
        </w:numPr>
        <w:rPr>
          <w:rFonts w:ascii="Arial" w:hAnsi="Arial" w:cs="Arial"/>
          <w:sz w:val="18"/>
          <w:szCs w:val="18"/>
        </w:rPr>
      </w:pPr>
      <w:r>
        <w:rPr>
          <w:rFonts w:ascii="Arial" w:hAnsi="Arial"/>
          <w:sz w:val="18"/>
        </w:rPr>
        <w:t>Spracovateľ pneumatík po skončení životnosti musí zaviesť systém riadenia kvality na zabezpečenie vysledovateľnosti spracovania odpadových pneumatík. Spracovateľ pneumatík po skončení životnosti musí dodržiavať požiadavky na kvalitu a fyzikálne a chemické vlastnosti druhotných surovín stanovené v technických špecifikáciách nákupcu druhotných surovín.</w:t>
      </w:r>
    </w:p>
    <w:p w14:paraId="71659623" w14:textId="1D6FD2D2"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rPr>
        <w:t>Systém riadenia kvality musí zahŕňať podrobný opis spracovania pneumatík po skončení životnosti, ktorý obsahuje tieto informácie:</w:t>
      </w:r>
    </w:p>
    <w:p w14:paraId="613DC0BD" w14:textId="3D66A01D" w:rsidR="007F3ACF" w:rsidRPr="00EE4F56" w:rsidRDefault="00565BE4" w:rsidP="00565BE4">
      <w:pPr>
        <w:pStyle w:val="NumPar1"/>
        <w:numPr>
          <w:ilvl w:val="1"/>
          <w:numId w:val="1"/>
        </w:numPr>
        <w:rPr>
          <w:rFonts w:ascii="Arial" w:hAnsi="Arial" w:cs="Arial"/>
          <w:sz w:val="18"/>
          <w:szCs w:val="18"/>
        </w:rPr>
      </w:pPr>
      <w:r>
        <w:rPr>
          <w:rFonts w:ascii="Arial" w:hAnsi="Arial"/>
          <w:sz w:val="18"/>
        </w:rPr>
        <w:t>opis sledovania kvality spracovania pneumatík po skončení životnosti v súlade s prílohou 1 k tomuto nariadeniu;</w:t>
      </w:r>
    </w:p>
    <w:p w14:paraId="1917EE9A" w14:textId="53719853" w:rsidR="007F3ACF" w:rsidRPr="00EE4F56" w:rsidRDefault="00565BE4" w:rsidP="00565BE4">
      <w:pPr>
        <w:pStyle w:val="NumPar1"/>
        <w:numPr>
          <w:ilvl w:val="1"/>
          <w:numId w:val="1"/>
        </w:numPr>
        <w:rPr>
          <w:rFonts w:ascii="Arial" w:hAnsi="Arial" w:cs="Arial"/>
          <w:sz w:val="18"/>
          <w:szCs w:val="18"/>
        </w:rPr>
      </w:pPr>
      <w:r>
        <w:rPr>
          <w:rFonts w:ascii="Arial" w:hAnsi="Arial"/>
          <w:sz w:val="18"/>
        </w:rPr>
        <w:t>použité metódy odberu vzoriek, fyzikálne a chemické testy vzoriek, označenie druhotných surovín, opis procesov balenia a skladovania;</w:t>
      </w:r>
    </w:p>
    <w:p w14:paraId="4629388D" w14:textId="455AFCE6" w:rsidR="007F3ACF" w:rsidRPr="00EE4F56" w:rsidRDefault="00565BE4" w:rsidP="00565BE4">
      <w:pPr>
        <w:pStyle w:val="NumPar1"/>
        <w:numPr>
          <w:ilvl w:val="1"/>
          <w:numId w:val="1"/>
        </w:numPr>
        <w:rPr>
          <w:rFonts w:ascii="Arial" w:hAnsi="Arial" w:cs="Arial"/>
          <w:sz w:val="18"/>
          <w:szCs w:val="18"/>
        </w:rPr>
      </w:pPr>
      <w:r>
        <w:rPr>
          <w:rFonts w:ascii="Arial" w:hAnsi="Arial"/>
          <w:sz w:val="18"/>
        </w:rPr>
        <w:t>kritériá týkajúce sa súladu pneumatík po skončení životnosti, typy kontrolných opatrení na posúdenie súladu pneumatík po skončení životnosti a spôsoby dokumentovania výsledkov;</w:t>
      </w:r>
    </w:p>
    <w:p w14:paraId="4E419FC7" w14:textId="4E331898" w:rsidR="00480951" w:rsidRPr="00EE4F56" w:rsidRDefault="00565BE4" w:rsidP="00565BE4">
      <w:pPr>
        <w:pStyle w:val="NumPar1"/>
        <w:numPr>
          <w:ilvl w:val="1"/>
          <w:numId w:val="1"/>
        </w:numPr>
        <w:rPr>
          <w:rFonts w:ascii="Arial" w:hAnsi="Arial" w:cs="Arial"/>
          <w:sz w:val="18"/>
          <w:szCs w:val="18"/>
        </w:rPr>
      </w:pPr>
      <w:r>
        <w:rPr>
          <w:rFonts w:ascii="Arial" w:hAnsi="Arial"/>
          <w:sz w:val="18"/>
        </w:rPr>
        <w:t>opis celého cyklu spracovania pneumatík po skončení životnosti vrátane následného nakladania a skladovania odpadu vyprodukovaného v procese spracovania a informácie o potenciálnom predaji druhotných surovín;</w:t>
      </w:r>
    </w:p>
    <w:p w14:paraId="469B7188" w14:textId="074B0FBC" w:rsidR="00480951" w:rsidRPr="00EE4F56" w:rsidRDefault="00565BE4" w:rsidP="00565BE4">
      <w:pPr>
        <w:pStyle w:val="NumPar1"/>
        <w:numPr>
          <w:ilvl w:val="1"/>
          <w:numId w:val="1"/>
        </w:numPr>
        <w:rPr>
          <w:rFonts w:ascii="Arial" w:hAnsi="Arial" w:cs="Arial"/>
          <w:sz w:val="18"/>
          <w:szCs w:val="18"/>
        </w:rPr>
      </w:pPr>
      <w:r>
        <w:rPr>
          <w:rFonts w:ascii="Arial" w:hAnsi="Arial"/>
          <w:sz w:val="18"/>
        </w:rPr>
        <w:t>kritériá súladu s kvalitou druhotných surovín a kritériá vlastnej kontroly podľa prílohy 1 k tomuto nariadeniu;</w:t>
      </w:r>
    </w:p>
    <w:p w14:paraId="4098FDC1" w14:textId="5E9725DF" w:rsidR="00480951" w:rsidRPr="00EE4F56" w:rsidRDefault="00565BE4" w:rsidP="00565BE4">
      <w:pPr>
        <w:pStyle w:val="NumPar1"/>
        <w:numPr>
          <w:ilvl w:val="1"/>
          <w:numId w:val="1"/>
        </w:numPr>
        <w:rPr>
          <w:rFonts w:ascii="Arial" w:hAnsi="Arial" w:cs="Arial"/>
          <w:sz w:val="18"/>
          <w:szCs w:val="18"/>
        </w:rPr>
      </w:pPr>
      <w:r>
        <w:rPr>
          <w:rFonts w:ascii="Arial" w:hAnsi="Arial"/>
          <w:sz w:val="18"/>
        </w:rPr>
        <w:t>pracovníci spracovateľa odpadových pneumatík, ktorí zodpovedajú za každú fázu spracovania pneumatík po skončení životnosti;</w:t>
      </w:r>
    </w:p>
    <w:p w14:paraId="484BA343" w14:textId="1A535465" w:rsidR="007F3ACF" w:rsidRPr="00EE4F56" w:rsidRDefault="00565BE4" w:rsidP="00565BE4">
      <w:pPr>
        <w:pStyle w:val="NumPar1"/>
        <w:numPr>
          <w:ilvl w:val="1"/>
          <w:numId w:val="1"/>
        </w:numPr>
        <w:rPr>
          <w:rFonts w:ascii="Arial" w:hAnsi="Arial" w:cs="Arial"/>
          <w:sz w:val="18"/>
          <w:szCs w:val="18"/>
        </w:rPr>
      </w:pPr>
      <w:r>
        <w:rPr>
          <w:rFonts w:ascii="Arial" w:hAnsi="Arial"/>
          <w:sz w:val="18"/>
        </w:rPr>
        <w:t>potenciálny objem spracovania pneumatík po skončení životnosti.</w:t>
      </w:r>
    </w:p>
    <w:p w14:paraId="3FD89920" w14:textId="523E5EB5"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rPr>
        <w:t>Spracovateľ pneumatík po skončení životnosti musí uchovávať informácie uvedené v odseku 12 tohto nariadenia, a to počas obdobia 5 rokov po prijatí príslušnej výrobnej dávky druhotných surovín.</w:t>
      </w:r>
    </w:p>
    <w:p w14:paraId="47FF1256" w14:textId="25E899E6"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rPr>
        <w:t>Spracovateľ pneumatík po skončení životnosti musí preskúmať systém riadenia kvality, a to každý rok, a tiež v prípade významných zmien v technologických procesoch na získanie druhotných surovín alebo pri zmene fyzikálnych alebo chemických vlastností druhotných surovín.</w:t>
      </w:r>
    </w:p>
    <w:p w14:paraId="75E15CC2" w14:textId="23425DAE" w:rsidR="00361744" w:rsidRPr="00EE4F56" w:rsidRDefault="00565BE4" w:rsidP="00565BE4">
      <w:pPr>
        <w:pStyle w:val="NumPar1"/>
        <w:numPr>
          <w:ilvl w:val="0"/>
          <w:numId w:val="1"/>
        </w:numPr>
        <w:rPr>
          <w:rFonts w:ascii="Arial" w:hAnsi="Arial" w:cs="Arial"/>
          <w:sz w:val="18"/>
          <w:szCs w:val="18"/>
        </w:rPr>
      </w:pPr>
      <w:r>
        <w:rPr>
          <w:rFonts w:ascii="Arial" w:hAnsi="Arial"/>
          <w:sz w:val="18"/>
        </w:rPr>
        <w:t>Na základe písomnej žiadosti príslušných orgánov zodpovedných za nakladanie s odpadom musí spracovateľ pneumatík po skončení životnosti alebo osoba zodpovedná za dovoz druhotných surovín do Lotyšska poskytnúť prístup do všetkých oblastí, priestorov a k všetkým dokumentom, ktoré súvisia so spracovaním a skladovaním pneumatík po skončení životnosti, na posúdenie ich súladu s požiadavkami stanovenými v tomto nariadení.</w:t>
      </w:r>
    </w:p>
    <w:p w14:paraId="5A891589" w14:textId="735B2B58" w:rsidR="00E83F91" w:rsidRPr="00EE4F56" w:rsidRDefault="00565BE4" w:rsidP="00565BE4">
      <w:pPr>
        <w:pStyle w:val="NumPar1"/>
        <w:numPr>
          <w:ilvl w:val="0"/>
          <w:numId w:val="1"/>
        </w:numPr>
        <w:rPr>
          <w:rFonts w:ascii="Arial" w:hAnsi="Arial" w:cs="Arial"/>
          <w:sz w:val="18"/>
          <w:szCs w:val="18"/>
        </w:rPr>
      </w:pPr>
      <w:r>
        <w:rPr>
          <w:rFonts w:ascii="Arial" w:hAnsi="Arial"/>
          <w:sz w:val="18"/>
        </w:rPr>
        <w:t>Spracovateľ pneumatík po skončení životnosti musí informovať nákupcu druhotných surovín, že pneumatiky po skončení životnosti sa spracovávajú v súlade so systémom riadenia kvality.</w:t>
      </w:r>
    </w:p>
    <w:p w14:paraId="21ADDD4B" w14:textId="2365971E"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rPr>
        <w:t>Ak sa gumový materiál, ktorý sa získava z pneumatík po skončení životnosti, dováža z iných krajín, a príslušné orgány krajiny odoslania a cieľovej krajiny sa nedokážu dohodnúť na jeho zaradení, bude sa uplatňovať článok 28 ods. 1 nariadenia Európskeho parlamentu a Rady (ES) č. 1013/2006 zo 14. júna 2006 o preprave odpadu.</w:t>
      </w:r>
    </w:p>
    <w:p w14:paraId="76071F60" w14:textId="244EBA92" w:rsidR="00565BE4" w:rsidRPr="00EE4F56" w:rsidRDefault="00565BE4" w:rsidP="00EE4F56">
      <w:pPr>
        <w:keepNext/>
        <w:spacing w:before="120" w:after="120" w:line="240" w:lineRule="auto"/>
        <w:jc w:val="center"/>
        <w:rPr>
          <w:rFonts w:ascii="Arial" w:hAnsi="Arial" w:cs="Arial"/>
          <w:b/>
          <w:sz w:val="18"/>
          <w:szCs w:val="18"/>
        </w:rPr>
      </w:pPr>
      <w:r>
        <w:rPr>
          <w:rFonts w:ascii="Arial" w:hAnsi="Arial"/>
          <w:b/>
          <w:sz w:val="18"/>
        </w:rPr>
        <w:t>Odkaz na smernicu Európskej únie</w:t>
      </w:r>
    </w:p>
    <w:p w14:paraId="0A4B9838" w14:textId="0C6C33F6" w:rsidR="00565BE4" w:rsidRPr="00EE4F56" w:rsidRDefault="00565BE4" w:rsidP="00565BE4">
      <w:pPr>
        <w:spacing w:before="120" w:after="120" w:line="240" w:lineRule="auto"/>
        <w:ind w:firstLine="360"/>
        <w:rPr>
          <w:rFonts w:ascii="Arial" w:hAnsi="Arial" w:cs="Arial"/>
          <w:sz w:val="18"/>
          <w:szCs w:val="18"/>
        </w:rPr>
      </w:pPr>
      <w:r>
        <w:rPr>
          <w:rFonts w:ascii="Arial" w:hAnsi="Arial"/>
          <w:sz w:val="18"/>
        </w:rPr>
        <w:t>Právne ustanovenia sa dohodnú s Európskou komisiou a členskými štátmi Európskej únie v súlade so smernicou Európskeho parlamentu a Rady (EÚ) 2015/1535 z 9. septembra 2015, ktorou sa stanovuje postup pri poskytovaní informácií v oblasti technických predpisov a pravidiel vzťahujúcich sa na služby informačnej spoločnosti.</w:t>
      </w:r>
    </w:p>
    <w:p w14:paraId="111B5704" w14:textId="04E7938A"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lastRenderedPageBreak/>
        <w:t>predseda vlády Māris Kučinskis</w:t>
      </w:r>
    </w:p>
    <w:p w14:paraId="3BF184A1" w14:textId="66E75894"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minister ochrany životného prostredia</w:t>
      </w:r>
      <w:r>
        <w:rPr>
          <w:rFonts w:ascii="Arial" w:hAnsi="Arial"/>
          <w:i/>
          <w:sz w:val="18"/>
          <w:szCs w:val="18"/>
        </w:rPr>
        <w:br/>
      </w:r>
      <w:r>
        <w:rPr>
          <w:rFonts w:ascii="Arial" w:hAnsi="Arial"/>
          <w:i/>
          <w:sz w:val="18"/>
        </w:rPr>
        <w:t>a regionálneho rozvoja Kaspars Gerhards</w:t>
      </w:r>
    </w:p>
    <w:p w14:paraId="63DE9F70" w14:textId="458F70E2"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rPr>
        <w:t>Príloha 1</w:t>
      </w:r>
      <w:r>
        <w:rPr>
          <w:rFonts w:ascii="Arial" w:hAnsi="Arial"/>
          <w:sz w:val="18"/>
          <w:szCs w:val="18"/>
        </w:rPr>
        <w:br/>
      </w:r>
      <w:r>
        <w:rPr>
          <w:rFonts w:ascii="Arial" w:hAnsi="Arial"/>
          <w:sz w:val="18"/>
        </w:rPr>
        <w:t>k nariadeniu</w:t>
      </w:r>
      <w:r>
        <w:rPr>
          <w:rFonts w:ascii="Arial" w:hAnsi="Arial"/>
          <w:sz w:val="18"/>
          <w:szCs w:val="18"/>
        </w:rPr>
        <w:br/>
      </w:r>
      <w:r>
        <w:rPr>
          <w:rFonts w:ascii="Arial" w:hAnsi="Arial"/>
          <w:sz w:val="18"/>
        </w:rPr>
        <w:t>vlády č. 682</w:t>
      </w:r>
      <w:r>
        <w:rPr>
          <w:rFonts w:ascii="Arial" w:hAnsi="Arial"/>
          <w:sz w:val="18"/>
          <w:szCs w:val="18"/>
        </w:rPr>
        <w:br/>
      </w:r>
      <w:r>
        <w:rPr>
          <w:rFonts w:ascii="Arial" w:hAnsi="Arial"/>
          <w:sz w:val="18"/>
        </w:rPr>
        <w:t>z 13. novembra 2018</w:t>
      </w:r>
    </w:p>
    <w:p w14:paraId="6E977901" w14:textId="77777777" w:rsidR="00220D38" w:rsidRPr="00EE4F5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EE4F56" w:rsidRDefault="00811273" w:rsidP="00926EC8">
      <w:pPr>
        <w:keepNext/>
        <w:keepLines/>
        <w:spacing w:before="120" w:after="120" w:line="240" w:lineRule="auto"/>
        <w:jc w:val="center"/>
        <w:rPr>
          <w:rFonts w:ascii="Arial" w:hAnsi="Arial" w:cs="Arial"/>
          <w:b/>
          <w:sz w:val="24"/>
          <w:szCs w:val="24"/>
        </w:rPr>
      </w:pPr>
      <w:r>
        <w:rPr>
          <w:rFonts w:ascii="Arial" w:hAnsi="Arial"/>
          <w:b/>
          <w:sz w:val="24"/>
        </w:rPr>
        <w:t>Kritériá stavu konca odpadu pre gumové materiály získané z pneumatík po skončení životnosti</w:t>
      </w:r>
    </w:p>
    <w:p w14:paraId="3A07F18D" w14:textId="77777777" w:rsidR="00926EC8" w:rsidRPr="00EE4F56" w:rsidRDefault="00926EC8" w:rsidP="00926EC8">
      <w:pPr>
        <w:keepNext/>
        <w:keepLines/>
        <w:spacing w:before="120" w:after="120" w:line="240" w:lineRule="auto"/>
        <w:jc w:val="center"/>
        <w:rPr>
          <w:rFonts w:ascii="Arial" w:hAnsi="Arial" w:cs="Arial"/>
          <w:b/>
          <w:sz w:val="18"/>
          <w:szCs w:val="18"/>
        </w:rPr>
      </w:pPr>
    </w:p>
    <w:tbl>
      <w:tblPr>
        <w:tblStyle w:val="TableGrid"/>
        <w:tblW w:w="0" w:type="auto"/>
        <w:tblLook w:val="04A0" w:firstRow="1" w:lastRow="0" w:firstColumn="1" w:lastColumn="0" w:noHBand="0" w:noVBand="1"/>
      </w:tblPr>
      <w:tblGrid>
        <w:gridCol w:w="895"/>
        <w:gridCol w:w="4500"/>
        <w:gridCol w:w="3660"/>
      </w:tblGrid>
      <w:tr w:rsidR="00C073D2" w:rsidRPr="00EE4F56" w14:paraId="13A49071" w14:textId="77777777" w:rsidTr="00457E36">
        <w:tc>
          <w:tcPr>
            <w:tcW w:w="895" w:type="dxa"/>
          </w:tcPr>
          <w:p w14:paraId="1BA90B1F" w14:textId="5E5E0C31" w:rsidR="00C073D2" w:rsidRPr="00EE4F56" w:rsidRDefault="00C073D2" w:rsidP="00EE4F56">
            <w:pPr>
              <w:keepNext/>
              <w:spacing w:after="0" w:line="240" w:lineRule="auto"/>
              <w:rPr>
                <w:rFonts w:ascii="Arial" w:hAnsi="Arial" w:cs="Arial"/>
                <w:sz w:val="18"/>
                <w:szCs w:val="18"/>
              </w:rPr>
            </w:pPr>
            <w:r>
              <w:rPr>
                <w:rFonts w:ascii="Arial" w:hAnsi="Arial"/>
                <w:sz w:val="18"/>
              </w:rPr>
              <w:t>Sériové číslo</w:t>
            </w:r>
          </w:p>
        </w:tc>
        <w:tc>
          <w:tcPr>
            <w:tcW w:w="4500" w:type="dxa"/>
          </w:tcPr>
          <w:p w14:paraId="3F1C7675" w14:textId="0C4E0112" w:rsidR="00C073D2" w:rsidRPr="00EE4F56" w:rsidRDefault="00C073D2" w:rsidP="00EE4F56">
            <w:pPr>
              <w:keepNext/>
              <w:spacing w:after="0" w:line="240" w:lineRule="auto"/>
              <w:rPr>
                <w:rFonts w:ascii="Arial" w:hAnsi="Arial" w:cs="Arial"/>
                <w:sz w:val="18"/>
                <w:szCs w:val="18"/>
              </w:rPr>
            </w:pPr>
            <w:r>
              <w:rPr>
                <w:rFonts w:ascii="Arial" w:hAnsi="Arial"/>
                <w:sz w:val="18"/>
              </w:rPr>
              <w:t>Kritériá pre stav konca odpadu</w:t>
            </w:r>
          </w:p>
        </w:tc>
        <w:tc>
          <w:tcPr>
            <w:tcW w:w="3660" w:type="dxa"/>
          </w:tcPr>
          <w:p w14:paraId="41F94A4F" w14:textId="2A896D83" w:rsidR="00C073D2" w:rsidRPr="00EE4F56" w:rsidRDefault="00457E36" w:rsidP="00EE4F56">
            <w:pPr>
              <w:keepNext/>
              <w:spacing w:after="0" w:line="240" w:lineRule="auto"/>
              <w:rPr>
                <w:rFonts w:ascii="Arial" w:hAnsi="Arial" w:cs="Arial"/>
                <w:sz w:val="18"/>
                <w:szCs w:val="18"/>
              </w:rPr>
            </w:pPr>
            <w:r>
              <w:rPr>
                <w:rFonts w:ascii="Arial" w:hAnsi="Arial"/>
                <w:sz w:val="18"/>
              </w:rPr>
              <w:t>Kritériá vlastnej kontroly</w:t>
            </w:r>
          </w:p>
        </w:tc>
      </w:tr>
      <w:tr w:rsidR="0092066C" w:rsidRPr="00EE4F56" w14:paraId="2D4DE908" w14:textId="77777777" w:rsidTr="00457E36">
        <w:tc>
          <w:tcPr>
            <w:tcW w:w="895" w:type="dxa"/>
          </w:tcPr>
          <w:p w14:paraId="2B460D6D" w14:textId="5906950E" w:rsidR="0092066C" w:rsidRPr="00EE4F56" w:rsidRDefault="0092066C" w:rsidP="00457E36">
            <w:pPr>
              <w:spacing w:after="0" w:line="240" w:lineRule="auto"/>
              <w:rPr>
                <w:rFonts w:ascii="Arial" w:hAnsi="Arial" w:cs="Arial"/>
                <w:sz w:val="18"/>
                <w:szCs w:val="18"/>
              </w:rPr>
            </w:pPr>
            <w:r>
              <w:rPr>
                <w:rFonts w:ascii="Arial" w:hAnsi="Arial"/>
                <w:sz w:val="18"/>
              </w:rPr>
              <w:t>1.</w:t>
            </w:r>
          </w:p>
        </w:tc>
        <w:tc>
          <w:tcPr>
            <w:tcW w:w="4500" w:type="dxa"/>
          </w:tcPr>
          <w:p w14:paraId="397DE84A" w14:textId="353A33F4" w:rsidR="0092066C" w:rsidRPr="00EE4F56" w:rsidRDefault="0092066C" w:rsidP="00457E36">
            <w:pPr>
              <w:spacing w:after="0" w:line="240" w:lineRule="auto"/>
              <w:rPr>
                <w:rFonts w:ascii="Arial" w:hAnsi="Arial" w:cs="Arial"/>
                <w:sz w:val="18"/>
                <w:szCs w:val="18"/>
              </w:rPr>
            </w:pPr>
            <w:r>
              <w:rPr>
                <w:rFonts w:ascii="Arial" w:hAnsi="Arial"/>
                <w:sz w:val="18"/>
              </w:rPr>
              <w:t>Požiadavky kvality pre gumové materiály získané z pneumatík po skončení životnosti prostredníctvom mechanického spracovania:</w:t>
            </w:r>
          </w:p>
        </w:tc>
        <w:tc>
          <w:tcPr>
            <w:tcW w:w="3660" w:type="dxa"/>
            <w:vMerge w:val="restart"/>
          </w:tcPr>
          <w:p w14:paraId="7BBF54CE" w14:textId="77777777" w:rsidR="0092066C" w:rsidRPr="00EE4F56" w:rsidRDefault="00457E36" w:rsidP="00457E36">
            <w:pPr>
              <w:spacing w:after="0" w:line="240" w:lineRule="auto"/>
              <w:rPr>
                <w:rFonts w:ascii="Arial" w:hAnsi="Arial" w:cs="Arial"/>
                <w:sz w:val="18"/>
                <w:szCs w:val="18"/>
              </w:rPr>
            </w:pPr>
            <w:r>
              <w:rPr>
                <w:rFonts w:ascii="Arial" w:hAnsi="Arial"/>
                <w:sz w:val="18"/>
              </w:rPr>
              <w:t>Kvalita gumových materiálov sa bude posudzovať:</w:t>
            </w:r>
          </w:p>
          <w:p w14:paraId="5373921E" w14:textId="77777777" w:rsidR="00457E36" w:rsidRPr="00EE4F56" w:rsidRDefault="00457E36" w:rsidP="00457E36">
            <w:pPr>
              <w:spacing w:after="0" w:line="240" w:lineRule="auto"/>
              <w:rPr>
                <w:rFonts w:ascii="Arial" w:hAnsi="Arial" w:cs="Arial"/>
                <w:sz w:val="18"/>
                <w:szCs w:val="18"/>
              </w:rPr>
            </w:pPr>
            <w:r>
              <w:rPr>
                <w:rFonts w:ascii="Arial" w:hAnsi="Arial"/>
                <w:sz w:val="18"/>
              </w:rPr>
              <w:t>- vizuálne;</w:t>
            </w:r>
          </w:p>
          <w:p w14:paraId="5FC028C4" w14:textId="77777777" w:rsidR="00457E36" w:rsidRPr="00EE4F56" w:rsidRDefault="00457E36" w:rsidP="00457E36">
            <w:pPr>
              <w:spacing w:after="0" w:line="240" w:lineRule="auto"/>
              <w:rPr>
                <w:rFonts w:ascii="Arial" w:hAnsi="Arial" w:cs="Arial"/>
                <w:sz w:val="18"/>
                <w:szCs w:val="18"/>
              </w:rPr>
            </w:pPr>
            <w:r>
              <w:rPr>
                <w:rFonts w:ascii="Arial" w:hAnsi="Arial"/>
                <w:sz w:val="18"/>
              </w:rPr>
              <w:t>- z hľadiska fyzikálnych a chemických vlastností získaných z laboratórnych skúšok, vrátane vlastností obsiahnutých v technických špecifikáciách nákupcu druhotných surovín. Na žiadosť nákupcu druhotných surovín sa môžu vykonať ďalšie laboratórne skúšky v súlade s dodatočnými špecifikáciami nákupcu druhotných surovín.</w:t>
            </w:r>
          </w:p>
          <w:p w14:paraId="69E8DEB6" w14:textId="77777777" w:rsidR="00457E36" w:rsidRPr="00EE4F56" w:rsidRDefault="00457E36" w:rsidP="00457E36">
            <w:pPr>
              <w:spacing w:after="0" w:line="240" w:lineRule="auto"/>
              <w:rPr>
                <w:rFonts w:ascii="Arial" w:hAnsi="Arial" w:cs="Arial"/>
                <w:sz w:val="18"/>
                <w:szCs w:val="18"/>
              </w:rPr>
            </w:pPr>
            <w:r>
              <w:rPr>
                <w:rFonts w:ascii="Arial" w:hAnsi="Arial"/>
                <w:sz w:val="18"/>
              </w:rPr>
              <w:t>V prípade každého typu druhotnej suroviny získanej z pneumatík po skončení životnosti sa musí vykonať testovanie reprezentatívnych vzoriek.</w:t>
            </w:r>
          </w:p>
          <w:p w14:paraId="11203C7D" w14:textId="153A46CA" w:rsidR="00457E36" w:rsidRPr="00EE4F56" w:rsidRDefault="00457E36" w:rsidP="00457E36">
            <w:pPr>
              <w:spacing w:after="0" w:line="240" w:lineRule="auto"/>
              <w:rPr>
                <w:rFonts w:ascii="Arial" w:hAnsi="Arial" w:cs="Arial"/>
                <w:sz w:val="18"/>
                <w:szCs w:val="18"/>
              </w:rPr>
            </w:pPr>
            <w:r>
              <w:rPr>
                <w:rFonts w:ascii="Arial" w:hAnsi="Arial"/>
                <w:sz w:val="18"/>
              </w:rPr>
              <w:t>Reprezentatívne vzorky sa získavajú v súlade s postupom odberu vzoriek, ktorý je obsiahnutý a podrobne opísaný v rámci systému riadenia kvality (napríklad používané metódy odberu vzoriek, frekvencia odberu vzoriek, veľkosť, typy a čísla vzoriek, štatistická analýza atď.). Fyzikálne a chemické vlastnosti sa musia testovať v laboratóriu.</w:t>
            </w:r>
          </w:p>
          <w:p w14:paraId="2E45229F" w14:textId="1CBD42AE" w:rsidR="00457E36" w:rsidRPr="00EE4F56" w:rsidRDefault="00457E36" w:rsidP="00457E36">
            <w:pPr>
              <w:spacing w:after="0" w:line="240" w:lineRule="auto"/>
              <w:rPr>
                <w:rFonts w:ascii="Arial" w:hAnsi="Arial" w:cs="Arial"/>
                <w:sz w:val="18"/>
                <w:szCs w:val="18"/>
              </w:rPr>
            </w:pPr>
            <w:r>
              <w:rPr>
                <w:rFonts w:ascii="Arial" w:hAnsi="Arial"/>
                <w:sz w:val="18"/>
              </w:rPr>
              <w:t>Kritériá súladu druhotných surovín uvedené v odseku 1 tejto prílohy musia byť zavedené a opísané v rámci používaného systému riadenia kvality.</w:t>
            </w:r>
          </w:p>
        </w:tc>
      </w:tr>
      <w:tr w:rsidR="0092066C" w:rsidRPr="00EE4F56" w14:paraId="22003AE0" w14:textId="77777777" w:rsidTr="00457E36">
        <w:tc>
          <w:tcPr>
            <w:tcW w:w="895" w:type="dxa"/>
          </w:tcPr>
          <w:p w14:paraId="20F1A562" w14:textId="07FED095" w:rsidR="0092066C" w:rsidRPr="00EE4F56" w:rsidRDefault="0092066C" w:rsidP="00457E36">
            <w:pPr>
              <w:spacing w:after="0" w:line="240" w:lineRule="auto"/>
              <w:rPr>
                <w:rFonts w:ascii="Arial" w:hAnsi="Arial" w:cs="Arial"/>
                <w:sz w:val="18"/>
                <w:szCs w:val="18"/>
              </w:rPr>
            </w:pPr>
            <w:r>
              <w:rPr>
                <w:rFonts w:ascii="Arial" w:hAnsi="Arial"/>
                <w:sz w:val="18"/>
              </w:rPr>
              <w:t>1.1</w:t>
            </w:r>
          </w:p>
        </w:tc>
        <w:tc>
          <w:tcPr>
            <w:tcW w:w="4500" w:type="dxa"/>
          </w:tcPr>
          <w:p w14:paraId="71627365" w14:textId="5A597E79" w:rsidR="0092066C" w:rsidRPr="00EE4F56" w:rsidRDefault="0092066C" w:rsidP="00B7715F">
            <w:pPr>
              <w:spacing w:after="0" w:line="240" w:lineRule="auto"/>
              <w:rPr>
                <w:rFonts w:ascii="Arial" w:hAnsi="Arial" w:cs="Arial"/>
                <w:sz w:val="18"/>
                <w:szCs w:val="18"/>
              </w:rPr>
            </w:pPr>
            <w:r>
              <w:rPr>
                <w:rFonts w:ascii="Arial" w:hAnsi="Arial"/>
                <w:sz w:val="18"/>
              </w:rPr>
              <w:t>nemajú nebezpečné vlastnosti uvedené v nariadení Komisie (EÚ) č. 1357/2014 z 18. decembra 2014, ktorým sa nahrádza príloha III k smernici Európskeho parlamentu a Rady 2008/98/ES o odpade a o zrušení určitých smerníc, a neprekračujú koncentračné limity uvedené v prílohe IV k nariadeniu (ES) č. 850/2004 Európskeho parlamentu a Rady z 29. apríla 2004 o perzistentných organických znečisťujúcich látkach, ktorým sa mení a dopĺňa smernica 79/117/EHS;</w:t>
            </w:r>
          </w:p>
        </w:tc>
        <w:tc>
          <w:tcPr>
            <w:tcW w:w="3660" w:type="dxa"/>
            <w:vMerge/>
          </w:tcPr>
          <w:p w14:paraId="68F1DEE1" w14:textId="77777777" w:rsidR="0092066C" w:rsidRPr="00EE4F56" w:rsidRDefault="0092066C" w:rsidP="00457E36">
            <w:pPr>
              <w:spacing w:after="0" w:line="240" w:lineRule="auto"/>
              <w:rPr>
                <w:rFonts w:ascii="Arial" w:hAnsi="Arial" w:cs="Arial"/>
                <w:sz w:val="18"/>
                <w:szCs w:val="18"/>
              </w:rPr>
            </w:pPr>
          </w:p>
        </w:tc>
      </w:tr>
      <w:tr w:rsidR="0092066C" w:rsidRPr="00EE4F56" w14:paraId="39061EA2" w14:textId="77777777" w:rsidTr="00457E36">
        <w:tc>
          <w:tcPr>
            <w:tcW w:w="895" w:type="dxa"/>
          </w:tcPr>
          <w:p w14:paraId="7DDF74BE" w14:textId="1922C9D1" w:rsidR="0092066C" w:rsidRPr="00EE4F56" w:rsidRDefault="0092066C" w:rsidP="00457E36">
            <w:pPr>
              <w:spacing w:after="0" w:line="240" w:lineRule="auto"/>
              <w:rPr>
                <w:rFonts w:ascii="Arial" w:hAnsi="Arial" w:cs="Arial"/>
                <w:sz w:val="18"/>
                <w:szCs w:val="18"/>
              </w:rPr>
            </w:pPr>
            <w:r>
              <w:rPr>
                <w:rFonts w:ascii="Arial" w:hAnsi="Arial"/>
                <w:sz w:val="18"/>
              </w:rPr>
              <w:t>1.2.</w:t>
            </w:r>
          </w:p>
        </w:tc>
        <w:tc>
          <w:tcPr>
            <w:tcW w:w="4500" w:type="dxa"/>
          </w:tcPr>
          <w:p w14:paraId="008EA745" w14:textId="5C4C4C5F" w:rsidR="0092066C" w:rsidRPr="00EE4F56" w:rsidRDefault="0092066C" w:rsidP="00457E36">
            <w:pPr>
              <w:spacing w:after="0" w:line="240" w:lineRule="auto"/>
              <w:rPr>
                <w:rFonts w:ascii="Arial" w:hAnsi="Arial" w:cs="Arial"/>
                <w:sz w:val="18"/>
                <w:szCs w:val="18"/>
              </w:rPr>
            </w:pPr>
            <w:r>
              <w:rPr>
                <w:rFonts w:ascii="Arial" w:hAnsi="Arial"/>
                <w:sz w:val="18"/>
              </w:rPr>
              <w:t>spĺňajú obmedzenia článku 50 prílohy XVII k nariadeniu 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93/67/EHS, 93/105/ES a 2000/21/ES;</w:t>
            </w:r>
          </w:p>
        </w:tc>
        <w:tc>
          <w:tcPr>
            <w:tcW w:w="3660" w:type="dxa"/>
            <w:vMerge/>
          </w:tcPr>
          <w:p w14:paraId="7BB3BA7C" w14:textId="77777777" w:rsidR="0092066C" w:rsidRPr="00EE4F56" w:rsidRDefault="0092066C" w:rsidP="00457E36">
            <w:pPr>
              <w:spacing w:after="0" w:line="240" w:lineRule="auto"/>
              <w:rPr>
                <w:rFonts w:ascii="Arial" w:hAnsi="Arial" w:cs="Arial"/>
                <w:sz w:val="18"/>
                <w:szCs w:val="18"/>
              </w:rPr>
            </w:pPr>
          </w:p>
        </w:tc>
      </w:tr>
      <w:tr w:rsidR="0092066C" w:rsidRPr="00EE4F56" w14:paraId="31CC99BE" w14:textId="77777777" w:rsidTr="00457E36">
        <w:tc>
          <w:tcPr>
            <w:tcW w:w="895" w:type="dxa"/>
          </w:tcPr>
          <w:p w14:paraId="3AD20E55" w14:textId="66A523E0" w:rsidR="0092066C" w:rsidRPr="00EE4F56" w:rsidRDefault="0092066C" w:rsidP="00457E36">
            <w:pPr>
              <w:spacing w:after="0" w:line="240" w:lineRule="auto"/>
              <w:rPr>
                <w:rFonts w:ascii="Arial" w:hAnsi="Arial" w:cs="Arial"/>
                <w:sz w:val="18"/>
                <w:szCs w:val="18"/>
              </w:rPr>
            </w:pPr>
            <w:r>
              <w:rPr>
                <w:rFonts w:ascii="Arial" w:hAnsi="Arial"/>
                <w:sz w:val="18"/>
              </w:rPr>
              <w:t>1.3.</w:t>
            </w:r>
          </w:p>
        </w:tc>
        <w:tc>
          <w:tcPr>
            <w:tcW w:w="4500" w:type="dxa"/>
          </w:tcPr>
          <w:p w14:paraId="277CB8C9" w14:textId="43031A50" w:rsidR="0092066C" w:rsidRPr="00EE4F56" w:rsidRDefault="0092066C" w:rsidP="00457E36">
            <w:pPr>
              <w:spacing w:after="0" w:line="240" w:lineRule="auto"/>
              <w:rPr>
                <w:rFonts w:ascii="Arial" w:hAnsi="Arial" w:cs="Arial"/>
                <w:sz w:val="18"/>
                <w:szCs w:val="18"/>
              </w:rPr>
            </w:pPr>
            <w:r>
              <w:rPr>
                <w:rFonts w:ascii="Arial" w:hAnsi="Arial"/>
                <w:sz w:val="18"/>
              </w:rPr>
              <w:t>neobsahujú zreteľné množstvo oleja a mazív;</w:t>
            </w:r>
          </w:p>
        </w:tc>
        <w:tc>
          <w:tcPr>
            <w:tcW w:w="3660" w:type="dxa"/>
            <w:vMerge/>
          </w:tcPr>
          <w:p w14:paraId="76C9ABB1" w14:textId="77777777" w:rsidR="0092066C" w:rsidRPr="00EE4F56" w:rsidRDefault="0092066C" w:rsidP="00457E36">
            <w:pPr>
              <w:spacing w:after="0" w:line="240" w:lineRule="auto"/>
              <w:rPr>
                <w:rFonts w:ascii="Arial" w:hAnsi="Arial" w:cs="Arial"/>
                <w:sz w:val="18"/>
                <w:szCs w:val="18"/>
              </w:rPr>
            </w:pPr>
          </w:p>
        </w:tc>
      </w:tr>
      <w:tr w:rsidR="0092066C" w:rsidRPr="00EE4F56" w14:paraId="1D92DF7D" w14:textId="77777777" w:rsidTr="00457E36">
        <w:tc>
          <w:tcPr>
            <w:tcW w:w="895" w:type="dxa"/>
          </w:tcPr>
          <w:p w14:paraId="1132CBFE" w14:textId="685E371E" w:rsidR="0092066C" w:rsidRPr="00EE4F56" w:rsidRDefault="0092066C" w:rsidP="00457E36">
            <w:pPr>
              <w:spacing w:after="0" w:line="240" w:lineRule="auto"/>
              <w:rPr>
                <w:rFonts w:ascii="Arial" w:hAnsi="Arial" w:cs="Arial"/>
                <w:sz w:val="18"/>
                <w:szCs w:val="18"/>
              </w:rPr>
            </w:pPr>
            <w:r>
              <w:rPr>
                <w:rFonts w:ascii="Arial" w:hAnsi="Arial"/>
                <w:sz w:val="18"/>
              </w:rPr>
              <w:t>1.4.</w:t>
            </w:r>
          </w:p>
        </w:tc>
        <w:tc>
          <w:tcPr>
            <w:tcW w:w="4500" w:type="dxa"/>
          </w:tcPr>
          <w:p w14:paraId="64C88B10" w14:textId="09CBDBFE" w:rsidR="0092066C" w:rsidRPr="00EE4F56" w:rsidRDefault="0092066C" w:rsidP="00457E36">
            <w:pPr>
              <w:spacing w:after="0" w:line="240" w:lineRule="auto"/>
              <w:rPr>
                <w:rFonts w:ascii="Arial" w:hAnsi="Arial" w:cs="Arial"/>
                <w:sz w:val="18"/>
                <w:szCs w:val="18"/>
              </w:rPr>
            </w:pPr>
            <w:r>
              <w:rPr>
                <w:rFonts w:ascii="Arial" w:hAnsi="Arial"/>
                <w:sz w:val="18"/>
              </w:rPr>
              <w:t>separácia a kvantitatívna analýza sa vykonávajú v súlade s typom/veľkosťou.</w:t>
            </w:r>
          </w:p>
        </w:tc>
        <w:tc>
          <w:tcPr>
            <w:tcW w:w="3660" w:type="dxa"/>
            <w:vMerge/>
          </w:tcPr>
          <w:p w14:paraId="7C8BE310" w14:textId="77777777" w:rsidR="0092066C" w:rsidRPr="00EE4F56" w:rsidRDefault="0092066C" w:rsidP="00457E36">
            <w:pPr>
              <w:spacing w:after="0" w:line="240" w:lineRule="auto"/>
              <w:rPr>
                <w:rFonts w:ascii="Arial" w:hAnsi="Arial" w:cs="Arial"/>
                <w:sz w:val="18"/>
                <w:szCs w:val="18"/>
              </w:rPr>
            </w:pPr>
          </w:p>
        </w:tc>
      </w:tr>
      <w:tr w:rsidR="00457E36" w:rsidRPr="00EE4F56" w14:paraId="39631E24" w14:textId="77777777" w:rsidTr="00457E36">
        <w:tc>
          <w:tcPr>
            <w:tcW w:w="895" w:type="dxa"/>
          </w:tcPr>
          <w:p w14:paraId="26948FDC" w14:textId="01756593" w:rsidR="00457E36" w:rsidRPr="00EE4F56" w:rsidRDefault="00457E36" w:rsidP="00457E36">
            <w:pPr>
              <w:spacing w:after="0" w:line="240" w:lineRule="auto"/>
              <w:rPr>
                <w:rFonts w:ascii="Arial" w:hAnsi="Arial" w:cs="Arial"/>
                <w:sz w:val="18"/>
                <w:szCs w:val="18"/>
              </w:rPr>
            </w:pPr>
            <w:r>
              <w:rPr>
                <w:rFonts w:ascii="Arial" w:hAnsi="Arial"/>
                <w:sz w:val="18"/>
              </w:rPr>
              <w:t>2.</w:t>
            </w:r>
          </w:p>
        </w:tc>
        <w:tc>
          <w:tcPr>
            <w:tcW w:w="4500" w:type="dxa"/>
          </w:tcPr>
          <w:p w14:paraId="2C5FAF68" w14:textId="0EBED6BA" w:rsidR="00457E36" w:rsidRPr="00EE4F56" w:rsidRDefault="00457E36" w:rsidP="00457E36">
            <w:pPr>
              <w:spacing w:after="0" w:line="240" w:lineRule="auto"/>
              <w:rPr>
                <w:rFonts w:ascii="Arial" w:hAnsi="Arial" w:cs="Arial"/>
                <w:sz w:val="18"/>
                <w:szCs w:val="18"/>
              </w:rPr>
            </w:pPr>
            <w:r>
              <w:rPr>
                <w:rFonts w:ascii="Arial" w:hAnsi="Arial"/>
                <w:sz w:val="18"/>
              </w:rPr>
              <w:t>Požiadavky na recykláciu odpadu na druhotné suroviny:</w:t>
            </w:r>
          </w:p>
        </w:tc>
        <w:tc>
          <w:tcPr>
            <w:tcW w:w="3660" w:type="dxa"/>
            <w:vMerge w:val="restart"/>
          </w:tcPr>
          <w:p w14:paraId="6DD9035E" w14:textId="2E7CF763" w:rsidR="00457E36" w:rsidRPr="00EE4F56" w:rsidRDefault="00457E36" w:rsidP="00457E36">
            <w:pPr>
              <w:spacing w:after="0" w:line="240" w:lineRule="auto"/>
              <w:rPr>
                <w:rFonts w:ascii="Arial" w:hAnsi="Arial" w:cs="Arial"/>
                <w:sz w:val="18"/>
                <w:szCs w:val="18"/>
              </w:rPr>
            </w:pPr>
            <w:r>
              <w:rPr>
                <w:rFonts w:ascii="Arial" w:hAnsi="Arial"/>
                <w:sz w:val="18"/>
              </w:rPr>
              <w:t>Kvalita gumových materiálov sa bude posudzovať vizuálne. Evidencia množstva prijatých a recyklovaných pneumatík po skončení životnosti sa vykonáva v súlade s pravidlami a predpismi na úradných formulároch environmentálnej štatistiky;</w:t>
            </w:r>
          </w:p>
        </w:tc>
      </w:tr>
      <w:tr w:rsidR="00457E36" w:rsidRPr="00EE4F56" w14:paraId="6840C344" w14:textId="77777777" w:rsidTr="00457E36">
        <w:tc>
          <w:tcPr>
            <w:tcW w:w="895" w:type="dxa"/>
          </w:tcPr>
          <w:p w14:paraId="2A88219F" w14:textId="0FC66C8E" w:rsidR="00457E36" w:rsidRPr="00EE4F56" w:rsidRDefault="00457E36" w:rsidP="00457E36">
            <w:pPr>
              <w:spacing w:after="0" w:line="240" w:lineRule="auto"/>
              <w:rPr>
                <w:rFonts w:ascii="Arial" w:hAnsi="Arial" w:cs="Arial"/>
                <w:sz w:val="18"/>
                <w:szCs w:val="18"/>
              </w:rPr>
            </w:pPr>
            <w:r>
              <w:rPr>
                <w:rFonts w:ascii="Arial" w:hAnsi="Arial"/>
                <w:sz w:val="18"/>
              </w:rPr>
              <w:t>2.1.</w:t>
            </w:r>
          </w:p>
        </w:tc>
        <w:tc>
          <w:tcPr>
            <w:tcW w:w="4500" w:type="dxa"/>
          </w:tcPr>
          <w:p w14:paraId="437EA2BC" w14:textId="54240C77" w:rsidR="00457E36" w:rsidRPr="00EE4F56" w:rsidRDefault="00457E36" w:rsidP="00457E36">
            <w:pPr>
              <w:spacing w:after="0" w:line="240" w:lineRule="auto"/>
              <w:rPr>
                <w:rFonts w:ascii="Arial" w:hAnsi="Arial" w:cs="Arial"/>
                <w:sz w:val="18"/>
                <w:szCs w:val="18"/>
              </w:rPr>
            </w:pPr>
            <w:r>
              <w:rPr>
                <w:rFonts w:ascii="Arial" w:hAnsi="Arial"/>
                <w:sz w:val="18"/>
              </w:rPr>
              <w:t>môžu sa použiť len také pneumatiky po skončení životnosti, ktoré zodpovedajú príslušnému zaradeniu odpadu a vlastnostiam nebezpečného odpadu, ako sa stanovuje v pravidlách a predpisoch;</w:t>
            </w:r>
          </w:p>
        </w:tc>
        <w:tc>
          <w:tcPr>
            <w:tcW w:w="3660" w:type="dxa"/>
            <w:vMerge/>
          </w:tcPr>
          <w:p w14:paraId="6C35D532" w14:textId="77777777" w:rsidR="00457E36" w:rsidRPr="00EE4F56" w:rsidRDefault="00457E36" w:rsidP="00457E36">
            <w:pPr>
              <w:spacing w:after="0" w:line="240" w:lineRule="auto"/>
              <w:rPr>
                <w:rFonts w:ascii="Arial" w:hAnsi="Arial" w:cs="Arial"/>
                <w:sz w:val="18"/>
                <w:szCs w:val="18"/>
              </w:rPr>
            </w:pPr>
          </w:p>
        </w:tc>
      </w:tr>
      <w:tr w:rsidR="00457E36" w:rsidRPr="00EE4F56" w14:paraId="487D4CB4" w14:textId="77777777" w:rsidTr="00457E36">
        <w:tc>
          <w:tcPr>
            <w:tcW w:w="895" w:type="dxa"/>
          </w:tcPr>
          <w:p w14:paraId="4E990887" w14:textId="4A3F473F" w:rsidR="00457E36" w:rsidRPr="00EE4F56" w:rsidRDefault="00457E36" w:rsidP="00457E36">
            <w:pPr>
              <w:spacing w:after="0" w:line="240" w:lineRule="auto"/>
              <w:rPr>
                <w:rFonts w:ascii="Arial" w:hAnsi="Arial" w:cs="Arial"/>
                <w:sz w:val="18"/>
                <w:szCs w:val="18"/>
              </w:rPr>
            </w:pPr>
            <w:r>
              <w:rPr>
                <w:rFonts w:ascii="Arial" w:hAnsi="Arial"/>
                <w:sz w:val="18"/>
              </w:rPr>
              <w:t>2.2.</w:t>
            </w:r>
          </w:p>
        </w:tc>
        <w:tc>
          <w:tcPr>
            <w:tcW w:w="4500" w:type="dxa"/>
          </w:tcPr>
          <w:p w14:paraId="5FE90D11" w14:textId="5591F11E" w:rsidR="00457E36" w:rsidRPr="00EE4F56" w:rsidRDefault="00457E36" w:rsidP="00457E36">
            <w:pPr>
              <w:spacing w:after="0" w:line="240" w:lineRule="auto"/>
              <w:rPr>
                <w:rFonts w:ascii="Arial" w:hAnsi="Arial" w:cs="Arial"/>
                <w:sz w:val="18"/>
                <w:szCs w:val="18"/>
              </w:rPr>
            </w:pPr>
            <w:r>
              <w:rPr>
                <w:rFonts w:ascii="Arial" w:hAnsi="Arial"/>
                <w:sz w:val="18"/>
              </w:rPr>
              <w:t>nesmú sa používať pneumatiky po skončení životnosti, ktoré sú kontaminované nebezpečnými látkami alebo nebezpečným odpadom;</w:t>
            </w:r>
          </w:p>
        </w:tc>
        <w:tc>
          <w:tcPr>
            <w:tcW w:w="3660" w:type="dxa"/>
            <w:vMerge/>
          </w:tcPr>
          <w:p w14:paraId="0AA71FD8" w14:textId="77777777" w:rsidR="00457E36" w:rsidRPr="00EE4F56" w:rsidRDefault="00457E36" w:rsidP="00457E36">
            <w:pPr>
              <w:spacing w:after="0" w:line="240" w:lineRule="auto"/>
              <w:rPr>
                <w:rFonts w:ascii="Arial" w:hAnsi="Arial" w:cs="Arial"/>
                <w:sz w:val="18"/>
                <w:szCs w:val="18"/>
              </w:rPr>
            </w:pPr>
          </w:p>
        </w:tc>
      </w:tr>
      <w:tr w:rsidR="00457E36" w:rsidRPr="00EE4F56" w14:paraId="57609288" w14:textId="77777777" w:rsidTr="00457E36">
        <w:tc>
          <w:tcPr>
            <w:tcW w:w="895" w:type="dxa"/>
          </w:tcPr>
          <w:p w14:paraId="3F64AF84" w14:textId="789D220C" w:rsidR="00457E36" w:rsidRPr="00EE4F56" w:rsidRDefault="00457E36" w:rsidP="00457E36">
            <w:pPr>
              <w:spacing w:after="0" w:line="240" w:lineRule="auto"/>
              <w:rPr>
                <w:rFonts w:ascii="Arial" w:hAnsi="Arial" w:cs="Arial"/>
                <w:sz w:val="18"/>
                <w:szCs w:val="18"/>
              </w:rPr>
            </w:pPr>
            <w:r>
              <w:rPr>
                <w:rFonts w:ascii="Arial" w:hAnsi="Arial"/>
                <w:sz w:val="18"/>
              </w:rPr>
              <w:t>3.</w:t>
            </w:r>
          </w:p>
        </w:tc>
        <w:tc>
          <w:tcPr>
            <w:tcW w:w="4500" w:type="dxa"/>
          </w:tcPr>
          <w:p w14:paraId="14AE1F5E" w14:textId="31DB0E8D" w:rsidR="00457E36" w:rsidRPr="00EE4F56" w:rsidRDefault="00457E36" w:rsidP="00457E36">
            <w:pPr>
              <w:spacing w:after="0" w:line="240" w:lineRule="auto"/>
              <w:rPr>
                <w:rFonts w:ascii="Arial" w:hAnsi="Arial" w:cs="Arial"/>
                <w:sz w:val="18"/>
                <w:szCs w:val="18"/>
              </w:rPr>
            </w:pPr>
            <w:r>
              <w:rPr>
                <w:rFonts w:ascii="Arial" w:hAnsi="Arial"/>
                <w:sz w:val="18"/>
              </w:rPr>
              <w:t>Pneumatiky po skončení životnosti sa budú spracovávať takto:</w:t>
            </w:r>
          </w:p>
        </w:tc>
        <w:tc>
          <w:tcPr>
            <w:tcW w:w="3660" w:type="dxa"/>
            <w:vMerge w:val="restart"/>
          </w:tcPr>
          <w:p w14:paraId="76F60667" w14:textId="1033D024" w:rsidR="00457E36" w:rsidRPr="00EE4F56" w:rsidRDefault="00457E36" w:rsidP="00457E36">
            <w:pPr>
              <w:spacing w:after="0" w:line="240" w:lineRule="auto"/>
              <w:rPr>
                <w:rFonts w:ascii="Arial" w:hAnsi="Arial" w:cs="Arial"/>
                <w:sz w:val="18"/>
                <w:szCs w:val="18"/>
              </w:rPr>
            </w:pPr>
            <w:r>
              <w:rPr>
                <w:rFonts w:ascii="Arial" w:hAnsi="Arial"/>
                <w:sz w:val="18"/>
              </w:rPr>
              <w:t>pneumatiky sa musia očistiť mechanicky alebo manuálne;</w:t>
            </w:r>
          </w:p>
        </w:tc>
      </w:tr>
      <w:tr w:rsidR="00457E36" w:rsidRPr="00EE4F56" w14:paraId="72ADEF5F" w14:textId="77777777" w:rsidTr="00457E36">
        <w:tc>
          <w:tcPr>
            <w:tcW w:w="895" w:type="dxa"/>
          </w:tcPr>
          <w:p w14:paraId="3144EE83" w14:textId="3F302CEE" w:rsidR="00457E36" w:rsidRPr="00EE4F56" w:rsidRDefault="00457E36" w:rsidP="00457E36">
            <w:pPr>
              <w:spacing w:after="0" w:line="240" w:lineRule="auto"/>
              <w:rPr>
                <w:rFonts w:ascii="Arial" w:hAnsi="Arial" w:cs="Arial"/>
                <w:sz w:val="18"/>
                <w:szCs w:val="18"/>
              </w:rPr>
            </w:pPr>
            <w:r>
              <w:rPr>
                <w:rFonts w:ascii="Arial" w:hAnsi="Arial"/>
                <w:sz w:val="18"/>
              </w:rPr>
              <w:t>3.1.</w:t>
            </w:r>
          </w:p>
        </w:tc>
        <w:tc>
          <w:tcPr>
            <w:tcW w:w="4500" w:type="dxa"/>
          </w:tcPr>
          <w:p w14:paraId="3C7EE451" w14:textId="1F2099C9" w:rsidR="00457E36" w:rsidRPr="00EE4F56" w:rsidRDefault="00457E36" w:rsidP="00457E36">
            <w:pPr>
              <w:spacing w:after="0" w:line="240" w:lineRule="auto"/>
              <w:rPr>
                <w:rFonts w:ascii="Arial" w:hAnsi="Arial" w:cs="Arial"/>
                <w:sz w:val="18"/>
                <w:szCs w:val="18"/>
              </w:rPr>
            </w:pPr>
            <w:r>
              <w:rPr>
                <w:rFonts w:ascii="Arial" w:hAnsi="Arial"/>
                <w:sz w:val="18"/>
              </w:rPr>
              <w:t>musia sa odstrániť cudzie predmety (napr. kamene, kúsky kovu a nečistoty);</w:t>
            </w:r>
          </w:p>
        </w:tc>
        <w:tc>
          <w:tcPr>
            <w:tcW w:w="3660" w:type="dxa"/>
            <w:vMerge/>
          </w:tcPr>
          <w:p w14:paraId="6B09D143" w14:textId="77777777" w:rsidR="00457E36" w:rsidRPr="00EE4F56" w:rsidRDefault="00457E36" w:rsidP="00457E36">
            <w:pPr>
              <w:spacing w:after="0" w:line="240" w:lineRule="auto"/>
              <w:rPr>
                <w:rFonts w:ascii="Arial" w:hAnsi="Arial" w:cs="Arial"/>
                <w:sz w:val="18"/>
                <w:szCs w:val="18"/>
              </w:rPr>
            </w:pPr>
          </w:p>
        </w:tc>
      </w:tr>
      <w:tr w:rsidR="00457E36" w:rsidRPr="00EE4F56" w14:paraId="7930272F" w14:textId="77777777" w:rsidTr="00457E36">
        <w:tc>
          <w:tcPr>
            <w:tcW w:w="895" w:type="dxa"/>
          </w:tcPr>
          <w:p w14:paraId="1BC5B2BD" w14:textId="363888FE" w:rsidR="00457E36" w:rsidRPr="00EE4F56" w:rsidRDefault="00457E36" w:rsidP="00457E36">
            <w:pPr>
              <w:spacing w:after="0" w:line="240" w:lineRule="auto"/>
              <w:rPr>
                <w:rFonts w:ascii="Arial" w:hAnsi="Arial" w:cs="Arial"/>
                <w:sz w:val="18"/>
                <w:szCs w:val="18"/>
              </w:rPr>
            </w:pPr>
            <w:r>
              <w:rPr>
                <w:rFonts w:ascii="Arial" w:hAnsi="Arial"/>
                <w:sz w:val="18"/>
              </w:rPr>
              <w:t>3.2.</w:t>
            </w:r>
          </w:p>
        </w:tc>
        <w:tc>
          <w:tcPr>
            <w:tcW w:w="4500" w:type="dxa"/>
          </w:tcPr>
          <w:p w14:paraId="0A66B71C" w14:textId="02FFCA5B" w:rsidR="00457E36" w:rsidRPr="00EE4F56" w:rsidRDefault="00457E36" w:rsidP="00457E36">
            <w:pPr>
              <w:spacing w:after="0" w:line="240" w:lineRule="auto"/>
              <w:rPr>
                <w:rFonts w:ascii="Arial" w:hAnsi="Arial" w:cs="Arial"/>
                <w:sz w:val="18"/>
                <w:szCs w:val="18"/>
              </w:rPr>
            </w:pPr>
            <w:r>
              <w:rPr>
                <w:rFonts w:ascii="Arial" w:hAnsi="Arial"/>
                <w:sz w:val="18"/>
              </w:rPr>
              <w:t>použité metódy a procesy nesmú mať škodlivý vplyv na životné prostredie;</w:t>
            </w:r>
          </w:p>
        </w:tc>
        <w:tc>
          <w:tcPr>
            <w:tcW w:w="3660" w:type="dxa"/>
            <w:vMerge/>
          </w:tcPr>
          <w:p w14:paraId="218B545D" w14:textId="77777777" w:rsidR="00457E36" w:rsidRPr="00EE4F56" w:rsidRDefault="00457E36" w:rsidP="00457E36">
            <w:pPr>
              <w:spacing w:after="0" w:line="240" w:lineRule="auto"/>
              <w:rPr>
                <w:rFonts w:ascii="Arial" w:hAnsi="Arial" w:cs="Arial"/>
                <w:sz w:val="18"/>
                <w:szCs w:val="18"/>
              </w:rPr>
            </w:pPr>
          </w:p>
        </w:tc>
      </w:tr>
      <w:tr w:rsidR="00457E36" w:rsidRPr="00EE4F56" w14:paraId="0A02CBCF" w14:textId="77777777" w:rsidTr="00457E36">
        <w:tc>
          <w:tcPr>
            <w:tcW w:w="895" w:type="dxa"/>
          </w:tcPr>
          <w:p w14:paraId="70EAC344" w14:textId="31EC4CA5" w:rsidR="00457E36" w:rsidRPr="00EE4F56" w:rsidRDefault="00457E36" w:rsidP="00457E36">
            <w:pPr>
              <w:spacing w:after="0" w:line="240" w:lineRule="auto"/>
              <w:rPr>
                <w:rFonts w:ascii="Arial" w:hAnsi="Arial" w:cs="Arial"/>
                <w:sz w:val="18"/>
                <w:szCs w:val="18"/>
              </w:rPr>
            </w:pPr>
            <w:r>
              <w:rPr>
                <w:rFonts w:ascii="Arial" w:hAnsi="Arial"/>
                <w:sz w:val="18"/>
              </w:rPr>
              <w:t>3.3.</w:t>
            </w:r>
          </w:p>
        </w:tc>
        <w:tc>
          <w:tcPr>
            <w:tcW w:w="4500" w:type="dxa"/>
          </w:tcPr>
          <w:p w14:paraId="7951EDFA" w14:textId="60205C4B" w:rsidR="00457E36" w:rsidRPr="00EE4F56" w:rsidRDefault="00457E36" w:rsidP="00457E36">
            <w:pPr>
              <w:spacing w:after="0" w:line="240" w:lineRule="auto"/>
              <w:rPr>
                <w:rFonts w:ascii="Arial" w:hAnsi="Arial" w:cs="Arial"/>
                <w:sz w:val="18"/>
                <w:szCs w:val="18"/>
              </w:rPr>
            </w:pPr>
            <w:r>
              <w:rPr>
                <w:rFonts w:ascii="Arial" w:hAnsi="Arial"/>
                <w:sz w:val="18"/>
              </w:rPr>
              <w:t>musia sa dodržiavať pravidlá a predpisy, ktoré upravujú nakladanie s odpadom.</w:t>
            </w:r>
          </w:p>
        </w:tc>
        <w:tc>
          <w:tcPr>
            <w:tcW w:w="3660" w:type="dxa"/>
            <w:vMerge/>
          </w:tcPr>
          <w:p w14:paraId="57238DC6" w14:textId="77777777" w:rsidR="00457E36" w:rsidRPr="00EE4F56" w:rsidRDefault="00457E36" w:rsidP="00457E36">
            <w:pPr>
              <w:spacing w:after="0" w:line="240" w:lineRule="auto"/>
              <w:rPr>
                <w:rFonts w:ascii="Arial" w:hAnsi="Arial" w:cs="Arial"/>
                <w:sz w:val="18"/>
                <w:szCs w:val="18"/>
              </w:rPr>
            </w:pPr>
          </w:p>
        </w:tc>
      </w:tr>
    </w:tbl>
    <w:p w14:paraId="5DCA8031" w14:textId="77777777" w:rsidR="00926EC8" w:rsidRPr="00EE4F56" w:rsidRDefault="00926EC8" w:rsidP="00C073D2">
      <w:pPr>
        <w:spacing w:before="120" w:after="120" w:line="240" w:lineRule="auto"/>
        <w:rPr>
          <w:rFonts w:ascii="Arial" w:hAnsi="Arial" w:cs="Arial"/>
          <w:b/>
          <w:sz w:val="18"/>
          <w:szCs w:val="18"/>
        </w:rPr>
      </w:pPr>
    </w:p>
    <w:p w14:paraId="77BA7611" w14:textId="05AD2423" w:rsidR="00B7715F" w:rsidRPr="00EE4F56" w:rsidRDefault="00B7715F" w:rsidP="00F37A47">
      <w:pPr>
        <w:spacing w:before="120" w:after="120" w:line="240" w:lineRule="auto"/>
        <w:jc w:val="right"/>
        <w:rPr>
          <w:rFonts w:ascii="Arial" w:hAnsi="Arial" w:cs="Arial"/>
          <w:sz w:val="18"/>
          <w:szCs w:val="18"/>
        </w:rPr>
      </w:pPr>
      <w:r>
        <w:rPr>
          <w:rFonts w:ascii="Arial" w:hAnsi="Arial"/>
          <w:sz w:val="18"/>
        </w:rPr>
        <w:t>minister ochrany životného prostredia</w:t>
      </w:r>
      <w:r>
        <w:rPr>
          <w:rFonts w:ascii="Arial" w:hAnsi="Arial"/>
          <w:sz w:val="18"/>
          <w:szCs w:val="18"/>
        </w:rPr>
        <w:br/>
      </w:r>
      <w:r>
        <w:rPr>
          <w:rFonts w:ascii="Arial" w:hAnsi="Arial"/>
          <w:sz w:val="18"/>
        </w:rPr>
        <w:t>a regionálneho rozvoja Kaspars Gerhards</w:t>
      </w:r>
    </w:p>
    <w:p w14:paraId="47505D57" w14:textId="77777777" w:rsidR="00B7715F" w:rsidRPr="00EE4F56" w:rsidRDefault="00B7715F" w:rsidP="00C073D2">
      <w:pPr>
        <w:spacing w:before="120" w:after="120" w:line="240" w:lineRule="auto"/>
        <w:rPr>
          <w:rFonts w:ascii="Arial" w:hAnsi="Arial" w:cs="Arial"/>
          <w:sz w:val="18"/>
          <w:szCs w:val="18"/>
        </w:rPr>
      </w:pPr>
    </w:p>
    <w:p w14:paraId="7119B37C" w14:textId="18C710E5"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rPr>
        <w:lastRenderedPageBreak/>
        <w:t>Príloha 2</w:t>
      </w:r>
      <w:r>
        <w:rPr>
          <w:rFonts w:ascii="Arial" w:hAnsi="Arial"/>
          <w:sz w:val="18"/>
          <w:szCs w:val="18"/>
        </w:rPr>
        <w:br/>
      </w:r>
      <w:r>
        <w:rPr>
          <w:rFonts w:ascii="Arial" w:hAnsi="Arial"/>
          <w:sz w:val="18"/>
        </w:rPr>
        <w:t>k nariadeniu</w:t>
      </w:r>
      <w:r>
        <w:rPr>
          <w:rFonts w:ascii="Arial" w:hAnsi="Arial"/>
          <w:sz w:val="18"/>
          <w:szCs w:val="18"/>
        </w:rPr>
        <w:br/>
      </w:r>
      <w:r>
        <w:rPr>
          <w:rFonts w:ascii="Arial" w:hAnsi="Arial"/>
          <w:sz w:val="18"/>
        </w:rPr>
        <w:t>vlády č. 682</w:t>
      </w:r>
      <w:r>
        <w:rPr>
          <w:rFonts w:ascii="Arial" w:hAnsi="Arial"/>
          <w:sz w:val="18"/>
          <w:szCs w:val="18"/>
        </w:rPr>
        <w:br/>
      </w:r>
      <w:r>
        <w:rPr>
          <w:rFonts w:ascii="Arial" w:hAnsi="Arial"/>
          <w:sz w:val="18"/>
        </w:rPr>
        <w:t>z 13. novembra 2018</w:t>
      </w:r>
    </w:p>
    <w:p w14:paraId="020796EF" w14:textId="77777777" w:rsidR="00B7715F" w:rsidRPr="00EE4F56" w:rsidRDefault="00B7715F" w:rsidP="00EE4F56">
      <w:pPr>
        <w:keepNext/>
        <w:spacing w:before="120" w:after="120" w:line="240" w:lineRule="auto"/>
        <w:rPr>
          <w:rFonts w:ascii="Arial" w:hAnsi="Arial" w:cs="Arial"/>
          <w:sz w:val="18"/>
          <w:szCs w:val="18"/>
        </w:rPr>
      </w:pPr>
    </w:p>
    <w:p w14:paraId="24BC73C5" w14:textId="21992D68"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rPr>
        <w:t>Vyhlásenie potvrdzujúce, že druhotné suroviny spĺňajú kritériá stavu konca odpadu</w:t>
      </w:r>
    </w:p>
    <w:p w14:paraId="6CB22342" w14:textId="77777777" w:rsidR="00B7715F" w:rsidRPr="00EE4F56" w:rsidRDefault="00B7715F" w:rsidP="00EE4F56">
      <w:pPr>
        <w:keepNext/>
        <w:spacing w:after="0" w:line="240" w:lineRule="auto"/>
        <w:rPr>
          <w:rFonts w:ascii="Arial" w:hAnsi="Arial" w:cs="Arial"/>
          <w:sz w:val="18"/>
          <w:szCs w:val="18"/>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200065C6" w14:textId="77777777" w:rsidTr="00AE0B47">
        <w:tc>
          <w:tcPr>
            <w:tcW w:w="3775" w:type="dxa"/>
          </w:tcPr>
          <w:p w14:paraId="26DF1B13" w14:textId="28460EB5" w:rsidR="00B7715F" w:rsidRPr="00EE4F56" w:rsidRDefault="00B7715F" w:rsidP="00AE0B47">
            <w:pPr>
              <w:spacing w:after="0" w:line="240" w:lineRule="auto"/>
              <w:rPr>
                <w:rFonts w:ascii="Arial" w:hAnsi="Arial" w:cs="Arial"/>
                <w:sz w:val="18"/>
                <w:szCs w:val="18"/>
              </w:rPr>
            </w:pPr>
            <w:r>
              <w:rPr>
                <w:rFonts w:ascii="Arial" w:hAnsi="Arial"/>
                <w:sz w:val="18"/>
              </w:rPr>
              <w:t>1. Údaje o spracovateľovi pneumatík po skončení životnosti</w:t>
            </w:r>
          </w:p>
        </w:tc>
        <w:tc>
          <w:tcPr>
            <w:tcW w:w="5280" w:type="dxa"/>
          </w:tcPr>
          <w:p w14:paraId="581E5DC6" w14:textId="77777777" w:rsidR="00B7715F" w:rsidRPr="00EE4F56" w:rsidRDefault="00B7715F" w:rsidP="00AE0B47">
            <w:pPr>
              <w:spacing w:after="0" w:line="240" w:lineRule="auto"/>
              <w:rPr>
                <w:rFonts w:ascii="Arial" w:hAnsi="Arial" w:cs="Arial"/>
                <w:sz w:val="18"/>
                <w:szCs w:val="18"/>
              </w:rPr>
            </w:pPr>
          </w:p>
        </w:tc>
      </w:tr>
      <w:tr w:rsidR="00B7715F" w:rsidRPr="00EE4F56" w14:paraId="509BDBB2" w14:textId="77777777" w:rsidTr="00AE0B47">
        <w:tc>
          <w:tcPr>
            <w:tcW w:w="3775" w:type="dxa"/>
          </w:tcPr>
          <w:p w14:paraId="4A4D2589" w14:textId="4AC78EC0" w:rsidR="00B7715F" w:rsidRPr="00EE4F56" w:rsidRDefault="00B7715F" w:rsidP="00AE0B47">
            <w:pPr>
              <w:spacing w:after="0" w:line="240" w:lineRule="auto"/>
              <w:rPr>
                <w:rFonts w:ascii="Arial" w:hAnsi="Arial" w:cs="Arial"/>
                <w:sz w:val="18"/>
                <w:szCs w:val="18"/>
              </w:rPr>
            </w:pPr>
            <w:r>
              <w:rPr>
                <w:rFonts w:ascii="Arial" w:hAnsi="Arial"/>
                <w:sz w:val="18"/>
              </w:rPr>
              <w:t>Meno právnickej osoby</w:t>
            </w:r>
          </w:p>
        </w:tc>
        <w:tc>
          <w:tcPr>
            <w:tcW w:w="5280" w:type="dxa"/>
            <w:tcBorders>
              <w:bottom w:val="single" w:sz="4" w:space="0" w:color="auto"/>
            </w:tcBorders>
          </w:tcPr>
          <w:p w14:paraId="0CA5D2FD" w14:textId="77777777" w:rsidR="00B7715F" w:rsidRPr="00EE4F56" w:rsidRDefault="00B7715F" w:rsidP="00AE0B47">
            <w:pPr>
              <w:spacing w:after="0" w:line="240" w:lineRule="auto"/>
              <w:rPr>
                <w:rFonts w:ascii="Arial" w:hAnsi="Arial" w:cs="Arial"/>
                <w:sz w:val="18"/>
                <w:szCs w:val="18"/>
              </w:rPr>
            </w:pPr>
          </w:p>
        </w:tc>
      </w:tr>
      <w:tr w:rsidR="00B7715F" w:rsidRPr="00EE4F56" w14:paraId="0E1638E8" w14:textId="77777777" w:rsidTr="00AE0B47">
        <w:tc>
          <w:tcPr>
            <w:tcW w:w="3775" w:type="dxa"/>
          </w:tcPr>
          <w:p w14:paraId="064826D1" w14:textId="7953A0F5" w:rsidR="00B7715F" w:rsidRPr="00EE4F56" w:rsidRDefault="00B7715F" w:rsidP="00AE0B47">
            <w:pPr>
              <w:spacing w:after="0" w:line="240" w:lineRule="auto"/>
              <w:rPr>
                <w:rFonts w:ascii="Arial" w:hAnsi="Arial" w:cs="Arial"/>
                <w:sz w:val="18"/>
                <w:szCs w:val="18"/>
              </w:rPr>
            </w:pPr>
            <w:r>
              <w:rPr>
                <w:rFonts w:ascii="Arial" w:hAnsi="Arial"/>
                <w:sz w:val="18"/>
              </w:rPr>
              <w:t>Evidenčné číslo</w:t>
            </w:r>
          </w:p>
        </w:tc>
        <w:tc>
          <w:tcPr>
            <w:tcW w:w="5280" w:type="dxa"/>
            <w:tcBorders>
              <w:top w:val="single" w:sz="4" w:space="0" w:color="auto"/>
              <w:bottom w:val="single" w:sz="4" w:space="0" w:color="auto"/>
            </w:tcBorders>
          </w:tcPr>
          <w:p w14:paraId="1905C9AA" w14:textId="77777777" w:rsidR="00B7715F" w:rsidRPr="00EE4F56" w:rsidRDefault="00B7715F" w:rsidP="00AE0B47">
            <w:pPr>
              <w:spacing w:after="0" w:line="240" w:lineRule="auto"/>
              <w:rPr>
                <w:rFonts w:ascii="Arial" w:hAnsi="Arial" w:cs="Arial"/>
                <w:sz w:val="18"/>
                <w:szCs w:val="18"/>
              </w:rPr>
            </w:pPr>
          </w:p>
        </w:tc>
      </w:tr>
      <w:tr w:rsidR="00B7715F" w:rsidRPr="00EE4F56" w14:paraId="50D6F8D1" w14:textId="77777777" w:rsidTr="00AE0B47">
        <w:tc>
          <w:tcPr>
            <w:tcW w:w="3775" w:type="dxa"/>
          </w:tcPr>
          <w:p w14:paraId="0591CDF6" w14:textId="6B57CCC7" w:rsidR="00B7715F" w:rsidRPr="00EE4F56" w:rsidRDefault="00B7715F" w:rsidP="00AE0B47">
            <w:pPr>
              <w:spacing w:after="0" w:line="240" w:lineRule="auto"/>
              <w:rPr>
                <w:rFonts w:ascii="Arial" w:hAnsi="Arial" w:cs="Arial"/>
                <w:sz w:val="18"/>
                <w:szCs w:val="18"/>
              </w:rPr>
            </w:pPr>
            <w:r>
              <w:rPr>
                <w:rFonts w:ascii="Arial" w:hAnsi="Arial"/>
                <w:sz w:val="18"/>
              </w:rPr>
              <w:t>Aktuálna adresa</w:t>
            </w:r>
          </w:p>
        </w:tc>
        <w:tc>
          <w:tcPr>
            <w:tcW w:w="5280" w:type="dxa"/>
            <w:tcBorders>
              <w:top w:val="single" w:sz="4" w:space="0" w:color="auto"/>
              <w:bottom w:val="single" w:sz="4" w:space="0" w:color="auto"/>
            </w:tcBorders>
          </w:tcPr>
          <w:p w14:paraId="45971A41" w14:textId="77777777" w:rsidR="00B7715F" w:rsidRPr="00EE4F56" w:rsidRDefault="00B7715F" w:rsidP="00AE0B47">
            <w:pPr>
              <w:spacing w:after="0" w:line="240" w:lineRule="auto"/>
              <w:rPr>
                <w:rFonts w:ascii="Arial" w:hAnsi="Arial" w:cs="Arial"/>
                <w:sz w:val="18"/>
                <w:szCs w:val="18"/>
              </w:rPr>
            </w:pPr>
          </w:p>
        </w:tc>
      </w:tr>
      <w:tr w:rsidR="00B7715F" w:rsidRPr="00EE4F56" w14:paraId="48317DDA" w14:textId="77777777" w:rsidTr="00AE0B47">
        <w:tc>
          <w:tcPr>
            <w:tcW w:w="3775" w:type="dxa"/>
          </w:tcPr>
          <w:p w14:paraId="62145585" w14:textId="6BCA7126" w:rsidR="00B7715F" w:rsidRPr="00EE4F56" w:rsidRDefault="00B7715F" w:rsidP="00AE0B47">
            <w:pPr>
              <w:spacing w:after="0" w:line="240" w:lineRule="auto"/>
              <w:rPr>
                <w:rFonts w:ascii="Arial" w:hAnsi="Arial" w:cs="Arial"/>
                <w:sz w:val="18"/>
                <w:szCs w:val="18"/>
              </w:rPr>
            </w:pPr>
            <w:r>
              <w:rPr>
                <w:rFonts w:ascii="Arial" w:hAnsi="Arial"/>
                <w:sz w:val="18"/>
              </w:rPr>
              <w:t>Registrované sídlo</w:t>
            </w:r>
          </w:p>
        </w:tc>
        <w:tc>
          <w:tcPr>
            <w:tcW w:w="5280" w:type="dxa"/>
            <w:tcBorders>
              <w:top w:val="single" w:sz="4" w:space="0" w:color="auto"/>
              <w:bottom w:val="single" w:sz="4" w:space="0" w:color="auto"/>
            </w:tcBorders>
          </w:tcPr>
          <w:p w14:paraId="4121C93A" w14:textId="77777777" w:rsidR="00B7715F" w:rsidRPr="00EE4F56" w:rsidRDefault="00B7715F" w:rsidP="00AE0B47">
            <w:pPr>
              <w:spacing w:after="0" w:line="240" w:lineRule="auto"/>
              <w:rPr>
                <w:rFonts w:ascii="Arial" w:hAnsi="Arial" w:cs="Arial"/>
                <w:sz w:val="18"/>
                <w:szCs w:val="18"/>
              </w:rPr>
            </w:pPr>
          </w:p>
        </w:tc>
      </w:tr>
      <w:tr w:rsidR="00B7715F" w:rsidRPr="00EE4F56" w14:paraId="65C69248" w14:textId="77777777" w:rsidTr="00AE0B47">
        <w:tc>
          <w:tcPr>
            <w:tcW w:w="3775" w:type="dxa"/>
          </w:tcPr>
          <w:p w14:paraId="2DB5EE7C" w14:textId="46EE0B6A" w:rsidR="00B7715F" w:rsidRPr="00EE4F56" w:rsidRDefault="00B7715F" w:rsidP="00AE0B47">
            <w:pPr>
              <w:spacing w:after="0" w:line="240" w:lineRule="auto"/>
              <w:rPr>
                <w:rFonts w:ascii="Arial" w:hAnsi="Arial" w:cs="Arial"/>
                <w:sz w:val="18"/>
                <w:szCs w:val="18"/>
              </w:rPr>
            </w:pPr>
            <w:r>
              <w:rPr>
                <w:rFonts w:ascii="Arial" w:hAnsi="Arial"/>
                <w:sz w:val="18"/>
              </w:rPr>
              <w:t>Kontaktná osoba</w:t>
            </w:r>
          </w:p>
        </w:tc>
        <w:tc>
          <w:tcPr>
            <w:tcW w:w="5280" w:type="dxa"/>
            <w:tcBorders>
              <w:top w:val="single" w:sz="4" w:space="0" w:color="auto"/>
              <w:bottom w:val="single" w:sz="4" w:space="0" w:color="auto"/>
            </w:tcBorders>
          </w:tcPr>
          <w:p w14:paraId="378AE02B" w14:textId="77777777" w:rsidR="00B7715F" w:rsidRPr="00EE4F56" w:rsidRDefault="00B7715F" w:rsidP="00AE0B47">
            <w:pPr>
              <w:spacing w:after="0" w:line="240" w:lineRule="auto"/>
              <w:rPr>
                <w:rFonts w:ascii="Arial" w:hAnsi="Arial" w:cs="Arial"/>
                <w:sz w:val="18"/>
                <w:szCs w:val="18"/>
              </w:rPr>
            </w:pPr>
          </w:p>
        </w:tc>
      </w:tr>
      <w:tr w:rsidR="00B7715F" w:rsidRPr="00EE4F56" w14:paraId="0F1B80C7" w14:textId="77777777" w:rsidTr="00AE0B47">
        <w:tc>
          <w:tcPr>
            <w:tcW w:w="3775" w:type="dxa"/>
          </w:tcPr>
          <w:p w14:paraId="0DE6CAFF" w14:textId="7792A84C" w:rsidR="00B7715F" w:rsidRPr="00EE4F56" w:rsidRDefault="00B7715F" w:rsidP="00AE0B47">
            <w:pPr>
              <w:spacing w:after="0" w:line="240" w:lineRule="auto"/>
              <w:rPr>
                <w:rFonts w:ascii="Arial" w:hAnsi="Arial" w:cs="Arial"/>
                <w:sz w:val="18"/>
                <w:szCs w:val="18"/>
              </w:rPr>
            </w:pPr>
            <w:r>
              <w:rPr>
                <w:rFonts w:ascii="Arial" w:hAnsi="Arial"/>
                <w:sz w:val="18"/>
              </w:rPr>
              <w:t>Telefónne číslo</w:t>
            </w:r>
          </w:p>
        </w:tc>
        <w:tc>
          <w:tcPr>
            <w:tcW w:w="5280" w:type="dxa"/>
            <w:tcBorders>
              <w:top w:val="single" w:sz="4" w:space="0" w:color="auto"/>
              <w:bottom w:val="single" w:sz="4" w:space="0" w:color="auto"/>
            </w:tcBorders>
          </w:tcPr>
          <w:p w14:paraId="6A064F42" w14:textId="77777777" w:rsidR="00B7715F" w:rsidRPr="00EE4F56" w:rsidRDefault="00B7715F" w:rsidP="00AE0B47">
            <w:pPr>
              <w:spacing w:after="0" w:line="240" w:lineRule="auto"/>
              <w:rPr>
                <w:rFonts w:ascii="Arial" w:hAnsi="Arial" w:cs="Arial"/>
                <w:sz w:val="18"/>
                <w:szCs w:val="18"/>
              </w:rPr>
            </w:pPr>
          </w:p>
        </w:tc>
      </w:tr>
      <w:tr w:rsidR="00B7715F" w:rsidRPr="00EE4F56" w14:paraId="189B72E0" w14:textId="77777777" w:rsidTr="00AE0B47">
        <w:tc>
          <w:tcPr>
            <w:tcW w:w="3775" w:type="dxa"/>
          </w:tcPr>
          <w:p w14:paraId="2D28180D" w14:textId="504F5F26" w:rsidR="00B7715F" w:rsidRPr="00EE4F56" w:rsidRDefault="00B7715F" w:rsidP="00AE0B47">
            <w:pPr>
              <w:spacing w:after="0" w:line="240" w:lineRule="auto"/>
              <w:rPr>
                <w:rFonts w:ascii="Arial" w:hAnsi="Arial" w:cs="Arial"/>
                <w:sz w:val="18"/>
                <w:szCs w:val="18"/>
              </w:rPr>
            </w:pPr>
            <w:r>
              <w:rPr>
                <w:rFonts w:ascii="Arial" w:hAnsi="Arial"/>
                <w:sz w:val="18"/>
              </w:rPr>
              <w:t>E-mail</w:t>
            </w:r>
          </w:p>
        </w:tc>
        <w:tc>
          <w:tcPr>
            <w:tcW w:w="5280" w:type="dxa"/>
            <w:tcBorders>
              <w:top w:val="single" w:sz="4" w:space="0" w:color="auto"/>
              <w:bottom w:val="single" w:sz="4" w:space="0" w:color="auto"/>
            </w:tcBorders>
          </w:tcPr>
          <w:p w14:paraId="762F88AE" w14:textId="77777777" w:rsidR="00B7715F" w:rsidRPr="00EE4F56" w:rsidRDefault="00B7715F" w:rsidP="00AE0B47">
            <w:pPr>
              <w:spacing w:after="0" w:line="240" w:lineRule="auto"/>
              <w:rPr>
                <w:rFonts w:ascii="Arial" w:hAnsi="Arial" w:cs="Arial"/>
                <w:sz w:val="18"/>
                <w:szCs w:val="18"/>
              </w:rPr>
            </w:pPr>
          </w:p>
        </w:tc>
      </w:tr>
    </w:tbl>
    <w:p w14:paraId="08FF7AE3" w14:textId="77777777" w:rsidR="00B7715F" w:rsidRPr="00EE4F56" w:rsidRDefault="00B7715F" w:rsidP="00C073D2">
      <w:pPr>
        <w:spacing w:before="120" w:after="120" w:line="240" w:lineRule="auto"/>
        <w:rPr>
          <w:rFonts w:ascii="Arial" w:hAnsi="Arial" w:cs="Arial"/>
          <w:sz w:val="18"/>
          <w:szCs w:val="18"/>
        </w:rPr>
      </w:pPr>
    </w:p>
    <w:p w14:paraId="4C1A1D1F" w14:textId="582B67BC" w:rsidR="00B7715F" w:rsidRPr="00EE4F56" w:rsidRDefault="00B7715F" w:rsidP="00C073D2">
      <w:pPr>
        <w:spacing w:before="120" w:after="120" w:line="240" w:lineRule="auto"/>
        <w:rPr>
          <w:rFonts w:ascii="Arial" w:hAnsi="Arial" w:cs="Arial"/>
          <w:sz w:val="18"/>
          <w:szCs w:val="18"/>
        </w:rPr>
      </w:pPr>
      <w:r>
        <w:rPr>
          <w:rFonts w:ascii="Arial" w:hAnsi="Arial"/>
          <w:sz w:val="18"/>
        </w:rPr>
        <w:t>2. Technické požiadavky stanovené v technickej špecifikácii nákupcu druhotných surovín vrátane zloženia, veľkosti, prímesí, fyzikálnych a chemických vlastností (uveďte technické požiadavky).</w:t>
      </w:r>
    </w:p>
    <w:p w14:paraId="20DC131E" w14:textId="6362BFA0"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14378538" w14:textId="5E5E3829"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30FE7ABB" w14:textId="1F4C6576" w:rsidR="00B7715F" w:rsidRPr="00EE4F56" w:rsidRDefault="00B7715F" w:rsidP="00C073D2">
      <w:pPr>
        <w:spacing w:before="120" w:after="120" w:line="240" w:lineRule="auto"/>
        <w:rPr>
          <w:rFonts w:ascii="Arial" w:hAnsi="Arial" w:cs="Arial"/>
          <w:sz w:val="18"/>
          <w:szCs w:val="18"/>
        </w:rPr>
      </w:pPr>
      <w:r>
        <w:rPr>
          <w:rFonts w:ascii="Arial" w:hAnsi="Arial"/>
          <w:sz w:val="18"/>
        </w:rPr>
        <w:t>Druhotné suroviny získané z pneumatík po skončení životnosti spĺňajú požiadavky stanovené v technických špecifikáciách.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0067A56A" w14:textId="77777777" w:rsidTr="00AE0B47">
        <w:tc>
          <w:tcPr>
            <w:tcW w:w="3775" w:type="dxa"/>
          </w:tcPr>
          <w:p w14:paraId="2C9C765D" w14:textId="04B847BF" w:rsidR="00B7715F" w:rsidRPr="00EE4F56" w:rsidRDefault="00B7715F" w:rsidP="008F09A9">
            <w:pPr>
              <w:spacing w:before="120" w:after="120" w:line="240" w:lineRule="auto"/>
              <w:rPr>
                <w:rFonts w:ascii="Arial" w:hAnsi="Arial" w:cs="Arial"/>
                <w:sz w:val="18"/>
                <w:szCs w:val="18"/>
              </w:rPr>
            </w:pPr>
            <w:r>
              <w:rPr>
                <w:rFonts w:ascii="Arial" w:hAnsi="Arial"/>
                <w:sz w:val="18"/>
              </w:rPr>
              <w:t>3. Veľkosť zásielky v kg</w:t>
            </w:r>
          </w:p>
        </w:tc>
        <w:tc>
          <w:tcPr>
            <w:tcW w:w="5280" w:type="dxa"/>
            <w:tcBorders>
              <w:bottom w:val="single" w:sz="4" w:space="0" w:color="auto"/>
            </w:tcBorders>
          </w:tcPr>
          <w:p w14:paraId="09759F29" w14:textId="77777777" w:rsidR="00B7715F" w:rsidRPr="00EE4F56" w:rsidRDefault="00B7715F" w:rsidP="008F09A9">
            <w:pPr>
              <w:spacing w:before="120" w:after="120" w:line="240" w:lineRule="auto"/>
              <w:rPr>
                <w:rFonts w:ascii="Arial" w:hAnsi="Arial" w:cs="Arial"/>
                <w:sz w:val="18"/>
                <w:szCs w:val="18"/>
              </w:rPr>
            </w:pPr>
          </w:p>
        </w:tc>
      </w:tr>
    </w:tbl>
    <w:p w14:paraId="43549ADB" w14:textId="08FACEC8" w:rsidR="00B7715F" w:rsidRPr="00EE4F56" w:rsidRDefault="00B7715F" w:rsidP="00C073D2">
      <w:pPr>
        <w:spacing w:before="120" w:after="120" w:line="240" w:lineRule="auto"/>
        <w:rPr>
          <w:rFonts w:ascii="Arial" w:hAnsi="Arial" w:cs="Arial"/>
          <w:sz w:val="18"/>
          <w:szCs w:val="18"/>
        </w:rPr>
      </w:pPr>
      <w:r>
        <w:rPr>
          <w:rFonts w:ascii="Arial" w:hAnsi="Arial"/>
          <w:sz w:val="18"/>
        </w:rPr>
        <w:t>4. Druhotné suroviny získané z pneumatík po skončení životnosti spĺňajú kritériá stavu konca odpadu.*</w:t>
      </w:r>
    </w:p>
    <w:p w14:paraId="1FC59C20" w14:textId="22230D62" w:rsidR="00B7715F" w:rsidRPr="00EE4F56" w:rsidRDefault="00B7715F" w:rsidP="00C073D2">
      <w:pPr>
        <w:spacing w:before="120" w:after="120" w:line="240" w:lineRule="auto"/>
        <w:rPr>
          <w:rFonts w:ascii="Arial" w:hAnsi="Arial" w:cs="Arial"/>
          <w:sz w:val="18"/>
          <w:szCs w:val="18"/>
        </w:rPr>
      </w:pPr>
      <w:r>
        <w:rPr>
          <w:rFonts w:ascii="Arial" w:hAnsi="Arial"/>
          <w:sz w:val="18"/>
        </w:rPr>
        <w:t>5. Spracovateľ pneumatík po skončení životnosti pracuje v súlade so systémom riadenia kvality.</w:t>
      </w:r>
    </w:p>
    <w:p w14:paraId="7B0345EC" w14:textId="1115596F" w:rsidR="00B7715F" w:rsidRPr="00EE4F56" w:rsidRDefault="00B7715F" w:rsidP="00C073D2">
      <w:pPr>
        <w:spacing w:before="120" w:after="120" w:line="240" w:lineRule="auto"/>
        <w:rPr>
          <w:rFonts w:ascii="Arial" w:hAnsi="Arial" w:cs="Arial"/>
          <w:sz w:val="18"/>
          <w:szCs w:val="18"/>
        </w:rPr>
      </w:pPr>
      <w:r>
        <w:rPr>
          <w:rFonts w:ascii="Arial" w:hAnsi="Arial"/>
          <w:sz w:val="18"/>
        </w:rPr>
        <w:t>6. Druhotné suroviny obsiahnuté v zásielke sú určené len na priame použitie (uveďte plánované použitie)</w:t>
      </w:r>
    </w:p>
    <w:p w14:paraId="12A81E9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6AA0222"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79E67D1" w14:textId="46E2033A" w:rsidR="00B7715F" w:rsidRPr="00EE4F56" w:rsidRDefault="00B7715F" w:rsidP="00C073D2">
      <w:pPr>
        <w:spacing w:before="120" w:after="120" w:line="240" w:lineRule="auto"/>
        <w:rPr>
          <w:rFonts w:ascii="Arial" w:hAnsi="Arial" w:cs="Arial"/>
          <w:sz w:val="18"/>
          <w:szCs w:val="18"/>
        </w:rPr>
      </w:pPr>
      <w:r>
        <w:rPr>
          <w:rFonts w:ascii="Arial" w:hAnsi="Arial"/>
          <w:sz w:val="18"/>
        </w:rPr>
        <w:t>7. Ďalšie informácie</w:t>
      </w:r>
    </w:p>
    <w:p w14:paraId="7CEA73E9"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96DA8B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320C18B" w14:textId="16066DFF" w:rsidR="00B7715F" w:rsidRPr="00EE4F56" w:rsidRDefault="00B7715F" w:rsidP="00C073D2">
      <w:pPr>
        <w:spacing w:before="120" w:after="120" w:line="240" w:lineRule="auto"/>
        <w:rPr>
          <w:rFonts w:ascii="Arial" w:hAnsi="Arial" w:cs="Arial"/>
          <w:sz w:val="18"/>
          <w:szCs w:val="18"/>
        </w:rPr>
      </w:pPr>
      <w:r>
        <w:rPr>
          <w:rFonts w:ascii="Arial" w:hAnsi="Arial"/>
          <w:sz w:val="18"/>
        </w:rPr>
        <w:t>8. Týmto potvrdzujem, že informácie v tomto vyhlásení sú úplné a správne.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14:paraId="5915DE74" w14:textId="77777777" w:rsidTr="00AE0B47">
        <w:tc>
          <w:tcPr>
            <w:tcW w:w="1848" w:type="dxa"/>
          </w:tcPr>
          <w:p w14:paraId="7D57F917" w14:textId="1035618B" w:rsidR="00AE0B47" w:rsidRPr="00EE4F56" w:rsidRDefault="00AE0B47" w:rsidP="00C073D2">
            <w:pPr>
              <w:spacing w:before="120" w:after="120" w:line="240" w:lineRule="auto"/>
              <w:rPr>
                <w:rFonts w:ascii="Arial" w:hAnsi="Arial" w:cs="Arial"/>
                <w:sz w:val="18"/>
                <w:szCs w:val="18"/>
              </w:rPr>
            </w:pPr>
            <w:r>
              <w:rPr>
                <w:rFonts w:ascii="Arial" w:hAnsi="Arial"/>
                <w:sz w:val="18"/>
              </w:rPr>
              <w:t>Zástupca hospodárskeho subjektu</w:t>
            </w:r>
          </w:p>
        </w:tc>
        <w:tc>
          <w:tcPr>
            <w:tcW w:w="2112" w:type="dxa"/>
            <w:tcBorders>
              <w:bottom w:val="single" w:sz="4" w:space="0" w:color="auto"/>
            </w:tcBorders>
          </w:tcPr>
          <w:p w14:paraId="32FBF199" w14:textId="77777777" w:rsidR="00AE0B47" w:rsidRPr="00EE4F5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EE4F5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EE4F56" w:rsidRDefault="00AE0B47" w:rsidP="00C073D2">
            <w:pPr>
              <w:spacing w:before="120" w:after="120" w:line="240" w:lineRule="auto"/>
              <w:rPr>
                <w:rFonts w:ascii="Arial" w:hAnsi="Arial" w:cs="Arial"/>
                <w:sz w:val="18"/>
                <w:szCs w:val="18"/>
              </w:rPr>
            </w:pPr>
          </w:p>
        </w:tc>
      </w:tr>
      <w:tr w:rsidR="00AE0B47" w:rsidRPr="00EE4F56" w14:paraId="673F0330" w14:textId="77777777" w:rsidTr="00AE0B47">
        <w:tc>
          <w:tcPr>
            <w:tcW w:w="1848" w:type="dxa"/>
          </w:tcPr>
          <w:p w14:paraId="3703EF18" w14:textId="77777777"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EE4F56" w:rsidRDefault="00AE0B47" w:rsidP="00C073D2">
            <w:pPr>
              <w:spacing w:before="120" w:after="120" w:line="240" w:lineRule="auto"/>
              <w:rPr>
                <w:rFonts w:ascii="Arial" w:hAnsi="Arial" w:cs="Arial"/>
                <w:sz w:val="18"/>
                <w:szCs w:val="18"/>
              </w:rPr>
            </w:pPr>
            <w:r>
              <w:rPr>
                <w:rFonts w:ascii="Arial" w:hAnsi="Arial"/>
                <w:sz w:val="18"/>
              </w:rPr>
              <w:t>(meno a priezvisko)</w:t>
            </w:r>
          </w:p>
        </w:tc>
        <w:tc>
          <w:tcPr>
            <w:tcW w:w="270" w:type="dxa"/>
          </w:tcPr>
          <w:p w14:paraId="4030CDFA"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EE4F56" w:rsidRDefault="00AE0B47" w:rsidP="00C073D2">
            <w:pPr>
              <w:spacing w:before="120" w:after="120" w:line="240" w:lineRule="auto"/>
              <w:rPr>
                <w:rFonts w:ascii="Arial" w:hAnsi="Arial" w:cs="Arial"/>
                <w:sz w:val="18"/>
                <w:szCs w:val="18"/>
              </w:rPr>
            </w:pPr>
            <w:r>
              <w:rPr>
                <w:rFonts w:ascii="Arial" w:hAnsi="Arial"/>
                <w:sz w:val="18"/>
              </w:rPr>
              <w:t>(funkcia)</w:t>
            </w:r>
          </w:p>
        </w:tc>
        <w:tc>
          <w:tcPr>
            <w:tcW w:w="270" w:type="dxa"/>
          </w:tcPr>
          <w:p w14:paraId="7B631DF1"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EE4F56" w:rsidRDefault="00AE0B47" w:rsidP="00C073D2">
            <w:pPr>
              <w:spacing w:before="120" w:after="120" w:line="240" w:lineRule="auto"/>
              <w:rPr>
                <w:rFonts w:ascii="Arial" w:hAnsi="Arial" w:cs="Arial"/>
                <w:sz w:val="18"/>
                <w:szCs w:val="18"/>
              </w:rPr>
            </w:pPr>
            <w:r>
              <w:rPr>
                <w:rFonts w:ascii="Arial" w:hAnsi="Arial"/>
                <w:sz w:val="18"/>
              </w:rPr>
              <w:t>(podpis)</w:t>
            </w:r>
          </w:p>
        </w:tc>
      </w:tr>
    </w:tbl>
    <w:p w14:paraId="2AADE09E" w14:textId="053B16F2"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rPr>
        <w:t xml:space="preserve">Dátum </w:t>
      </w:r>
      <w:r>
        <w:tab/>
      </w:r>
    </w:p>
    <w:p w14:paraId="6B8ECF2F" w14:textId="67FDA42C" w:rsidR="00B7715F" w:rsidRPr="00EE4F56" w:rsidRDefault="00B7715F" w:rsidP="00C073D2">
      <w:pPr>
        <w:spacing w:before="120" w:after="120" w:line="240" w:lineRule="auto"/>
        <w:rPr>
          <w:rFonts w:ascii="Arial" w:hAnsi="Arial" w:cs="Arial"/>
          <w:sz w:val="18"/>
          <w:szCs w:val="18"/>
        </w:rPr>
      </w:pPr>
      <w:r>
        <w:rPr>
          <w:rFonts w:ascii="Arial" w:hAnsi="Arial"/>
          <w:sz w:val="18"/>
        </w:rPr>
        <w:t>Poznámka: * Kritériá stanovené v prílohe 1 k nariadeniu vlády č. 682 z 13. novembra 2018 s názvom „Postup, podľa ktorého sa prestáva uplatňovať stav odpadu gumových materiálov získaných z pneumatík po skončení životnosti“ a zahrnuté do systému riadenia kvality spracovateľa pneumatík po skončení životnosti.</w:t>
      </w:r>
    </w:p>
    <w:p w14:paraId="08902B5E" w14:textId="13292DF0" w:rsidR="00B7715F" w:rsidRPr="00EE4F56" w:rsidRDefault="00B7715F" w:rsidP="00AE0B47">
      <w:pPr>
        <w:spacing w:before="120" w:after="120" w:line="240" w:lineRule="auto"/>
        <w:jc w:val="right"/>
        <w:rPr>
          <w:rFonts w:ascii="Arial" w:hAnsi="Arial" w:cs="Arial"/>
          <w:sz w:val="18"/>
          <w:szCs w:val="18"/>
        </w:rPr>
      </w:pPr>
      <w:r>
        <w:rPr>
          <w:rFonts w:ascii="Arial" w:hAnsi="Arial"/>
          <w:sz w:val="18"/>
        </w:rPr>
        <w:t>minister ochrany životného prostredia</w:t>
      </w:r>
      <w:r>
        <w:rPr>
          <w:rFonts w:ascii="Arial" w:hAnsi="Arial"/>
          <w:sz w:val="18"/>
          <w:szCs w:val="18"/>
        </w:rPr>
        <w:br/>
      </w:r>
      <w:r>
        <w:rPr>
          <w:rFonts w:ascii="Arial" w:hAnsi="Arial"/>
          <w:sz w:val="18"/>
        </w:rPr>
        <w:t>a regionálneho rozvoja Kaspars Gerhards</w:t>
      </w:r>
    </w:p>
    <w:p w14:paraId="1DDC6089" w14:textId="77777777" w:rsidR="00B7715F" w:rsidRPr="00EE4F56" w:rsidRDefault="00B7715F" w:rsidP="00C073D2">
      <w:pPr>
        <w:spacing w:before="120" w:after="120" w:line="240" w:lineRule="auto"/>
        <w:rPr>
          <w:rFonts w:ascii="Arial" w:hAnsi="Arial" w:cs="Arial"/>
          <w:sz w:val="18"/>
          <w:szCs w:val="18"/>
        </w:rPr>
      </w:pPr>
    </w:p>
    <w:p w14:paraId="2DD4180C" w14:textId="77777777" w:rsidR="00AE0B47" w:rsidRPr="00EE4F56" w:rsidRDefault="00AE0B47" w:rsidP="00AE0B47">
      <w:pPr>
        <w:pBdr>
          <w:bottom w:val="single" w:sz="18" w:space="1" w:color="53C862" w:themeColor="background1" w:themeShade="A6"/>
        </w:pBdr>
        <w:spacing w:before="120" w:after="120" w:line="240" w:lineRule="auto"/>
        <w:rPr>
          <w:rFonts w:ascii="Arial" w:hAnsi="Arial" w:cs="Arial"/>
          <w:sz w:val="18"/>
          <w:szCs w:val="18"/>
        </w:rPr>
      </w:pPr>
    </w:p>
    <w:p w14:paraId="10DA1750" w14:textId="72D52856" w:rsidR="00B7715F" w:rsidRPr="00EE4F56" w:rsidRDefault="00B7715F" w:rsidP="00C073D2">
      <w:pPr>
        <w:spacing w:before="120" w:after="120" w:line="240" w:lineRule="auto"/>
        <w:rPr>
          <w:rFonts w:ascii="Arial" w:hAnsi="Arial" w:cs="Arial"/>
          <w:b/>
          <w:color w:val="A6A6A6"/>
          <w:sz w:val="18"/>
          <w:szCs w:val="18"/>
        </w:rPr>
      </w:pPr>
      <w:r>
        <w:rPr>
          <w:rFonts w:ascii="Arial" w:hAnsi="Arial"/>
          <w:b/>
          <w:color w:val="A6A6A6"/>
          <w:sz w:val="18"/>
        </w:rPr>
        <w:t>© Úradná publikácia „Latvijas Vēstnesis“</w:t>
      </w:r>
    </w:p>
    <w:sectPr w:rsidR="00B7715F" w:rsidRPr="00EE4F56" w:rsidSect="000027DE">
      <w:footerReference w:type="default" r:id="rId8"/>
      <w:footerReference w:type="first" r:id="rId9"/>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C6FE5" w14:textId="77777777" w:rsidR="00716463" w:rsidRDefault="00716463">
      <w:pPr>
        <w:spacing w:after="0" w:line="240" w:lineRule="auto"/>
      </w:pPr>
      <w:r>
        <w:separator/>
      </w:r>
    </w:p>
  </w:endnote>
  <w:endnote w:type="continuationSeparator" w:id="0">
    <w:p w14:paraId="4C0D660D" w14:textId="77777777" w:rsidR="00716463" w:rsidRDefault="0071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3D2D57">
          <w:rPr>
            <w:rFonts w:ascii="Arial" w:hAnsi="Arial" w:cs="Arial"/>
            <w:noProof/>
            <w:sz w:val="18"/>
            <w:szCs w:val="18"/>
          </w:rPr>
          <w:t>4</w:t>
        </w:r>
        <w:r w:rsidRPr="001919C1">
          <w:rPr>
            <w:rFonts w:ascii="Arial" w:hAnsi="Arial" w:cs="Arial"/>
            <w:sz w:val="18"/>
            <w:szCs w:val="18"/>
          </w:rPr>
          <w:fldChar w:fldCharType="end"/>
        </w:r>
        <w:r>
          <w:rPr>
            <w:rFonts w:ascii="Arial" w:hAnsi="Arial"/>
            <w:sz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3D2D57">
              <w:rPr>
                <w:rFonts w:ascii="Arial" w:hAnsi="Arial" w:cs="Arial"/>
                <w:noProof/>
                <w:sz w:val="18"/>
                <w:szCs w:val="18"/>
              </w:rPr>
              <w:t>4</w:t>
            </w:r>
            <w:r w:rsidRPr="001919C1">
              <w:rPr>
                <w:rFonts w:ascii="Arial" w:hAnsi="Arial" w:cs="Arial"/>
                <w:sz w:val="18"/>
                <w:szCs w:val="18"/>
              </w:rPr>
              <w:fldChar w:fldCharType="end"/>
            </w:r>
          </w:sdtContent>
        </w:sdt>
      </w:p>
      <w:p w14:paraId="73533EAC" w14:textId="340B73F3" w:rsidR="00C77626" w:rsidRDefault="003D2D57">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3D2D57"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sz w:val="24"/>
            <w:szCs w:val="24"/>
          </w:rPr>
          <w:fldChar w:fldCharType="end"/>
        </w:r>
      </w:sdtContent>
    </w:sdt>
    <w:r w:rsidR="00344F8E">
      <w:rPr>
        <w:rFonts w:ascii="Times New Roman" w:hAnsi="Times New Roman"/>
        <w:sz w:val="24"/>
      </w:rPr>
      <w:t>/</w:t>
    </w:r>
    <w:r w:rsidR="00344F8E">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4</w:t>
        </w:r>
        <w:r w:rsidR="00FC6D0F" w:rsidRPr="00BB2301">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F093D" w14:textId="77777777" w:rsidR="00716463" w:rsidRDefault="00716463">
      <w:pPr>
        <w:spacing w:after="0" w:line="240" w:lineRule="auto"/>
      </w:pPr>
      <w:r>
        <w:separator/>
      </w:r>
    </w:p>
  </w:footnote>
  <w:footnote w:type="continuationSeparator" w:id="0">
    <w:p w14:paraId="6B4DF62E" w14:textId="77777777" w:rsidR="00716463" w:rsidRDefault="0071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1">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1">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1">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1">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1">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1">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1">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6D2C"/>
    <w:rsid w:val="003C7AAC"/>
    <w:rsid w:val="003D15E2"/>
    <w:rsid w:val="003D2D57"/>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sk-SK"/>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sk-SK"/>
    </w:rPr>
  </w:style>
  <w:style w:type="paragraph" w:styleId="ListParagraph">
    <w:name w:val="List Paragraph"/>
    <w:basedOn w:val="Normal"/>
    <w:uiPriority w:val="34"/>
    <w:qFormat/>
    <w:rsid w:val="00BA59B3"/>
    <w:pPr>
      <w:ind w:left="720"/>
      <w:contextualSpacing/>
    </w:pPr>
    <w:rPr>
      <w:rFonts w:ascii="Calibri" w:eastAsia="宋体" w:hAnsi="Calibri" w:cs="Times New Roman"/>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sk-SK" w:eastAsia="en-GB"/>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sk-SK" w:eastAsia="en-GB"/>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sk-SK"/>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sk-SK"/>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宋体" w:hAnsi="Calibri" w:cs="Times New Roman"/>
    </w:rPr>
  </w:style>
  <w:style w:type="character" w:customStyle="1" w:styleId="HeaderChar">
    <w:name w:val="Header Char"/>
    <w:basedOn w:val="DefaultParagraphFont"/>
    <w:link w:val="Header"/>
    <w:uiPriority w:val="99"/>
    <w:rsid w:val="008D118F"/>
    <w:rPr>
      <w:rFonts w:ascii="Calibri" w:eastAsia="宋体" w:hAnsi="Calibri" w:cs="Times New Roman"/>
      <w:sz w:val="22"/>
      <w:szCs w:val="22"/>
      <w:lang w:val="sk-SK" w:eastAsia="en-GB"/>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宋体" w:hAnsi="Calibri" w:cs="Times New Roman"/>
    </w:rPr>
  </w:style>
  <w:style w:type="character" w:customStyle="1" w:styleId="FooterChar">
    <w:name w:val="Footer Char"/>
    <w:basedOn w:val="DefaultParagraphFont"/>
    <w:link w:val="Footer"/>
    <w:uiPriority w:val="99"/>
    <w:rsid w:val="008D118F"/>
    <w:rPr>
      <w:rFonts w:ascii="Calibri" w:eastAsia="宋体" w:hAnsi="Calibri" w:cs="Times New Roman"/>
      <w:sz w:val="22"/>
      <w:szCs w:val="22"/>
      <w:lang w:val="sk-SK" w:eastAsia="en-GB"/>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A600B"/>
    <w:rPr>
      <w:rFonts w:eastAsiaTheme="minorHAnsi"/>
      <w:sz w:val="22"/>
      <w:szCs w:val="22"/>
    </w:rPr>
  </w:style>
  <w:style w:type="table" w:styleId="TableGrid">
    <w:name w:val="Table Grid"/>
    <w:basedOn w:val="TableNormal"/>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14FC5-0CC3-4CB0-8FF8-DCDD2ACB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Liu, Lei</cp:lastModifiedBy>
  <cp:revision>22</cp:revision>
  <cp:lastPrinted>2018-03-14T09:38:00Z</cp:lastPrinted>
  <dcterms:created xsi:type="dcterms:W3CDTF">2018-05-16T10:48:00Z</dcterms:created>
  <dcterms:modified xsi:type="dcterms:W3CDTF">2019-12-18T05:20:00Z</dcterms:modified>
</cp:coreProperties>
</file>