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b/>
                <w:bCs/>
                <w:rFonts w:asciiTheme="minorHAnsi" w:hAnsiTheme="minorHAnsi" w:cstheme="minorHAnsi"/>
              </w:rPr>
            </w:pPr>
            <w:r>
              <w:rPr>
                <w:b/>
                <w:rFonts w:asciiTheme="minorHAnsi" w:hAnsiTheme="minorHAnsi"/>
              </w:rPr>
              <w:t xml:space="preserve">Proiect de decret regal de stabilire a procedurilor de consultare a Centrale des crédits aux particuliers (Registrul central al creditelor acordate persoanelor fizice) de către Comisia belgiană pentru jocuri de noroc și de modificare a dispozițiilor privind limitarea jocurilor de noroc online.</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b/>
                <w:bCs/>
                <w:rFonts w:asciiTheme="minorHAnsi" w:hAnsiTheme="minorHAnsi" w:cstheme="minorHAnsi"/>
              </w:rPr>
            </w:pPr>
            <w:r>
              <w:rPr>
                <w:b/>
                <w:rFonts w:asciiTheme="minorHAnsi" w:hAnsiTheme="minorHAnsi"/>
              </w:rPr>
              <w:t xml:space="preserve">PHILIPPE, Regele belgienilor,</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b/>
                <w:rFonts w:asciiTheme="minorHAnsi" w:hAnsiTheme="minorHAnsi"/>
              </w:rPr>
            </w:pPr>
            <w:r>
              <w:rPr>
                <w:b/>
                <w:rFonts w:asciiTheme="minorHAnsi" w:hAnsiTheme="minorHAnsi"/>
              </w:rPr>
              <w:t xml:space="preserve">Tuturor celor prezenți și celor care vor veni, Salutări.</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 xml:space="preserve">Având în vedere articolul 55/1 din Legea din 7 mai 1999 privind jocurile de noroc, pariurile, unitățile de jocuri de noroc și protecția jucătorilor, introdusă prin Legea din 7 mai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 xml:space="preserve">Având în vedere Decretul regal din 25 octombrie 2018 privind metodele de operare a jocurilor de noroc și a pariurilor operate prin intermediul serviciilor societății informaționale;</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 xml:space="preserve">Având în vedere avizul Comisiei pentru jocuri de noroc, emis la 20 ianuarie 2021;</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 xml:space="preserve">Având în vedere avizul inspectorului financiar, emis la 27 aprilie 2021 și la 5 iulie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 xml:space="preserve">Având în vedere acordul secretarului de stat pentru buget, emis la 11 mai 2021 și la 15 iulie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bCs/>
                <w:rFonts w:asciiTheme="minorHAnsi" w:hAnsiTheme="minorHAnsi" w:cstheme="minorHAnsi"/>
              </w:rPr>
            </w:pPr>
            <w:r>
              <w:rPr>
                <w:rFonts w:asciiTheme="minorHAnsi" w:hAnsiTheme="minorHAnsi"/>
              </w:rPr>
              <w:t xml:space="preserve">Având în vedere avizul nr. 177/2021 al Autorității pentru protecția datelor, emis la 4 octombrie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 xml:space="preserve">Având în vedere evaluarea impactului reglementării, efectuată în conformitate cu articolele 6 și 7 din Legea din 15 decembrie 2013, care conține diverse dispoziții referitoare la simplificarea administrativă;</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Având în vedere avizul XXX al Consiliului de Stat emis la xxxx, în temeiul articolului 84 alineatul (1) punctele 1 și 2 din legile privind Consiliul de Stat, consolidate la 12 ianuarie 1973;</w:t>
            </w:r>
            <w:r>
              <w:rPr>
                <w:rFonts w:asciiTheme="minorHAnsi" w:hAnsiTheme="minorHAnsi"/>
              </w:rPr>
              <w:t xml:space="preserve">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 xml:space="preserve">La propunerea ministrului economiei, a ministrului finanțelor, a ministrului sănătății publice, a ministrului justiției, a ministrului de interne și a secretarului de stat pentru loteria națională, precum și în opinia miniștrilor care au deliberat în cadrul Consiliului,</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b/>
                <w:bCs/>
                <w:rFonts w:asciiTheme="minorHAnsi" w:hAnsiTheme="minorHAnsi" w:cstheme="minorHAnsi"/>
              </w:rPr>
            </w:pPr>
            <w:r>
              <w:rPr>
                <w:b/>
                <w:rFonts w:asciiTheme="minorHAnsi" w:hAnsiTheme="minorHAnsi"/>
              </w:rPr>
              <w:t xml:space="preserve">AM HOTĂRÂT ȘI DECRETĂM:</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b/>
                <w:rFonts w:asciiTheme="minorHAnsi" w:hAnsiTheme="minorHAnsi" w:cstheme="minorHAnsi"/>
              </w:rPr>
            </w:pPr>
            <w:r>
              <w:rPr>
                <w:b/>
                <w:rFonts w:asciiTheme="minorHAnsi" w:hAnsiTheme="minorHAnsi"/>
              </w:rPr>
              <w:t xml:space="preserve">CAPITOLUL 1 – Proceduri de consultare de către Comisia pentru jocuri de noroc a Registrului central al creditelor acordate persoanelor fizice al Băncii Naționale a Belgiei</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t xml:space="preserve">Articolul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 xml:space="preserve">Consultarea Registrului central al creditelor acordate persoanelor fizice al Băncii Naționale a Belgiei de către Comisia pentru jocuri de noroc este motivată de scopurile menționate la articolul 6 alineatul (1) din Decretul regal din 25 octombrie 2018 privind metodele de operare a jocurilor de noroc și a pariurilor operate prin intermediul serviciilor societății informaționale.</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b/>
                <w:u w:val="single"/>
                <w:rFonts w:asciiTheme="minorHAnsi" w:hAnsiTheme="minorHAnsi" w:cstheme="minorHAnsi"/>
              </w:rPr>
            </w:pPr>
            <w:r>
              <w:rPr>
                <w:b/>
                <w:u w:val="single"/>
                <w:rFonts w:asciiTheme="minorHAnsi" w:hAnsiTheme="minorHAnsi"/>
              </w:rPr>
              <w:t xml:space="preserve">Articolul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Banca Națională a Belgiei stabilește procedurile tehnice de consultare de către Comisia pentru jocuri de noroc a Registrului central al creditelor acordate persoanelor fizice al Băncii Naționale a Belgiei.</w:t>
            </w:r>
            <w:r>
              <w:rPr>
                <w:rFonts w:asciiTheme="minorHAnsi" w:hAnsiTheme="minorHAnsi"/>
              </w:rPr>
              <w:t xml:space="preserve">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b/>
                <w:u w:val="single"/>
                <w:rFonts w:asciiTheme="minorHAnsi" w:hAnsiTheme="minorHAnsi" w:cstheme="minorHAnsi"/>
              </w:rPr>
            </w:pPr>
            <w:r>
              <w:rPr>
                <w:b/>
                <w:u w:val="single"/>
                <w:rFonts w:asciiTheme="minorHAnsi" w:hAnsiTheme="minorHAnsi"/>
              </w:rPr>
              <w:t xml:space="preserve">Articolul 3</w:t>
            </w:r>
            <w:r>
              <w:rPr>
                <w:b/>
                <w:u w:val="single"/>
                <w:rFonts w:asciiTheme="minorHAnsi" w:hAnsiTheme="minorHAnsi"/>
              </w:rPr>
              <w:t xml:space="preserve">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 xml:space="preserve">(1)</w:t>
            </w:r>
            <w:r>
              <w:rPr>
                <w:rFonts w:asciiTheme="minorHAnsi" w:hAnsiTheme="minorHAnsi"/>
              </w:rPr>
              <w:t xml:space="preserve"> </w:t>
            </w:r>
            <w:r>
              <w:rPr>
                <w:rFonts w:asciiTheme="minorHAnsi" w:hAnsiTheme="minorHAnsi"/>
              </w:rPr>
              <w:t xml:space="preserve">Informațiile de identificare</w:t>
            </w:r>
            <w:r>
              <w:t xml:space="preserve"> ale jucătorilor</w:t>
            </w:r>
            <w:r>
              <w:rPr>
                <w:rFonts w:asciiTheme="minorHAnsi" w:hAnsiTheme="minorHAnsi"/>
              </w:rPr>
              <w:t xml:space="preserve"> care se află în incapacitate de plată în sensul articolului VII.148 din Codul de drept economic pot fi comunicate Băncii Naționale a Belgiei pentru a verifica dacă jucătorul este cunoscut ca fiind în incapacitate de plată în dosarul din Registrul central al creditelor acordate persoanelor fizice.</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 xml:space="preserve">Informațiile de identificare menționate la primul alineat includ:</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numărul național de înregistrare al jucătorului, dacă este cunoscut titularului licenței;</w:t>
            </w:r>
            <w:r>
              <w:rPr>
                <w:rFonts w:asciiTheme="minorHAnsi" w:hAnsiTheme="minorHAnsi"/>
              </w:rPr>
              <w:t xml:space="preserve">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 xml:space="preserve">2. dacă numărul național de înregistrare al jucătorului nu este cunoscut titularului licenței, numele, prenumele și data nașterii jucătorului.</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 xml:space="preserve">Nu se furnizează date privind creditele înregistrate.</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 xml:space="preserve">(2)</w:t>
            </w:r>
            <w:r>
              <w:rPr>
                <w:rFonts w:asciiTheme="minorHAnsi" w:hAnsiTheme="minorHAnsi"/>
              </w:rPr>
              <w:t xml:space="preserve"> </w:t>
            </w:r>
            <w:r>
              <w:rPr>
                <w:rFonts w:asciiTheme="minorHAnsi" w:hAnsiTheme="minorHAnsi"/>
              </w:rPr>
              <w:t xml:space="preserve">Numărul național de înregistrare al jucătorului va fi utilizat cu unicul scop de a stabili dacă jucătorul este cunoscut ca fiind în incapacitate de plată în dosarul din Registrul central al creditelor acordate persoanelor fizice.</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 xml:space="preserve">Ca urmare a scopurilor prevăzute la articolul 6 alineatul (1) din Decretul regal din 25 octombrie 2018 privind metodele de operare a jocurilor de noroc și a pariurilor operate prin intermediul serviciilor societății informaționale, Comisia pentru jocuri de noroc are dreptul de a utiliza numărul național de înregistrare drept criteriu de căutare în Registrul central al creditelor acordate persoanelor fizice al Băncii Naționale a Belgiei.</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 xml:space="preserve">Atunci când Comisia pentru jocuri de noroc solicită majorarea limitei jocurilor de noroc, titularii de licență de clasa A+, B+ sau F1+ vor colecta numărul național de înregistrare al jucătorului și îl vor comunica Comisiei pentru jocuri de noroc.</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Articolul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 xml:space="preserve">Comisia pentru jocuri de noroc păstrează numărul național de înregistrare sau datele de identificare ale jucătorului menționate la articolul 4 pe perioada necesară pentru sarcina de verificare lunară, în cazul în care autorizația de majorare a limitei jocurilor de noroc este menținută.</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Articolul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(1)</w:t>
            </w:r>
            <w:r>
              <w:rPr>
                <w:rFonts w:asciiTheme="minorHAnsi" w:hAnsiTheme="minorHAnsi"/>
              </w:rPr>
              <w:t xml:space="preserve"> </w:t>
            </w:r>
            <w:r>
              <w:rPr>
                <w:rFonts w:asciiTheme="minorHAnsi" w:hAnsiTheme="minorHAnsi"/>
              </w:rPr>
              <w:t xml:space="preserve">Comisia pentru jocuri de noroc va crea fișiere de jurnal de consultări ale Registrului central al creditelor acordate persoanelor fizice al Băncii Naționale a Belgiei.</w:t>
            </w:r>
            <w:r>
              <w:rPr>
                <w:rFonts w:asciiTheme="minorHAnsi" w:hAnsiTheme="minorHAnsi"/>
              </w:rPr>
              <w:t xml:space="preserve">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 xml:space="preserve">Aceste fișiere de jurnal de consultare sunt utilizate pentru a stabili:</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t xml:space="preserve">1. data și ora consultării;</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 xml:space="preserve">2. identificarea utilizatorului individual sau, în lipsa acestuia, a procesului sau a sistemului care a accesat datele;</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tipul de cerere;</w:t>
            </w:r>
            <w:r>
              <w:rPr>
                <w:rFonts w:asciiTheme="minorHAnsi" w:hAnsiTheme="minorHAnsi"/>
              </w:rPr>
              <w:t xml:space="preserve">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 xml:space="preserve">4. scopul consultării.</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 xml:space="preserve">(2)</w:t>
            </w:r>
            <w:r>
              <w:rPr>
                <w:rFonts w:asciiTheme="minorHAnsi" w:hAnsiTheme="minorHAnsi"/>
              </w:rPr>
              <w:t xml:space="preserve"> </w:t>
            </w:r>
            <w:r>
              <w:rPr>
                <w:rFonts w:asciiTheme="minorHAnsi" w:hAnsiTheme="minorHAnsi"/>
              </w:rPr>
              <w:t xml:space="preserve">Banca Națională a Belgiei creează fișiere de jurnal pentru a stabili:</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identificarea utilizatorului care a accesat datele sau a obținut comunicarea acestora;</w:t>
            </w:r>
            <w:r>
              <w:rPr>
                <w:rFonts w:asciiTheme="minorHAnsi" w:hAnsiTheme="minorHAnsi"/>
              </w:rPr>
              <w:t xml:space="preserve">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tipul de cerere formulată;</w:t>
            </w:r>
            <w:r>
              <w:rPr>
                <w:rFonts w:asciiTheme="minorHAnsi" w:hAnsiTheme="minorHAnsi"/>
              </w:rPr>
              <w:t xml:space="preserve">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 xml:space="preserve">3. data și ora consultării sau a comunicării.</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 xml:space="preserve">(3)</w:t>
            </w:r>
            <w:r>
              <w:rPr>
                <w:rFonts w:asciiTheme="minorHAnsi" w:hAnsiTheme="minorHAnsi"/>
              </w:rPr>
              <w:t xml:space="preserve"> </w:t>
            </w:r>
            <w:r>
              <w:rPr>
                <w:rFonts w:asciiTheme="minorHAnsi" w:hAnsiTheme="minorHAnsi"/>
              </w:rPr>
              <w:t xml:space="preserve">Comisia pentru jocuri de noroc și Banca Națională a Belgiei adoptă măsuri corespunzătoare pentru a asigura securitatea fișierelor de jurnal și, în special, pentru a preveni prelucrarea neautorizată și pentru a asigura integritatea datelor prelucrate.</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 xml:space="preserve">Fișierele de jurnal se păstrează timp de zece ani de la data consultării.</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 xml:space="preserve">Fișierele de jurnal ale Comisiei pentru jocuri de noroc se păstrează și se pun la dispoziția Autorității pentru Protecția Datelor la prima cerere.</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Articolul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Agenții Secretariatului Comisiei pentru jocuri de noroc, a căror funcție necesită accesul la Registrul central al creditelor acordate persoanelor fizice al Băncii Naționale a Belgiei, pot avea acces la informațiile conform cărora un jucător se află în incapacitate de plată în sensul articolului VII.148 din Codul de drept economic numai după autentificarea prin intermediul cărții sale de identitate electronice, fie în legătură cu aplicația Comisiei pentru jocuri de noroc, fie în legătură cu aplicația Băncii Naționale a Belgiei.</w:t>
            </w:r>
            <w:r>
              <w:rPr>
                <w:rFonts w:asciiTheme="minorHAnsi" w:hAnsiTheme="minorHAnsi"/>
              </w:rPr>
              <w:t xml:space="preserve">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 xml:space="preserve">Comisia pentru jocuri de noroc furnizează, la prima cerere, Băncii Naționale a Belgiei sau Autorității pentru Protecția Datelor identitatea membrului personalului său care a consultat sau a luat cunoștință de datele cu caracter personal menționate la alineatul precedent.</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b/>
                <w:u w:val="single"/>
                <w:rFonts w:asciiTheme="minorHAnsi" w:hAnsiTheme="minorHAnsi" w:cstheme="minorHAnsi"/>
              </w:rPr>
            </w:pPr>
            <w:r>
              <w:rPr>
                <w:b/>
                <w:u w:val="single"/>
                <w:rFonts w:asciiTheme="minorHAnsi" w:hAnsiTheme="minorHAnsi"/>
              </w:rPr>
              <w:t xml:space="preserve">Articolul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 xml:space="preserve">Comisia pentru jocuri de noroc păstrează datele cu caracter personal consultate de Registrul central al creditelor acordate persoanelor fizice al Băncii Naționale a Belgiei pentru perioada necesară îndeplinirii sarcinilor prevăzute la articolul 6 alineatul (1) din Decretul regal din 25 octombrie 2018 privind metodele de operare a jocurilor de noroc și a pariurilor operate prin intermediul serviciilor societății informaționale.</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DA1D75">
            <w:pPr>
              <w:jc w:val="both"/>
              <w:rPr>
                <w:b/>
                <w:u w:val="single"/>
                <w:rFonts w:asciiTheme="minorHAnsi" w:hAnsiTheme="minorHAnsi" w:cstheme="minorHAnsi"/>
              </w:rPr>
            </w:pPr>
            <w:r>
              <w:rPr>
                <w:b/>
                <w:u w:val="single"/>
                <w:rFonts w:asciiTheme="minorHAnsi" w:hAnsiTheme="minorHAnsi"/>
              </w:rPr>
              <w:t xml:space="preserve">Articolul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 xml:space="preserve">Cheltuielile de consultare a Registrului central al creditelor acordate persoanelor fizice al Băncii Naționale a Belgiei sunt suportate integral din fondurile Comisiei pentru jocuri de noroc, astfel cum se prevede la articolul 19 alineatul (2) din Legea din 7 mai 1999 privind jocurile de noroc, pariurile, unitățile de jocuri de noroc și protecția jucătorilor.</w:t>
            </w:r>
          </w:p>
        </w:tc>
      </w:tr>
      <w:tr w:rsidR="006D6750" w:rsidRPr="006D6750" w14:paraId="2689BF07" w14:textId="77777777" w:rsidTr="006D6750">
        <w:tc>
          <w:tcPr>
            <w:tcW w:w="5000" w:type="pct"/>
          </w:tcPr>
          <w:p w14:paraId="3C762D43" w14:textId="57105C2C" w:rsidR="006D6750" w:rsidRPr="004445F4" w:rsidRDefault="006D6750" w:rsidP="00DA1D75">
            <w:pPr>
              <w:jc w:val="both"/>
              <w:rPr>
                <w:b/>
                <w:rFonts w:asciiTheme="minorHAnsi" w:hAnsiTheme="minorHAnsi" w:cstheme="minorHAnsi"/>
              </w:rPr>
            </w:pPr>
            <w:r>
              <w:br w:type="page"/>
            </w:r>
            <w:r>
              <w:br w:type="page"/>
            </w:r>
            <w:r>
              <w:rPr>
                <w:b/>
                <w:rFonts w:asciiTheme="minorHAnsi" w:hAnsiTheme="minorHAnsi"/>
              </w:rPr>
              <w:t xml:space="preserve">CAPITOLUL II – Modificări ale Decretului regal din 25 octombrie 2018 privind metodele de operare a jocurilor de noroc și a pariurilor operate prin intermediul serviciilor societății informaționale</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b/>
                <w:u w:val="single"/>
                <w:rFonts w:asciiTheme="minorHAnsi" w:hAnsiTheme="minorHAnsi" w:cstheme="minorHAnsi"/>
              </w:rPr>
            </w:pPr>
            <w:r>
              <w:rPr>
                <w:b/>
                <w:u w:val="single"/>
                <w:rFonts w:asciiTheme="minorHAnsi" w:hAnsiTheme="minorHAnsi"/>
              </w:rPr>
              <w:t xml:space="preserve">Articolul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 xml:space="preserve">La articolul 6 alineatul (1) punctul 1 litera (a) din Decretul regal din 25 octombrie 2018 privind metodele de operare a jocurilor de noroc și a pariurilor operate prin intermediul serviciilor societății informaționale, cifra „500” se înlocuiește cu cifra „200”, iar cuvintele „pentru toate jocurile de noroc și pariurile la care participă” se abrogă.</w:t>
            </w:r>
            <w:r>
              <w:rPr>
                <w:rFonts w:asciiTheme="minorHAnsi" w:hAnsiTheme="minorHAnsi"/>
              </w:rPr>
              <w:t xml:space="preserve">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b/>
                <w:rFonts w:asciiTheme="minorHAnsi" w:hAnsiTheme="minorHAnsi"/>
              </w:rPr>
            </w:pPr>
            <w:r>
              <w:rPr>
                <w:b/>
                <w:rFonts w:asciiTheme="minorHAnsi" w:hAnsiTheme="minorHAnsi"/>
              </w:rPr>
              <w:t xml:space="preserve">CAPITOLUL III – Dispoziții finale</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bCs w:val="0"/>
                <w:rFonts w:asciiTheme="minorHAnsi" w:hAnsiTheme="minorHAnsi" w:cstheme="minorHAnsi"/>
              </w:rPr>
            </w:pPr>
            <w:r>
              <w:rPr>
                <w:rFonts w:asciiTheme="minorHAnsi" w:hAnsiTheme="minorHAnsi"/>
              </w:rPr>
              <w:t xml:space="preserve">Articolul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 xml:space="preserve">Articolul 6 alineatul (1) punctul 1 litera (b) din același decret intră în vigoare în aceeași zi cu prezentul decret.</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b/>
                <w:u w:val="single"/>
                <w:rFonts w:asciiTheme="minorHAnsi" w:hAnsiTheme="minorHAnsi" w:cstheme="minorHAnsi"/>
              </w:rPr>
            </w:pPr>
            <w:r>
              <w:rPr>
                <w:b/>
                <w:u w:val="single"/>
                <w:rFonts w:asciiTheme="minorHAnsi" w:hAnsiTheme="minorHAnsi"/>
              </w:rPr>
              <w:t xml:space="preserve">Articolul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 xml:space="preserve">Ministrul economiei, ministrul finanțelor, ministrul sănătății publice, ministrul justiției, ministrul internelor și secretarul de stat pentru Loteria Națională sunt responsabili, fiecare în sfera sa de competență, pentru punerea în aplicare a prezentului decret.</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562D" w14:textId="77777777" w:rsidR="003611EA" w:rsidRDefault="003611EA">
      <w:r>
        <w:separator/>
      </w:r>
    </w:p>
  </w:endnote>
  <w:endnote w:type="continuationSeparator" w:id="0">
    <w:p w14:paraId="336F0039" w14:textId="77777777" w:rsidR="003611EA" w:rsidRDefault="0036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0457" w14:textId="77777777" w:rsidR="003611EA" w:rsidRDefault="003611EA">
      <w:r>
        <w:separator/>
      </w:r>
    </w:p>
  </w:footnote>
  <w:footnote w:type="continuationSeparator" w:id="0">
    <w:p w14:paraId="1E1E1E99" w14:textId="77777777" w:rsidR="003611EA" w:rsidRDefault="0036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ro-RO" w:eastAsia="fr-FR"/>
    </w:rPr>
  </w:style>
  <w:style w:type="character" w:customStyle="1" w:styleId="BodyTextIndent2Char">
    <w:name w:val="Body Text Indent 2 Char"/>
    <w:link w:val="BodyTextIndent2"/>
    <w:semiHidden/>
    <w:rsid w:val="008321C0"/>
    <w:rPr>
      <w:snapToGrid w:val="0"/>
      <w:sz w:val="24"/>
      <w:szCs w:val="24"/>
      <w:lang w:val="ro-RO"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ro-RO"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ro-RO"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2.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4.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5.xml><?xml version="1.0" encoding="utf-8"?>
<ds:datastoreItem xmlns:ds="http://schemas.openxmlformats.org/officeDocument/2006/customXml" ds:itemID="{32B97F0C-BEE1-4B30-B607-ED0AD2CEC54D}">
  <ds:schemaRefs>
    <ds:schemaRef ds:uri="http://schemas.microsoft.com/office/2006/metadata/customXsn"/>
  </ds:schemaRefs>
</ds:datastoreItem>
</file>

<file path=customXml/itemProps6.xml><?xml version="1.0" encoding="utf-8"?>
<ds:datastoreItem xmlns:ds="http://schemas.openxmlformats.org/officeDocument/2006/customXml" ds:itemID="{44F04093-6AF2-431A-9EC7-843D69391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6465</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Dimitris Dimitriadis</cp:lastModifiedBy>
  <cp:revision>5</cp:revision>
  <cp:lastPrinted>2019-02-21T09:39:00Z</cp:lastPrinted>
  <dcterms:created xsi:type="dcterms:W3CDTF">2021-12-09T08:45:00Z</dcterms:created>
  <dcterms:modified xsi:type="dcterms:W3CDTF">2021-12-13T13:40:00Z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