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REINO DA BÉLGICA</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SERVIÇO PÚBLICO FEDERAL DE JUSTIÇA</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DE JUNHO DE 2022 – Decreto real que estabelece as modalidades de consulta da Centrale des crédits aux particuliers (Registo Central de Créditos a Indivíduos) pela Comissão de Jogos Belga e altera as disposições relativas à limitação dos jogos de fortuna ou azar em linha</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RELATÓRIO AO REI</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Sire,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O presente projeto de Decreto Real apresentado a Vossa Excelência possui duas partes. Em primeiro lugar, procura implementar o artigo 55.º/1 da Lei de 7 de maio de 1999 relativa aos jogos de fortuna, aos jogos de azar, aos estabelecimentos de jogo e à proteção dos jogadores (doravante: a Lei sobre jogos de fortuna ou azar). Em segundo lugar, prevê uma alteração e uma clarificação do artigo 6.º, n.º 1, ponto 1) do Decreto Real, de 25 de outubro de 2018, relativo aos procedimentos de exploração de jogos de fortuna ou azar e de apostas através dos serviços da sociedade da informação.</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projeto foi submetido à Autoridade de Proteção de Dados que emitiu o Parecer n.º 177/2021 em 4 de outubro de 2021. A grande maioria dos comentários da Autoridade de Proteção de Dados foi seguida e refletida nos comentários artigo por artigo mencionados a seguir.</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Na sequência da Comunicação 2021/0845/B à Comissão Europeia, de 9 de dezembro de 2021, nos termos do artigo 5.º, n.º 1, da Diretiva (UE) 2015/1535 do Parlamento Europeu e do Conselho, de 9 de setembro de 2015, relativa a um procedimento de informação no domínio das regulamentações técnicas e das regras relativas aos serviços da sociedade da informação, o projeto não recebeu quaisquer comentários por parte da Comissão Europeia ou dos Estados-Membros.</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Antes de abordar a parte relativa à aplicação do artigo 55.º/1, é necessário clarificar a alteração ao artigo 6.º, n.º 1, ponto 1, do referido Decreto Real de 25 de outubro de 2018. Com efeito, as disposições estabelecidas no presente Decreto que aplicam o artigo 55.º/1, destinam-se a cumprir a função prevista no artigo 6.º, n.º 1, ponto 1, alínea b), do Decreto Real de 25 de outubro de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 primeira alteração diz respeito à alínea a), que prevê que </w:t>
            </w:r>
            <w:r>
              <w:rPr>
                <w:rFonts w:ascii="Calibri" w:hAnsi="Calibri"/>
                <w:i/>
                <w:sz w:val="24"/>
              </w:rPr>
              <w:t>«um jogador pode aumentar as suas contas de jogador online para um máximo de 500 euros por semana em todos os jogos de fortuna ou azar e apostas em que participe».</w:t>
            </w:r>
            <w:r>
              <w:rPr>
                <w:rFonts w:ascii="Calibri" w:hAnsi="Calibri"/>
                <w:sz w:val="24"/>
              </w:rPr>
              <w:t xml:space="preserve"> O montante padrão do limite de jogo é revisto para um valor mais baixo de 200 euros, de modo a aumentar a proteção do jogador.  Além disso, as palavras «em todos os jogos de fortuna ou azar e apostas em que participe» são suprimidas. Verifica-se </w:t>
            </w:r>
            <w:r>
              <w:rPr>
                <w:rFonts w:ascii="Calibri" w:hAnsi="Calibri"/>
                <w:sz w:val="24"/>
              </w:rPr>
              <w:lastRenderedPageBreak/>
              <w:t>que um limite global de jogo (válido para todos os sítios), que não foi aplicado na prática desde a entrada em vigor do Decreto Real em 2018, é tecnicamente irrealista. Apresenta também muitas desvantagens. O limite global é suposto proteger os jogadores dos perigos do jogo e evitar gastos excessivos relacionados com o jogo. No entanto, é de notar que o limite global de jogo, na sua forma atual, não oferece proteção de qualidade aos jogadores. Aplica-se apenas aos jogos de fortuna ou azar legais em linha, pelo que os jogadores ainda podem ir a estabelecimentos de jogos de azar em casinos físicos. Devido ao processamento de dados relacionados com o limite global de jogo, os jogadores podem estar inclinados a solicitar um enorme aumento do seu limite, de modo a que não sejam processados mais dados.</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Tendo em conta o que precede, é, por conseguinte, preferível eliminar o caráter global do limite e mantê-lo num limite por sítio Web, ao mesmo tempo que é reduzido o limite por defeito. Deste modo, há uma melhor proteção dos jogadores, especialmente no que diz respeito aos mais vulneráveis.</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Isto significa que um jogador que deseje aumentar o seu limite de jogo de 200 euros deve apresentar um pedido à Comissão de Jogos através do titular de licença. A Comissão de Jogos deve verificar, no prazo de três dias, se o jogador é conhecido por incumprimento de pagamento no Registo Central de Créditos a Indivíduos do Banco Nacional da Bélgica. Se o jogador não for conhecido por incumprimento, será autorizado a aumentar o seu limite de jogo com o titular da licença referido num montante à sua escolha.</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Em conformidade com o artigo 55.º/1 da Lei sobre jogos de fortuna ou azar, é, por conseguinte, necessário definir as disposições segundo as quais a comissão pode perguntar ao Banco Nacional da Bélgica se uma pessoa é conhecida por incumprimento de pagamento no Registo Central de Créditos a Indivíduos do Banco Nacional da Bélgica. O objetivo destas disposições é permitir que a comissão desempenhe as funções de proteção do jogador que lhe são confiadas pela referida lei e pelos respetivos decretos de aplicação.</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artigo 6.º, n.º 1, ponto 1, do referido decreto de 25 de outubro de 2018 prevê uma limitação imposta por defeito a todos os jogadores no que diz respeito ao aumento das suas contas de jogador para os jogos de fortuna ou azar e apostas que utilizam os serviços da sociedade da informação. Nos termos do artigo 6.º, n.º 1, ponto 1, alínea b), do Decreto Real de 25 de outubro de 2018, com a redação que lhe foi dada pelo presente decreto, os jogadores podem solicitar um aumento deste limite de jogo. No entanto, exceto nos casos definidos na medida transitória prevista no artigo 13.º, n.º 2, do Decreto Real de 25 de outubro de 2018, esse aumento só pode ser concedido caso o banco nacional confirme à Comissão de Jogos que o jogador não é conhecido por incumprimento de pagamento no Registo Central de Créditos a Indivíduos. A fim de proceder a esta verificação, os operadores de jogo devem transmitir determinados dados do jogador à Comissão de Jogos, que, por sua vez, deve poder verificar junto do Banco Nacional se o jogador é conhecido no registo em questão.</w:t>
            </w:r>
            <w:r>
              <w:rPr>
                <w:rFonts w:ascii="Times New Roman" w:hAnsi="Times New Roman"/>
                <w:sz w:val="24"/>
              </w:rPr>
              <w:t xml:space="preserve"> </w:t>
            </w:r>
            <w:r>
              <w:rPr>
                <w:rFonts w:ascii="Calibri" w:hAnsi="Calibri"/>
                <w:sz w:val="24"/>
              </w:rPr>
              <w:t>Este sistema implica a necessidade de um decreto real para regulamentar a forma como a Comissão pode perguntar ao Banco Nacional se uma pessoa está em incumprimento de pagamento no Registo Central de Créditos a Indivíduos, conforme previsto no artigo 55.º, n.º 1, da Lei.</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As disposições estabelecidas no presente decreto destinam-se, portanto, a cumprir a função prevista no artigo 6.º, n.º 1, ponto 1, alínea b), do referido decreto.</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lastRenderedPageBreak/>
              <w:t>Comentários aos artigos</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Artigo 1.º</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Em conformidade com o parecer da Autoridade de Proteção de Dados, o presente artigo especifica a finalidade para a qual a Comissão de Jogos pode consultar o Registo Central de Créditos a Indivíduos do Banco Nacional da Bélgica. Cabe à Comissão de Jogos verificar se uma pessoa que solicita um aumento do seu limite de jogo é conhecida por incumprimento de pagamento no Registo Central de Créditos a Indivíduos do Banco Nacional da Bélgica.</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Artigo 2.º</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 qualidade de responsável pelo tratamento dos dados, o Banco Nacional da Bélgica estabelece as disposições técnicas para a consulta do Registo Central de Créditos a Indivíduos do Banco Nacional da Bélgica.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presente artigo segue o parecer da Autoridade de Proteção de Dados.</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3.º</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Em conformidade com o parecer da Autoridade de Proteção de Dados, o artigo 3.º especifica quais os dados de identificação que podem ser transmitidos pela Comissão de Jogos ao Banco Nacional da Bélgica.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Para que a Comissão de Jogos possa apresentar um pedido ao Banco Nacional da Bélgica, a comissão deve ter o número de registo nacional do jogador</w:t>
            </w:r>
            <w:r>
              <w:rPr>
                <w:rFonts w:ascii="Times New Roman" w:hAnsi="Times New Roman"/>
                <w:sz w:val="24"/>
              </w:rPr>
              <w:t xml:space="preserve"> </w:t>
            </w:r>
            <w:r>
              <w:rPr>
                <w:rFonts w:ascii="Calibri" w:hAnsi="Calibri"/>
                <w:sz w:val="24"/>
              </w:rPr>
              <w:t>que solicita um aumento do limite de jogo do jogador, ou, se este não for conhecido pelo operador que transmite os dados à Comissão de Jogos, o apelido, nome e data de nascimento do jogador. Não devem ser fornecidos dados sobre os empréstimos comunicados.</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Esta disposição inclui igualmente a obrigação dos operadores de anexar estes dados à notificação prevista no artigo 6.º, n.º 1, ponto 1, alínea b), ponto 2), do Decreto de 25 de outubro de 2018. Se os operadores não o fizerem, a Comissão de Jogos não poderá desempenhar a sua função.</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4.º</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 acordo com o parecer da Autoridade de Proteção de Dados, o artigo 4.º especifica o período de conservação dos dados do número de registo nacional ou dos dados de identificação do jogador pela Comissão de Jogos.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5.º</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O artigo 5.º diz respeito à manutenção de ficheiros de registo pela Comissão de Jogos e pelo Banco Nacional da Bélgica, tal como solicitado pela Autoridade de Proteção de Dados.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 seu parecer, a Autoridade de Proteção de Dados afirma que «</w:t>
            </w:r>
            <w:r>
              <w:rPr>
                <w:rFonts w:ascii="Calibri" w:hAnsi="Calibri"/>
                <w:i/>
                <w:sz w:val="24"/>
              </w:rPr>
              <w:t xml:space="preserve">Este ficheiro deve ser protegido contra qualquer alteração, conservado durante 10 anos a contar da data da consulta e colocado à disposição da Autoridade de Proteção de Dados ao primeiro pedido.» </w:t>
            </w:r>
            <w:r>
              <w:rPr>
                <w:rFonts w:ascii="Calibri" w:hAnsi="Calibri"/>
                <w:sz w:val="24"/>
              </w:rPr>
              <w:t xml:space="preserve">No entanto, este período </w:t>
            </w:r>
            <w:r>
              <w:rPr>
                <w:rFonts w:ascii="Calibri" w:hAnsi="Calibri"/>
                <w:sz w:val="24"/>
              </w:rPr>
              <w:lastRenderedPageBreak/>
              <w:t xml:space="preserve">de conservação dos dados deve ser adaptado à duração do período de conservação dos dados previsto no artigo 12.º, n.º 3, da Lei, de 28 de novembro de 2021, relativa à organização de um Registo de Créditos a Empresas, ou seja, cinco anos, uma vez que os dados do Registo Central de Créditos a Indivíduos e do Registo de Créditos a Empresas se encontram no mesmo sistema. Por conseguinte, não é possível ao Banco Nacional da Bélgica modular o período de conservação dos dados dos ficheiros de registo em função da capacidade do utilizador ou da funcionalidade utilizada.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060B14" w14:textId="77777777" w:rsidR="009B3457" w:rsidRDefault="009B3457" w:rsidP="00914531">
            <w:pPr>
              <w:widowControl w:val="0"/>
              <w:autoSpaceDE w:val="0"/>
              <w:autoSpaceDN w:val="0"/>
              <w:adjustRightInd w:val="0"/>
              <w:jc w:val="both"/>
              <w:rPr>
                <w:rFonts w:ascii="Calibri" w:hAnsi="Calibri"/>
                <w:b/>
                <w:sz w:val="24"/>
              </w:rPr>
            </w:pPr>
          </w:p>
          <w:p w14:paraId="6BB01820" w14:textId="6AA4A976"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Artigo 6.º</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sequência do parecer da Autoridade de Proteção de Dados, os direitos de acesso ao Registo Central de Créditos a Indivíduos estão limitados às pessoas designadas pela Comissão de Jogos cujas funções assim o exijam. De acordo com esse parecer, o artigo também prevê a utilização de um sistema de autenticação forte para a gestão do acesso, nomeadamente a autenticação através de um cartão de identidade eletrónico, quer em relação à aplicação da Comissão de Jogos, quer em relação à aplicação do Banco Nacional da Bélgica. Assim, uma vez que, relativamente a uma das duas aplicações acima mencionadas, a autenticação pode ser feita através do cartão de identidade eletrónico, a disposição é respeitada.</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Atualmente, com o Registo Central de Créditos a Indivíduos, a ligação é feita apenas com um certificado (de grupo) emitido pelo Banco Nacional da Bélgica e não com um cartão de identidade eletrónico.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Note-se que o processo aqui referido é realizado em duas fases: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Quando um jogador, através do operador, solicita um aumento do seu limite de jogo à Comissão de Jogos, o controlo sobre o Registo Central de Créditos a Indivíduos do Banco Nacional da Bélgica é efetuado automaticamente, sem intervenção humana e, portanto, sem autenticação.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Sempre que seja necessária uma intervenção humana numa fase posterior, nomeadamente, pelo pessoal da Comissão de Jogos cuja função o exija, é possível a autenticação com o cartão de identidade eletrónico. No entanto, este sistema de autenticação não está atualmente em vigor e levará vários meses a ser montado.</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7.º</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O artigo 7.º estabelece o período de conservação dos dados recolhidos pela Comissão de Jogos a partir do Registo Central de Créditos a Indivíduos.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Artigo 8.º</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último, o artigo 8.º do presente decreto especifica que os custos desta consulta do Banco Nacional da Bélgica serão suportados pelo fundo da Comissão de Jogos a que se refere o artigo 19.º, n.º 2, da Lei sobre jogos de fortuna ou azar. Por conseguinte, são os próprios titulares das licenças que, através do sistema contributivo, realizam os pagamentos ao Banco Nacional. Esta abordagem é plenamente justificada do ponto de vista da proteção do jogador.</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3D7F621" w14:textId="77777777" w:rsidR="009B3457" w:rsidRDefault="009B3457" w:rsidP="00914531">
            <w:pPr>
              <w:widowControl w:val="0"/>
              <w:autoSpaceDE w:val="0"/>
              <w:autoSpaceDN w:val="0"/>
              <w:adjustRightInd w:val="0"/>
              <w:rPr>
                <w:rFonts w:ascii="Calibri" w:hAnsi="Calibri"/>
                <w:b/>
                <w:sz w:val="24"/>
              </w:rPr>
            </w:pPr>
          </w:p>
          <w:p w14:paraId="4A550E50" w14:textId="64E3D7BA"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lastRenderedPageBreak/>
              <w:t>Artigo 9.º</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artigo 9.º do presente decreto altera o artigo 6.º, n.º 1, ponto 1, do Decreto Real, de 25 de outubro de 2018,</w:t>
            </w:r>
            <w:r>
              <w:rPr>
                <w:rFonts w:ascii="Times New Roman" w:hAnsi="Times New Roman"/>
                <w:sz w:val="24"/>
              </w:rPr>
              <w:t xml:space="preserve"> </w:t>
            </w:r>
            <w:r>
              <w:rPr>
                <w:rFonts w:ascii="Calibri" w:hAnsi="Calibri"/>
                <w:sz w:val="24"/>
              </w:rPr>
              <w:t xml:space="preserve">relativo aos procedimentos de exploração de jogos de fortuna ou azar e de apostas através dos serviços da sociedade da informação, tal como acima referido.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38FB1E" w14:textId="77777777" w:rsidR="009B3457" w:rsidRDefault="009B3457" w:rsidP="00914531">
            <w:pPr>
              <w:widowControl w:val="0"/>
              <w:autoSpaceDE w:val="0"/>
              <w:autoSpaceDN w:val="0"/>
              <w:adjustRightInd w:val="0"/>
              <w:jc w:val="both"/>
              <w:rPr>
                <w:rFonts w:ascii="Calibri" w:hAnsi="Calibri"/>
                <w:b/>
                <w:sz w:val="24"/>
              </w:rPr>
            </w:pPr>
          </w:p>
          <w:p w14:paraId="6527730E" w14:textId="5F0A179E"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Artigo 10.º</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O artigo 10.º determina a entrada em vigor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do Decreto Real. Tendo em conta as observações da Autoridade de Proteção de Dados, são necessários muitos desenvolvimentos tecnológicos. Por esta razão, a Comissão de Jogos precisa de um período de três meses.</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Artigo 11.º</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artigo 11.º prevê uma medida transitória. Assim, este artigo prevê que, no momento da entrada em vigor do Decreto Real, o limite de jogo para todas as contas de jogadores seja fixado no limite de jogo referido no artigo 9.º, ou seja, 200 euros.</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Com efeito, no seu Decreto n.º 253.722, de 12 de maio de 2022, o Conselho de Estado declarou explicitamente que um aumento do limite de jogo com base no artigo 6.º do Decreto Real de 25 de outubro de 2018 só pode ser efetuado após ter sido efetivamente estabelecido que o jogador não está registado como estando em incumprimento de pagamento. Por outras palavras, a menos que seja aplicada a antiga disposição transitória do artigo 13.º do Decreto Real de 25 de outubro de 2018, ninguém pode ter beneficiado de um aumento.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Na prática, não é possível para a Comissão de Jogos saber exatamente quando é que o aumento foi concedido no passado. A melhor solução para a proteção do jogador é reduzir todos os limites para 200 euros.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12.º</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O artigo 12.º contém a transposição do artigo.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Temos a honra de ser,</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Sire,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de Vossa Majestade,</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os servos mais respeitosos</w:t>
            </w:r>
            <w:r>
              <w:rPr>
                <w:rFonts w:ascii="Calibri" w:hAnsi="Calibri"/>
                <w:sz w:val="24"/>
              </w:rPr>
              <w:br/>
              <w:t>e fiéis,</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 Economia,</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das Finanças,</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 Saúde Pública,</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O Ministro da Justiça,</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Ministra do Interior,</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Secretário de Estado da Lotaria Nacional,</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PARECER 71.218/4 DE 19 DE ABRIL DE 2022 DO CONSELHO DE ESTADO, SECÇÃO LEGISLATIVA, SOBRE UM PROJETO DE DECRETO REAL QUE ESTABELECE AS MODALIDADES DE CONSULTA DA CENTRALE DES CRÉDITS AUX PARTICULIERS (REGISTO CENTRAL DE CRÉDITOS AOS INDIVÍDUOS) PELA COMISSÃO DE JOGOS BELGA E ALTERA AS DISPOSIÇÕES RELATIVAS À LIMITAÇÃO DOS JOGOS DE FORTUNA OU AZAR EM LINHA</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Em 18 de março de 2022, o Conselho de Estado, Secção Legislativa, foi convidado pelo Vice-Primeiro-Ministro e pelo Ministro da Justiça e do Mar do Norte a comunicar um parecer, no prazo de 30 dias, sobre um projeto de Decreto real que estabelece as modalidades de consulta da Centrale des crédits aux particuliers (Registo Central de Créditos a Indivíduos) pela Comissão de Jogos Belga e altera as disposições relativas à limitação dos jogos de fortuna ou azar em linha.</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projeto foi analisado, pela Quarta Secção, em 19 de abril de 2022. A secção era composta por Martine BAGUET, Presidente de Secção, Luc CAMBIER e Bernard BLERO, Conselheiros de Estado, e Charles-Henri VAN HOVE, Secretário interino.</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relatório foi apresentado por Stéphane TELLIER, auditor sénior.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 concordância entre a versão francesa e a versão neerlandesa foi verificada sob o controlo de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parecer, cujo texto se segue, foi emitido em 19 de abril de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Uma vez que o pedido de parecer é apresentado com base no artigo 84.º, n.º 1, pontos 1 e 2, da legislação do Conselho de Estado, consolidada em 12 de janeiro de 1973, a secção legislativa limita a sua análise à base jurídica do projeto, à competência do autor do documento e ao cumprimento das formalidades prévias, nos termos do artigo 84.º, n.º 3, dos referidos atos consolidados.</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Relativamente a estes três pontos, o projeto solicita as seguintes observações.</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COMENTÁRIOS GERAIS</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Com base no artigo 55.º/1 da Lei de 7 de maio de 1999 relativa aos jogos de fortuna, aos jogos de azar, aos estabelecimentos de jogo e à proteção dos jogadores, o Decreto Real em análise estabelece as modalidades de consulta do Registo Central de Créditos a Indivíduos (doravante: o CCP) do Banco Nacional da Bélgica pela Comissão de Jogos (doravante: CJH).</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Deste modo, o projeto de Decreto Real prevê novas instâncias de tratamento de dados pessoais.</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1.2.</w:t>
            </w:r>
            <w:r>
              <w:rPr>
                <w:rFonts w:ascii="Calibri" w:hAnsi="Calibri"/>
                <w:sz w:val="24"/>
              </w:rPr>
              <w:tab/>
              <w:t>No seu Parecer n.º 68.936/AG, emitido em 7 de abril de 2021, sobre um anteprojeto que se tornou a Lei de 14 de agosto de 2021 «relativa a medidas policiais administrativas numa emergência epidémica» (1), a Secção Legislativa observou o seguinte: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Artigo 22.º da Constituição e artigo 8.º da CEDH</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O artigo 6.º do anteprojeto prevê o tratamento de dados pessoais que constitui uma interferência no direito à privacidade das pessoas em causa, garantido, nomeadamente, pelo artigo 22.º da Constituição e pelo artigo 8.º da CEDH.</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Para ser admissível ao abrigo das disposições acima mencionadas, a interferência no exercício do direito à privacidade deve ser definida em termos claros e suficientemente precisos que permitam compreender de forma previsível os casos em que o legislador autoriza tal interferência.</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Qualquer interferência no direito à privacidade deve, além disso, basear-se numa justificação objetiva e razoável e, consequentemente, ser proporcional aos objetivos prosseguidos pelo legislador (2). Se as interferências previstas no projeto de lei em apreço prosseguirem um objetivo legítimo, nomeadamente a proteção da saúde e a proteção dos direitos e liberdades de terceiros (3), o cumprimento dos requisitos de legalidade, relevância e proporcionalidade deve ser verificado.</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O princípio da legalidade consagrado no artigo 22.º da Constituição</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Nos termos do artigo 22.º da Constituição, qualquer tratamento de dados pessoais e, de um modo mais geral, qualquer violação do direito à privacidade está sujeito ao respeito de um princípio da legalidade formal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Ao reservar ao legislador competente o poder de determinar em que casos e em que condições o direito à privacidade pode ser violado, o artigo 22.º da Constituição garante a todos os cidadãos que não pode ocorrer nenhuma interferência no exercício deste direito, exceto de acordo com as regras adotadas por uma assembleia deliberativa e democraticamente eleita. No entanto, a delegação noutra autoridade não é contrária ao princípio da legalidade, desde que a autorização seja definida de forma suficientemente precisa e diga respeito à implementação de medidas cujos «elementos essenciais» sejam previamente estabelecidos pelo legislador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conseguinte, os «elementos essenciais» do tratamento de dados pessoais devem ser estabelecidos na própria lei. A este respeito, a Secção Legislativa considera que, independentemente da matéria em questão, são, em princípio, considerados «elementos essenciais» os seguintes: 1) as categorias de dados tratados; 2) as categorias de pessoas em causa; 3) a finalidade prosseguida pelo tratamento; 4) as categorias de pessoas com acesso aos dados tratados; e 5) o período máximo de conservação dos dados»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Questionado sobre o cumprimento do princípio da legalidade acima recordado e a existência de uma disposição jurídica que especifique estes elementos essenciais, o delegado do Ministro fez a seguinte declaração:</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 nosso ver, os elementos essenciais já se encontram no artigo da lei que habilita o Rei a estabelecer as modalidades de consulta do Registo Central de Créditos a Indivíduos pela Comissão de Jogos. De facto, o artigo 55.º/1 da Lei de 7 de maio de 1999 relativa aos jogos de fortuna, aos jogos de azar, aos estabelecimentos de jogo e à proteção dos jogadores, prevê o seguinte: «A fim de permitir à Comissão desempenhar as funções de proteção dos jogadores que lhe são conferidas pela presente lei e pelos respetivos decretos regulamentares, o Rei deve estabelecer os procedimentos segundo os quais a comissão pode perguntar ao Banco Nacional da Bélgica se </w:t>
            </w:r>
            <w:r>
              <w:rPr>
                <w:rFonts w:ascii="Calibri" w:hAnsi="Calibri"/>
                <w:sz w:val="24"/>
              </w:rPr>
              <w:lastRenderedPageBreak/>
              <w:t>uma pessoa está em incumprimento de pagamento no Registo Central de Créditos a Indivíduos do Banco Nacional da Bélgica».</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Esta disposição contém os elementos essenciais referidos na sua questão:</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 categoria de dados tratados: se uma pessoa está em incumprimento de pagamento</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 categoria de pessoas em causa: indivíduos</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 finalidade do tratamento: permitir à comissão desempenhar as funções de proteção dos jogadores que lhe são atribuídas pela presente lei e pelos respetivos decretos regulamentares</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as categorias de pessoas com acesso aos dados: a Comissão</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projeto de Decreto Real regula as modalidades técnicas de consulta e, para o efeito, aborda em pormenor os vários elementos essenciais sem os alterar e, por conseguinte, sem alterar a lei.»</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No que diz respeito às categorias de dados tratados, é de notar que o artigo 55.º/1 da Lei de 7 de maio de 1999 não permite identificar as categorias de dados tratados no contexto da missão de controlo de CJH. Estas categorias estão precisamente previstas no artigo 3.º, n.º 1, ponto 2, primeiro e segundo período, e n.º 2, ponto 3, do projeto de decreto.</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Além disso, no que diz respeito ao período máximo de conservação dos dados, os artigos 4.º e 7.º do projeto preveem este período de conservação dos dados, em termos muito gerais.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 autorização implementada pelo Rei para adotar as disposições supracitadas deve ser melhor enquadrada, a fim de assegurar que esta autorização cumpre o princípio da legalidade acima referido e de melhor garantir a segurança jurídica.</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A alteração prevista no artigo 9.º do projeto diz respeito ao artigo 6.º, n.º 1, ponto 1, alínea a), do Decreto Real, de 25 de outubro de 2018, «relativo aos procedimentos de exploração de jogos de fortuna ou azar e de apostas através dos serviços da sociedade da informação» e visa estabelecer o montante máximo das contas de jogador online em 200 euros por semana, em vez de 500 euros por semana, bem como revogar a clarificação de que este limite é imposto ao jogador «em todos os jogos de fortuna ou azar e apostas em que participe».</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 que diz respeito à proporcionalidade da medida prevista no artigo 9.º, o relatório ao Rei sobre o Decreto Real de 25 de Outubro de 2018 declara, na sua parte geral, que tem em conta a jurisprudência do Tribunal de Justiça da União Europeia no domínio dos jogos de fortuna ou azar, segundo a qual a limitação das atividades relacionadas com os jogos de fortuna ou azar pode ser justificada por razões imperiosas de interesse geral, tais como a proteção dos consumidores, o combate à fraude e o desejo de evitar que os cidadãos sejam induzidos a gastar o seu dinheiro em jogos. O relatório também afirma que «dado os objetivos de proteção do jogador e a necessidade de evitar qualquer incentivo para os jogadores gastarem dinheiro, a imposição de regras mais rigorosas é razoavelmente justificada na proporção do facto de um determinado tipo de jogo apresentar um alto risco de dependência e desperdício de dinheiro.» No que diz respeito ao artigo 6.º do Decreto Real de 25 de outubro de 2018, o relatório ao Rei menciona que «para combater eficazmente o desperdício de dinheiro e a dependência do jogo, é necessário impor limites de jogo: um jogador pode aumentar as suas contas de jogador online por um máximo de 500 euros por semana em todos os jogos de fortuna ou azar e apostas em que participe.</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Embora a alteração proposta ao artigo 6.º, n.º 1, ponto 1, alínea a), do Decreto Real de 25 de outubro de 2018 pareça mais restritiva, na medida em que reduz para 200 euros o montante máximo com que se pode aumentar contas de jogador online, parece, sobretudo, mais permissiva, na medida em que já não prevê que este limite se aplique «em todos os jogos de </w:t>
            </w:r>
            <w:r>
              <w:rPr>
                <w:rFonts w:ascii="Calibri" w:hAnsi="Calibri"/>
                <w:sz w:val="24"/>
              </w:rPr>
              <w:lastRenderedPageBreak/>
              <w:t>fortuna ou azar e apostas em que participe», o que deve ser entendido no sentido de que o limite se aplica apenas por sítio de apostas e jogos online para o qual um jogador tem uma conta.</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O relatório ao Rei justifica a supressão das palavras «em todos os jogos de fortuna ou azar e apostas em que participe» da seguinte forma:</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 primeira alteração diz respeito à alínea a), que prevê que «um jogador pode completar as suas contas de jogador online por um máximo de 500 euros por semana em todos os jogos de fortuna ou azar e apostas em que participe». O montante padrão do limite de jogo é revisto para um valor mais baixo de 200 euros, de modo a aumentar a proteção do jogador. Além disso, as palavras «em todos os jogos de fortuna ou azar e apostas em que participe» são suprimidas. Verifica-se que um limite global de jogo (válido para todos os sítios), que não foi aplicado na prática desde a entrada em vigor do Decreto Real em 2018, é tecnicamente irrealista. Apresenta também muitas desvantagens. É, por conseguinte, preferível eliminar o caráter global do limite e mantê-lo num limite por sítio Web, ao mesmo tempo que é reduzido o limite por defeito. Deste modo, há uma melhor proteção dos jogadores, especialmente no que diz respeito aos mais vulneráveis.»</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Resulta da alteração proposta que, embora em teoria, com base na regra atual, seja imposto ao jogador um limite de crédito de 500 euros por semana em todos os jogos de fortuna ou azar, ao abrigo do regime proposto, o jogador pode, se tiver mais do que uma conta de jogador em diferentes sítios Web de jogo de azar em linha, aumentar as suas contas de jogador até um montante significativamente mais elevado, por exemplo, 1 000 euros por semana no total, se tiver cinco contas de jogador.</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objetivo visado de proteger os consumidores e combater eficazmente o desperdício de dinheiro e a dependência do jogo, o relatório apresentado ao Rei será complementado de modo a definir de forma mais clara os elementos que permitem considerar que a alteração proposta é, de facto, de uma natureza que melhora a proteção dos jogadores, «especialmente no que diz respeito aos mais vulneráveis».</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Sujeitos a estes comentários gerais, são feitos os seguintes comentários específicos.</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COMENTÁRIOS ESPECÍFICOS</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PREÂMBULO</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 única base jurídica para o projeto referido no primeiro parágrafo é o artigo 55.º/1 da Lei de 7 de maio de 1999. No entanto, esta disposição não habilita o Rei a alterar o Decreto Real de 25 de outubro de 2018, nem a determinar a entrada em vigor do respetivo artigo 6.º, n.º 1, ponto 1, alínea b).</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Com o acordo do delegado do Ministro, o primeiro parágrafo é completado com uma referência ao artigo 43.º/8, n.º 2, ponto 2, da Lei de 7 de maio de 1999, que habilita o Rei a alterar o Decreto Real de 25 de outubro de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 que diz respeito ao artigo 10.º do projeto, que estabelece a entrada em vigor do artigo 6.º, n.º 1, ponto 1, alínea b), do mesmo Decreto Real, é referido o comentário particular feito nos termos do artigo 10.º.</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INSTRUMENTO</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Artigo 3.º</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Dado que, no momento em que os dados de identificação de um jogador são transmitidos ao </w:t>
            </w:r>
            <w:r>
              <w:rPr>
                <w:rFonts w:ascii="Calibri" w:hAnsi="Calibri"/>
                <w:sz w:val="24"/>
              </w:rPr>
              <w:lastRenderedPageBreak/>
              <w:t xml:space="preserve">Banco Nacional da Bélgica para verificação, ainda não está estabelecido que o jogador está em incumprimento de pagamento na aceção do artigo VII.148 do Código de Direito Económico, é incorreto, no artigo 3.º, n.º 1, ponto 1, do projeto, indicar que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 As informações de identificação dos jogadores em incumprimento de pagamento na aceção do artigo VII.148 do Código de Direito Económico podem ser compartilhadas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Questionado sobre este ponto, o delegado do Ministro sugere a seguinte redação para o artigo 3.º, n.º 1, ponto 1, do projeto:</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As informações de identificação do jogador que solicita um aumento do seu limite de jogo nos termos do artigo 6.º, n.º 1, ponto 1, alínea b), do Decreto Real de 25/10/2018 podem ser partilhadas com o Banco Nacional da Bélgica, a fim de verificar se o jogador é conhecido por incumprimento de pagamento na aceção do artigo VII.148 do Código de Direito Económico no ficheiro do Registo Central de Créditos a Indivíduos.»</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O texto será adaptado para o efeito, sendo os termos «do Decreto Real de 25/10/2018» substituídos por «do Decreto Real, de 25 de outubro de 2018, relativo aos procedimentos de exploração de jogos de fortuna ou azar e de apostas».</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Artigo 9.º</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A medida prevista no artigo 9.º, que visa alterar o artigo 6.º, n.º 1, ponto 1, alínea a), do Decreto Real de 25 de outubro de 2018, de modo a fixar o montante máximo das contas de jogador online em 200 euros em vez de 500 euros por semana, é suscetível de ter um impacto na competência fiscal das entidades federadas. A este respeito, a Secção Legislativa observou, no seu parecer n.º 63.662/VR, emitido em 17 de julho de 2018, sobre um projeto que se tornou o Decreto Real de 25 de outubro de 2018 (7), o seguinte:</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Tal como recordado pelo Tribunal Constitucional na sua Decisão n.º 114/2005, de 30 de junho de 2005 (8), a competência para determinar as condições em que as atividades de jogo e apostas são toleradas e para organizar o controlo exigido pela natureza perigosa de tais atividades cabe à autoridade federal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projeto de decreto em análise insere-se nesse quadro e é, por conseguinte, da competência do seu autor.»</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Esta observação é reiterada em relação ao artigo 9.º do projeto.</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O Decreto Real de 25 de outubro de 2018 é ou foi objeto, no todo ou em parte, de numerosos pedidos de anulação (10); alguns deles resultaram em decisões de anulação de certas disposições do Decreto Real referido (11). O pedido com a referência G/A. 227.138/XI.22.372 pede a anulação de «pelo menos, a título subsidiário, [dos] seus artigos 1.º, 6.º, n.º 1, ponto 1, e 6.º, n.º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Este litígio abundante, bem como as dificuldades práticas na aplicação da alteração prevista no artigo 6.º, n.º 1, ponto 1, alínea a), do Decreto Real de 25 de outubro de 2018, são salientadas pelo Inspetor das Finanças no seu parecer de 5 de julho de 2021, de uma forma que pode ser resumida do seguinte modo:</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alteração desta disposição enquanto o processo se encontra pendente no Conselho de Estado;</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risco de mais pedidos para um aumento do limite da conta, com o mesmo operador ou com outro operador, se um jogador for recusado quando se considerar elegível para este aumento;</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a natureza «automática» da recusa se o jogador estiver incluído no Registo de Créditos, mesmo </w:t>
            </w:r>
            <w:r>
              <w:rPr>
                <w:rFonts w:ascii="Calibri" w:hAnsi="Calibri"/>
                <w:sz w:val="24"/>
              </w:rPr>
              <w:lastRenderedPageBreak/>
              <w:t>que possa haver erros;</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os recursos administrativos serão inevitavelmente apresentados.</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Questionado sobre estas dificuldades, o delegado do Ministro não nega a possibilidade de serem apresentados recursos, o risco de volatilidade dos jogadores, uma vez que os jogadores podem mudar constantemente de operadores, e especifica que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É de notar que, com base na informação fornecida pela CJH em junho de 2021, entre os 100 000 jogadores diários, é provável que cerca de 45 % solicitem um aumento no seu limite de jogo. Além disso, há uma média de 70 000 novos registos de jogadores por mês e a CJH estima que cerca de 40 % destes jogadores poderiam solicitar um aumento do seu limite de jogo.</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Embora o facto de a implementação, incluindo o financiamento, de uma disposição regulamentar se possa revelar complicada, não constitui uma prova da sua ilegalidade, o facto de alterar uma disposição regulamentar contestada perante a Divisão de Contencioso Administrativo do Conselho de Estado é suscetível de levantar dificuldades em termos de segurança jurídica.</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598B77" w14:textId="77777777" w:rsidR="009B3457" w:rsidRDefault="009B3457" w:rsidP="00914531">
            <w:pPr>
              <w:widowControl w:val="0"/>
              <w:autoSpaceDE w:val="0"/>
              <w:autoSpaceDN w:val="0"/>
              <w:adjustRightInd w:val="0"/>
              <w:jc w:val="center"/>
              <w:rPr>
                <w:rFonts w:ascii="Calibri" w:hAnsi="Calibri"/>
                <w:sz w:val="24"/>
                <w:u w:val="single"/>
              </w:rPr>
            </w:pPr>
          </w:p>
          <w:p w14:paraId="6C0D443C" w14:textId="220664E6"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Artigo 10.º</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artigo 10.º do projeto prevê a entrada em vigor do artigo 6.º, n.º 1, ponto 1, alínea b), do Decreto Real de 25 de outubro de 2018 «no mesmo dia que o presente decreto».</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 entrada em vigor dessa disposição está prevista no artigo 13.º, primeiro parágrafo, do mesmo Decreto Real, com a seguinte redação:</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O presente decreto entra em vigor no primeiro dia do oitavo mês seguinte ao da sua publicação no Moniteur belge, com exceção do artigo 6.º, n.º 1, ponto 1), alínea b), que entra em vigor o mais tardar em janeiro de 2019 ou, se for caso disso, numa data posterior fixada pelo Rei por meio de um decreto deliberado no Conselho de Ministros.</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relatório ao Rei esclarece, em relação ao artigo 13.º, que:</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O artigo 13.º prevê um período de transição de oito meses para que os operadores de jogos e apostas possam adaptar-se aos novos requisitos de licenciamento, com exceção do artigo 6.º, n.º 1, ponto 1, alínea b), que entra em vigor, o mais tardar, em 1 de janeiro de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esta clara indicação no relatório ao Rei, deve ser considerado que, na falta de um decreto real adotado antes de 1 de janeiro de 2019, o artigo 6.º, n.º 1, ponto 1, alínea b), entrou em vigor nessa data.</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 artigo 13.º, primeiro parágrafo, do Decreto Real de 25 de outubro de 2018 não pode ser entendido no sentido de que permite ao Rei adotar um decreto real deliberado no Conselho de Ministros após a data de 1 de janeiro de 2019, que determinaria a entrada em vigor do artigo 6.º, n.º 1, ponto 1, alínea b), do referido decreto, na medida em que eliminaria qualquer âmbito jurídico da exigência de que essa disposição entrasse em vigor «o mais tardar, em janeiro de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conseguinte, o artigo 10.º do projeto será omitido.</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SECRETÁRIO</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PRESIDENTE</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Notas</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Doc. Parl., Câmara, 2020-2021, n.º 55-1951/1, p. 55 a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Nota de rodapé n.º 172 do parecer citado: Parecer CE n.º 63.192/2, emitido em 19 de Abril de 2018, sobre um anteprojeto que se tornou a Lei de 30 de Julho de 2018 «relativa à proteção de pessoas singulares no que se refere ao tratamento de dados pessoais», Doc. Parl., Câmara, 2017-2018, n.º 54-3126/001, p. 402 a 456, http://www.raadvst-consetat.be/dbx/avis/63192.pdf; Parecer CE n.º 63.202/2, emitido em 26 de abril de 2018, sobre o projeto de Lei de 5 de setembro de 2018 «que estabelece o Comité de Segurança da Informação e altera vários atos relativos à aplicação do Regulamento (UE) 2016/679 do Parlamento Europeu e do Conselho, de 27 de abril de 2016, relativo à proteção das pessoas singulares no que diz respeito ao tratamento de dados pessoais e à livre circulação desses dados e que revoga a Diretiva 95/46/CE», Doc. Parl., Secção 2017-2018, n.º 54-3185/001, p. 120 a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Nota de rodapé n.º 173 do parecer citado: Artigo 8.º, n.º 2, da CEDH.</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Nota de rodapé n.º 174 do parecer citado: Já invocados anteriormente, os números 70 e seguintes.</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Nota de rodapé n.º 175 do parecer citado: Jurisprudência constante do Tribunal Constitucional: consultar, nomeadamente, C.C., 18 de março de 2010, n.º 29/2010, B.16.1; C.C., 20 de fevereiro de 2020, n.º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A jurisprudência também foi reproduzida mais recentemente em C.C., 10 de março de 2022, n.º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Nota de rodapé n.º 1 do parecer citado: Considerando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Nota de rodapé n.º 2 do parecer citado: Nos limites que, nos termos do artigo 3.º, n.º 1, ponto 1, da Lei Especial de 16 de janeiro de 1989 «relativa ao financiamento das Comunidades e Regiões», estão ligados à competência fiscal da autoridade federal em matéria de jogos de azar e apostas, ver C.C., 22 de março de 2018, n.º 34/2018, considerando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Ver referências G/A. 227.048/XI-22.358, G/A. 227.050/VII-40.459, G/A. 227.051/XI-22.359, G/A. 227.052/VII 40.460, G/A. 227.068/VII-40.461, G/A. 227.073/VII-40.463 e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Assim, no Processo G/A. 227.048, a Decisão n.º 246.998, de 6 de fevereiro de 2020, anulou o artigo 1.º, n.º 1, e o artigo 3.º, n.º 2 e 3, do Decreto Real de 25 de outubro de 2018, e, no processo G/A. 227.051, a Decisão n.º 246.999, de 6 de fevereiro de 2020, anulou a expressão «com exceção do próprio sítio Web» no artigo 5.º, n.º 1, e no artigo 11.º do mesmo Decreto Real.</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JUNHO DE 2022 – Projeto de decreto real que estabelece as modalidades de consulta da Centrale des crédits aux particuliers (Registo Central de Créditos a Indivíduos) pela Comissão de Jogos Belga e altera as disposições relativas à limitação dos jogos de fortuna ou azar em linha.</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FILIPE, Rei dos Belgas,</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lastRenderedPageBreak/>
              <w:t>A todos os presentes e aos que estão por vir, Saudações.</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artigo 43.º/8, n.º 2, ponto 2), inserido pela Lei de 10 de janeiro de 2010 e o artigo 55.º/1 da Lei de 7 de maio de 1999 relativa aos jogos de fortuna, aos jogos de azar, aos estabelecimentos de jogo e à proteção dos jogadores, inserido pela Lei de 7 de maio de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Decreto Real, de 25 de outubro de 2018, relativo aos procedimentos de exploração de jogos de fortuna ou azar e de apostas através dos serviços da sociedade da informação,</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parecer da Comissão de Jogos, emitido em 20 de janeiro de 2021 e 21 de abril de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parecer do Inspetor das Finanças, emitido em 27 de abril de 2021 e 5 de julho de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Tendo em conta o acordo do Secretário de Estado para o Orçamento, emitido em 11 de maio de 2021 e 15 de julho de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Tendo em conta a avaliação de impacto do regulamento, realizada em conformidade com os artigos 6.º e 7.º da Lei de 15 de dezembro de 2013, que contém várias disposições relativas à simplificação administrativa;</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Tendo em conta o Parecer n.º 177/2021 da Autoridade de Proteção de Dados, emitido em 4 de outubro de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Tendo em conta a Comunicação 2021/0845/B à Comissão Europeia, de 9 de dezembro de 2021, nos termos do artigo 5.º, n.º 1, da Diretiva (UE) 2015/1535 do Parlamento Europeu e do Conselho, de 9 de setembro de 2015, relativa a um procedimento de informação no domínio das regulamentações técnicas e das regras relativas aos serviços da sociedade da informação;</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Tendo em conta o parecer 71.218/4 do Conselho de Estado emitido em 19 de abril de 2022, nos termos do artigo 84.º, n.º 1, ponto 1, subponto 2, da legislação sobre o Conselho de Estado, consolidada em 12 de janeiro de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Sob proposta do Ministro da Economia, do Ministro das Finanças, do Ministro da Saúde Pública, do Ministro da Justiça, do Ministro do Interior e do Secretário de Estado da Lotaria Nacional, e na opinião dos Ministros que os deliberaram em Conselho,</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DECRETA-SE PELO PRESENTE:</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Capítulo 1 — Procedimentos de consulta pela Comissão de Jogos do Registo Central de Créditos aos Indivíduos do Banco Nacional da Bélgica</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lastRenderedPageBreak/>
              <w:t>Artigo</w:t>
            </w:r>
            <w:r>
              <w:rPr>
                <w:rFonts w:ascii="Calibri" w:hAnsi="Calibri"/>
                <w:b/>
                <w:snapToGrid w:val="0"/>
                <w:sz w:val="24"/>
                <w:vertAlign w:val="superscript"/>
              </w:rPr>
              <w:t> </w:t>
            </w:r>
            <w:r>
              <w:rPr>
                <w:rFonts w:ascii="Calibri" w:hAnsi="Calibri"/>
                <w:b/>
                <w:snapToGrid w:val="0"/>
                <w:sz w:val="24"/>
              </w:rPr>
              <w:t>1.º</w:t>
            </w:r>
            <w:r>
              <w:rPr>
                <w:rFonts w:ascii="Calibri" w:hAnsi="Calibri"/>
                <w:snapToGrid w:val="0"/>
                <w:sz w:val="24"/>
              </w:rPr>
              <w:t xml:space="preserve"> A consulta do Registo Central de Créditos aos Indivíduos do Banco Nacional da Bélgica pela Comissão de Jogos é motivada pelos objetivos a que se refere o artigo 6.º, n.º 1, do Decreto Real de 25 de outubro de 2018 relativo às modalidades de exploração dos jogos de fortuna e azar através dos serviços da sociedade da informação.</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Artigo 2.º </w:t>
            </w:r>
            <w:r>
              <w:rPr>
                <w:rFonts w:ascii="Calibri" w:hAnsi="Calibri"/>
                <w:sz w:val="24"/>
              </w:rPr>
              <w:t>O Banco Nacional da Bélgica determinará as modalidades técnicas de consulta do Registo Central de Créditos a Indivíduos do Banco Nacional da Bélgica pela Comissão de Jogos.</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Artigo 3.º, </w:t>
            </w:r>
            <w:r>
              <w:rPr>
                <w:rFonts w:ascii="Calibri" w:hAnsi="Calibri"/>
                <w:sz w:val="24"/>
              </w:rPr>
              <w:t>n.º</w:t>
            </w:r>
            <w:r>
              <w:rPr>
                <w:rFonts w:ascii="Calibri" w:hAnsi="Calibri"/>
                <w:sz w:val="24"/>
                <w:vertAlign w:val="superscript"/>
              </w:rPr>
              <w:t> </w:t>
            </w:r>
            <w:r>
              <w:rPr>
                <w:rFonts w:ascii="Calibri" w:hAnsi="Calibri"/>
                <w:sz w:val="24"/>
              </w:rPr>
              <w:t>1 As informações de identificação do jogador que solicita um aumento do seu limite de jogo nos termos do artigo 6.º, n.º 1, ponto 1, alínea b), do Decreto Real, de 25 de outubro de 2018, relativo aos procedimentos de exploração de jogos de fortuna ou azar e de apostas através dos serviços da sociedade da informação devem ser compartilhadas com o Banco Nacional da Bélgica para verificar se o jogador é conhecido por estar em falta de pagamento na aceção do artigo VII.148 do Código de Direito Económico no arquivo no Registo Central de Créditos a Indivíduos.</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As informações de identificação referidas no primeiro parágrafo devem incluir:</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o número de registo nacional do jogador, se conhecido pelo licenciado;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se o número de registo nacional do jogador não for conhecido pelo licenciado, o apelido do jogador, nome próprio e data de nascimento.</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Não devem ser fornecidos dados sobre os empréstimos registados.</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N.º 2 O</w:t>
            </w:r>
            <w:r>
              <w:rPr>
                <w:rFonts w:ascii="Times New Roman" w:hAnsi="Times New Roman"/>
                <w:sz w:val="24"/>
              </w:rPr>
              <w:t xml:space="preserve"> </w:t>
            </w:r>
            <w:r>
              <w:rPr>
                <w:rFonts w:ascii="Calibri" w:hAnsi="Calibri"/>
                <w:sz w:val="24"/>
              </w:rPr>
              <w:t>número de registo nacional do jogador será usado com o único propósito de determinar se o jogador é conhecido por estar em falta de pagamento no arquivo no Registo Central de Créditos a Indivíduos.</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Em virtude dos objetivos referidos no artigo 6.º, n.º 1, do Decreto Real de 25 de outubro de 2018 relativo às modalidades de exploração dos jogos de fortuna e azar através dos serviços da sociedade da informação, a Comissão de Jogos tem o direito de utilizar o número de registo nacional como critério de pesquisa no Registo Central de Créditos a Pessoas Individuais do Banco Nacional da Bélgica.</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Quando um pedido é apresentado à Comissão de Jogos para aumentar o limite de jogo, os licenciados de Classe A+, B+ ou F1+ devem recolher o número de registo nacional do jogador e comunicá-lo à Comissão de Jogos.</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4.º</w:t>
            </w:r>
            <w:r>
              <w:rPr>
                <w:rFonts w:ascii="Calibri" w:hAnsi="Calibri"/>
                <w:sz w:val="24"/>
              </w:rPr>
              <w:t xml:space="preserve"> A Comissão de Jogos conserva o número de registo nacional ou os dados de identificação do jogador referidos no artigo 3.º durante o período necessário para a sua tarefa de verificação mensal, caso a autorização para aumentar o limite de jogo permaneça.</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A Comissão de Jogos deve eliminar os dados de identificação referidos no artigo 3.º caso o limite de jogo da conta de jogador online seja reduzido para 200 euros ou menos ou caso a conta de jogador online seja eliminada.</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82DC01" w14:textId="77777777" w:rsidR="009B3457" w:rsidRDefault="009B3457" w:rsidP="00914531">
            <w:pPr>
              <w:widowControl w:val="0"/>
              <w:autoSpaceDE w:val="0"/>
              <w:autoSpaceDN w:val="0"/>
              <w:adjustRightInd w:val="0"/>
              <w:jc w:val="both"/>
              <w:rPr>
                <w:rFonts w:ascii="Calibri" w:hAnsi="Calibri"/>
                <w:b/>
                <w:sz w:val="24"/>
              </w:rPr>
            </w:pPr>
          </w:p>
          <w:p w14:paraId="2D962E06" w14:textId="0848521D"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5.º,</w:t>
            </w:r>
            <w:r>
              <w:rPr>
                <w:rFonts w:ascii="Calibri" w:hAnsi="Calibri"/>
                <w:sz w:val="24"/>
              </w:rPr>
              <w:t xml:space="preserve"> n.º</w:t>
            </w:r>
            <w:r>
              <w:rPr>
                <w:rFonts w:ascii="Calibri" w:hAnsi="Calibri"/>
                <w:sz w:val="24"/>
                <w:vertAlign w:val="superscript"/>
              </w:rPr>
              <w:t> </w:t>
            </w:r>
            <w:r>
              <w:rPr>
                <w:rFonts w:ascii="Calibri" w:hAnsi="Calibri"/>
                <w:sz w:val="24"/>
              </w:rPr>
              <w:t xml:space="preserve">1 A Comissão de Jogos criará ficheiros de registo das consultas do Registo Central </w:t>
            </w:r>
            <w:r>
              <w:rPr>
                <w:rFonts w:ascii="Calibri" w:hAnsi="Calibri"/>
                <w:sz w:val="24"/>
              </w:rPr>
              <w:lastRenderedPageBreak/>
              <w:t>de Créditos a Indivíduos do Banco Nacional da Bélgica.</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Estes ficheiros de registo de consulta devem ser utilizados para estabelecer:</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a data e hora da consulta;</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a identificação do utilizador individual ou, na sua falta, o processo ou sistema que acedeu aos dados;</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o tipo de pedido;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o objetivo da consulta.</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N.º 2 O Banco Nacional da Bélgica criará ficheiros de registo para estabelecer: </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a identificação do utilizador que acedeu ou recebeu a comunicação dos dados;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o tipo de pedido apresentado;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a data e hora da consulta ou comunicação.</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N.º 3 A Comissão de Jogos e o Banco Nacional da Bélgica adotarão medidas adequadas para garantir a segurança dos ficheiros de registo e, em especial, impedir o tratamento não autorizado e garantir a integridade dos dados tratados. </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 ficheiros de registo são conservados durante cinco anos a contar da data da consulta.</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 ficheiros de registo da Comissão de Jogos devem ser conservados e colocados à disposição da autoridade de proteção de dados a pedido inicial.</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6.º</w:t>
            </w:r>
            <w:r>
              <w:rPr>
                <w:rFonts w:ascii="Calibri" w:hAnsi="Calibri"/>
                <w:sz w:val="24"/>
              </w:rPr>
              <w:t xml:space="preserve"> As pessoas designadas pela Comissão de Jogos, cuja função exige o acesso ao Registo Central de Créditos a Indivíduos do Banco Nacional da Bélgica às pessoas singulares, só podem ter acesso à informação de que um jogador está em falta de pagamento na aceção do artigo VII.148 do Código de Direito Económico e apenas após autenticação através de um cartão de identidade eletrónico, quer no que respeita à aplicação da Comissão de Jogos, quer no que respeita à aplicação do Banco Nacional da Bélgica</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 Comissão de Jogos comunicará ao Banco Nacional da Bélgica ou à Autoridade de Proteção de Dados, à primeira solicitação, a identidade do membro do seu pessoal que tenha consultado ou tomado conhecimento dos dados pessoais referidos no primeiro parágrafo.</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Artigo 7.º</w:t>
            </w:r>
            <w:r>
              <w:rPr>
                <w:rFonts w:ascii="Calibri" w:hAnsi="Calibri"/>
                <w:sz w:val="24"/>
              </w:rPr>
              <w:t xml:space="preserve"> A Comissão de Jogos manterá os dados pessoais consultados pelo Registo Central de Créditos a Indivíduos do Banco Nacional da Bélgica durante o tempo necessário para o desempenho das tarefas referidas no artigo 6.º, n.º 1, do Decreto Real, de 25 de outubro de 2018, relativo aos procedimentos de exploração de jogos de fortuna ou azar e de apostas através dos serviços da sociedade da informação.</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Artigo 8.º</w:t>
            </w:r>
            <w:r>
              <w:rPr>
                <w:rFonts w:ascii="Calibri" w:hAnsi="Calibri"/>
                <w:sz w:val="24"/>
              </w:rPr>
              <w:t xml:space="preserve"> As despesas de consulta do Registo Central de Créditos a Indivíduos do Banco Nacional da Bélgica são inteiramente suportadas pelos fundos da Comissão de Jogos, tal como referido no artigo 19.º, n.º 2, da Lei de 7 de maio de 1999 relativa aos jogos de fortuna, aos jogos de azar, aos estabelecimentos de jogo e à proteção dos jogadores.</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CAPÍTULO II — Alterações ao Decreto Real de 25 de outubro de 2018 relativo aos procedimentos de exploração de jogos de fortuna ou azar e de apostas através dos serviços da sociedade da informação</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Artigo 9.º</w:t>
            </w:r>
            <w:r>
              <w:rPr>
                <w:rFonts w:ascii="Calibri" w:hAnsi="Calibri"/>
                <w:sz w:val="24"/>
              </w:rPr>
              <w:t xml:space="preserve"> No artigo 6.º, n.º 1, ponto 1, alínea a),</w:t>
            </w:r>
            <w:r>
              <w:rPr>
                <w:rFonts w:ascii="Calibri" w:hAnsi="Calibri"/>
                <w:sz w:val="24"/>
                <w:vertAlign w:val="superscript"/>
              </w:rPr>
              <w:t xml:space="preserve"> </w:t>
            </w:r>
            <w:r>
              <w:rPr>
                <w:rFonts w:ascii="Calibri" w:hAnsi="Calibri"/>
                <w:sz w:val="24"/>
              </w:rPr>
              <w:t>do Decreto Real, de 25 de outubro de 2018, relativo às modalidades de exploração de jogos de fortuna ou azar e de apostas através dos serviços da sociedade da informação, o número «500» é substituído pelo número «200» e os termos «em todos os jogos de fortuna ou azar e apostas em que participe» são revogados.</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Capítulo III – Entrada em vigor e disposição transitória</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Artigo 10.º</w:t>
            </w:r>
            <w:r>
              <w:rPr>
                <w:rFonts w:ascii="Calibri" w:hAnsi="Calibri"/>
                <w:snapToGrid w:val="0"/>
                <w:sz w:val="24"/>
              </w:rPr>
              <w:t xml:space="preserve"> O presente decreto entrará em vigor três meses após a sua publicação no Moniteur belge.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Artigo 11.º</w:t>
            </w:r>
            <w:r>
              <w:rPr>
                <w:rFonts w:ascii="Calibri" w:hAnsi="Calibri"/>
                <w:sz w:val="24"/>
              </w:rPr>
              <w:t xml:space="preserve"> Após a entrada em vigor do presente decreto, o limite de jogo para todas as contas de jogador será fixado no limite de jogo de 200 euros, em conformidade com o artigo 9.º do presente decreto.</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Capítulo IV – Disposições finais</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Artigo 12.º</w:t>
            </w:r>
            <w:r>
              <w:rPr>
                <w:rFonts w:ascii="Calibri" w:hAnsi="Calibri"/>
                <w:sz w:val="24"/>
              </w:rPr>
              <w:t xml:space="preserve"> O Ministro da Economia, o Ministro das Finanças, o Ministro da Saúde Pública, o Ministro da Justiça, a Ministra do Interior e o Secretário de Estado da Lotaria Nacional são cada um responsáveis pela execução do presente decreto.</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Feito em Bruxelas, em 19 de junho de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FILIPE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Pelo Rei:</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 Economia,</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das Finanças,</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 Saúde Pública,</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Ministro da Justiça,</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Ministra do Interior,</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 Secretário de Estado da Lotaria Nacional,</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914531"/>
    <w:rsid w:val="0098737B"/>
    <w:rsid w:val="009B3457"/>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7565</Words>
  <Characters>36997</Characters>
  <Application>Microsoft Office Word</Application>
  <DocSecurity>0</DocSecurity>
  <Lines>755</Lines>
  <Paragraphs>276</Paragraphs>
  <ScaleCrop>false</ScaleCrop>
  <Company>FOD Justitie / SPF Justice</Company>
  <LinksUpToDate>false</LinksUpToDate>
  <CharactersWithSpaces>44286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2022-11-03T13:30:00Z</dcterms:created>
  <dcterms:modified xsi:type="dcterms:W3CDTF">2022-11-03T13:30:00Z</dcterms:modified>
</cp:coreProperties>
</file>