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Pr="003342A9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3342A9" w:rsidRDefault="00AF1E99" w:rsidP="0026174B">
      <w:pPr>
        <w:tabs>
          <w:tab w:val="left" w:pos="6210"/>
          <w:tab w:val="left" w:pos="6570"/>
        </w:tabs>
        <w:rPr>
          <w:b/>
          <w:szCs w:val="28"/>
        </w:rPr>
      </w:pPr>
      <w:r>
        <w:t>7 stycznia 2021 r.</w:t>
      </w:r>
      <w:r>
        <w:tab/>
        <w:t>Rozporządzenie nr 19</w:t>
      </w:r>
    </w:p>
    <w:p w14:paraId="1C495F9E" w14:textId="3C7F2203" w:rsidR="00AF1E99" w:rsidRPr="003342A9" w:rsidRDefault="00AF1E99" w:rsidP="00E727FB">
      <w:pPr>
        <w:tabs>
          <w:tab w:val="left" w:pos="6210"/>
        </w:tabs>
        <w:rPr>
          <w:szCs w:val="28"/>
        </w:rPr>
      </w:pPr>
      <w:r>
        <w:t>Ryga</w:t>
      </w:r>
      <w:r>
        <w:tab/>
        <w:t>(notatka nr 2 § 27)</w:t>
      </w:r>
    </w:p>
    <w:p w14:paraId="38401122" w14:textId="60CB314B" w:rsidR="001463C2" w:rsidRPr="003342A9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Pr="003342A9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Rozporządzenie w sprawie roślin i części roślin, których stosowanie w żywności jest zabronione </w:t>
      </w:r>
    </w:p>
    <w:bookmarkEnd w:id="0"/>
    <w:bookmarkEnd w:id="1"/>
    <w:p w14:paraId="73CBB23A" w14:textId="77777777" w:rsidR="00577306" w:rsidRPr="003342A9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Wydane na mocy</w:t>
      </w:r>
      <w:r>
        <w:rPr>
          <w:color w:val="000000" w:themeColor="text1"/>
        </w:rPr>
        <w:br/>
        <w:t>art. 4 ust. 18 ustawy o</w:t>
      </w:r>
      <w:r>
        <w:rPr>
          <w:color w:val="000000" w:themeColor="text1"/>
        </w:rPr>
        <w:br/>
        <w:t>nadzorze nad postępowaniem ze środkami spożywczymi</w:t>
      </w:r>
    </w:p>
    <w:p w14:paraId="4671D459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7CC31FBA" w14:textId="2BF02A0E" w:rsidR="00124DF3" w:rsidRPr="003342A9" w:rsidRDefault="005205A6" w:rsidP="00AF1E99">
      <w:pPr>
        <w:pStyle w:val="BodyText2"/>
        <w:spacing w:after="0" w:line="240" w:lineRule="auto"/>
        <w:jc w:val="right"/>
      </w:pPr>
      <w:r>
        <w:t xml:space="preserve"> </w:t>
      </w:r>
    </w:p>
    <w:p w14:paraId="5BA2ED44" w14:textId="77777777" w:rsidR="004B3C2F" w:rsidRPr="003342A9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Pr="003342A9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>1. Rozporządzenie określa</w:t>
      </w:r>
      <w:r>
        <w:t xml:space="preserve"> rośliny i części roślin, których stosowanie w żywności jest zabronione, zgodnie z wykazem zawartym w załączniku do tego rozporządzenia. </w:t>
      </w:r>
    </w:p>
    <w:p w14:paraId="70B59111" w14:textId="77777777" w:rsidR="00DB4BD3" w:rsidRPr="003342A9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Pr="003342A9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>2. </w:t>
      </w:r>
      <w:r>
        <w:rPr>
          <w:color w:val="000000" w:themeColor="text1"/>
          <w:shd w:val="clear" w:color="auto" w:fill="FFFFFF"/>
        </w:rPr>
        <w:t xml:space="preserve">Żywność legalnie wprowadzona do obrotu w innym </w:t>
      </w:r>
      <w:r>
        <w:rPr>
          <w:rStyle w:val="highlight"/>
          <w:color w:val="000000" w:themeColor="text1"/>
        </w:rPr>
        <w:t>państwie członkowskim Unii Europejskiej lub w Turcji</w:t>
      </w:r>
      <w:r>
        <w:rPr>
          <w:color w:val="000000" w:themeColor="text1"/>
          <w:shd w:val="clear" w:color="auto" w:fill="FFFFFF"/>
        </w:rPr>
        <w:t xml:space="preserve"> lub pochodząca z jednego z krajów Europejskiego Stowarzyszenia Wolnego Handlu, które jest umawiającą się stroną Porozumienia o Europejskim Obszarze Gospodarczym i legalnie wprowadzana do obrotu w tym kraju, może być dystrybuowana na rynku łotewskim z zastrzeżeniem bezpośrednio obowiązującego prawodawstwa Unii Europejskiej dotyczącego wzajemnego uznawania towarów.</w:t>
      </w:r>
    </w:p>
    <w:p w14:paraId="74735A9B" w14:textId="77777777" w:rsidR="002E10FC" w:rsidRPr="003342A9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Pr="003342A9" w:rsidRDefault="00DB4BD3" w:rsidP="00AF1E99">
      <w:pPr>
        <w:jc w:val="center"/>
        <w:rPr>
          <w:b/>
        </w:rPr>
      </w:pPr>
      <w:r>
        <w:rPr>
          <w:b/>
        </w:rPr>
        <w:t>Odniesienia do dyrektywy Unii Europejskiej</w:t>
      </w:r>
    </w:p>
    <w:p w14:paraId="1582B57D" w14:textId="77777777" w:rsidR="00DB4BD3" w:rsidRPr="003342A9" w:rsidRDefault="00DB4BD3" w:rsidP="00AF1E99">
      <w:pPr>
        <w:jc w:val="center"/>
      </w:pPr>
    </w:p>
    <w:p w14:paraId="527944F1" w14:textId="6221EA53" w:rsidR="00DB4BD3" w:rsidRPr="003342A9" w:rsidRDefault="00DB4BD3" w:rsidP="00AF1E99">
      <w:pPr>
        <w:ind w:firstLine="709"/>
        <w:jc w:val="both"/>
      </w:pPr>
      <w:r>
        <w:t>Przepisy prawne zostały uzgodnione z Komisją Europejską i państwami członkowskimi Unii Europejskiej zgodnie z dyrektywą Parlamentu Europejskiego i Rady (UE) 2015/1535 z dnia 9 września 2015 r. ustanawiającą procedurę udzielania informacji w dziedzinie przepisów technicznych i usług społeczeństwa informacyjnego.</w:t>
      </w:r>
    </w:p>
    <w:p w14:paraId="1156A4CD" w14:textId="77777777" w:rsidR="00DB4BD3" w:rsidRPr="003342A9" w:rsidRDefault="00DB4BD3" w:rsidP="00AF1E99">
      <w:pPr>
        <w:ind w:firstLine="709"/>
        <w:jc w:val="both"/>
      </w:pPr>
    </w:p>
    <w:p w14:paraId="25E016ED" w14:textId="77777777" w:rsidR="00AF1E99" w:rsidRPr="003342A9" w:rsidRDefault="00AF1E99" w:rsidP="00AF1E99">
      <w:pPr>
        <w:ind w:firstLine="709"/>
        <w:jc w:val="both"/>
      </w:pPr>
    </w:p>
    <w:p w14:paraId="36422527" w14:textId="3EBE7926" w:rsidR="00AF1E9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Premier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sz w:val="28"/>
        </w:rPr>
        <w:t>A. </w:t>
      </w:r>
      <w:r>
        <w:rPr>
          <w:rFonts w:ascii="Times New Roman" w:hAnsi="Times New Roman"/>
          <w:color w:val="auto"/>
          <w:sz w:val="28"/>
        </w:rPr>
        <w:t>K. Kariņš</w:t>
      </w:r>
    </w:p>
    <w:p w14:paraId="2C3A8A9C" w14:textId="77777777" w:rsidR="0099710B" w:rsidRPr="003342A9" w:rsidRDefault="0099710B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EBFD056" w14:textId="77777777" w:rsidR="00AF1E99" w:rsidRPr="0099710B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7FA84ECD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Minister Rolnictwa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73F11ABD" w14:textId="46313375" w:rsidR="00DB4BD3" w:rsidRPr="003342A9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71F22A2C" w14:textId="77777777" w:rsidR="00E928E2" w:rsidRPr="003342A9" w:rsidRDefault="00E928E2" w:rsidP="00AF73F5">
      <w:pPr>
        <w:ind w:firstLine="360"/>
        <w:jc w:val="right"/>
        <w:rPr>
          <w:szCs w:val="28"/>
        </w:rPr>
      </w:pPr>
    </w:p>
    <w:p w14:paraId="77BE6778" w14:textId="09E0037B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Załącznik </w:t>
      </w:r>
    </w:p>
    <w:p w14:paraId="5E945290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do rozporządzenia Rady Ministrów </w:t>
      </w:r>
    </w:p>
    <w:p w14:paraId="7B3054C5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Nr 19 z dnia</w:t>
      </w:r>
    </w:p>
    <w:p w14:paraId="08311071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7 stycznia 2021 r.</w:t>
      </w:r>
    </w:p>
    <w:p w14:paraId="5D5070BA" w14:textId="77777777" w:rsidR="00AF73F5" w:rsidRPr="003342A9" w:rsidRDefault="00AF73F5" w:rsidP="00AF73F5">
      <w:pPr>
        <w:rPr>
          <w:bCs/>
        </w:rPr>
      </w:pPr>
    </w:p>
    <w:p w14:paraId="720179D1" w14:textId="77777777" w:rsidR="00AF73F5" w:rsidRPr="003342A9" w:rsidRDefault="00AF73F5" w:rsidP="00AF73F5">
      <w:pPr>
        <w:jc w:val="center"/>
        <w:rPr>
          <w:b/>
          <w:bCs/>
        </w:rPr>
      </w:pPr>
      <w:r>
        <w:rPr>
          <w:b/>
        </w:rPr>
        <w:t>Rozporządzenie w sprawie roślin i części roślin, których stosowanie w żywności jest zabronione</w:t>
      </w:r>
    </w:p>
    <w:p w14:paraId="3DAB367F" w14:textId="77777777" w:rsidR="00AF73F5" w:rsidRPr="003342A9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770"/>
        <w:gridCol w:w="1891"/>
      </w:tblGrid>
      <w:tr w:rsidR="00AF73F5" w:rsidRPr="003342A9" w14:paraId="3489DCB2" w14:textId="77777777" w:rsidTr="00AF73F5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Nazwa rośliny w języku polskim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Łacińska nazwa botaniczna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Roślina lub część rośliny</w:t>
            </w:r>
          </w:p>
        </w:tc>
      </w:tr>
      <w:tr w:rsidR="00AF73F5" w:rsidRPr="003342A9" w14:paraId="345472F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Miłek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59F275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Areka katechu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>Cała roślina</w:t>
            </w:r>
          </w:p>
        </w:tc>
      </w:tr>
      <w:tr w:rsidR="00AF73F5" w:rsidRPr="003342A9" w14:paraId="15E379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Aristolochia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1A321D5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Arnika górska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montana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Cała roślina </w:t>
            </w:r>
          </w:p>
        </w:tc>
      </w:tr>
      <w:tr w:rsidR="00AF73F5" w:rsidRPr="003342A9" w14:paraId="692BA7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Arnika łąkowa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chamissonis</w:t>
            </w:r>
            <w:r>
              <w:rPr>
                <w:color w:val="000000" w:themeColor="text1"/>
                <w:sz w:val="24"/>
              </w:rPr>
              <w:t xml:space="preserve"> Less.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19BA469A" w14:textId="77777777" w:rsidTr="00AF73F5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Komosa meksykańska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i/>
                <w:color w:val="000000" w:themeColor="text1"/>
                <w:sz w:val="24"/>
              </w:rPr>
              <w:t>anthelminticum</w:t>
            </w:r>
            <w:r>
              <w:rPr>
                <w:color w:val="000000" w:themeColor="text1"/>
                <w:sz w:val="24"/>
              </w:rPr>
              <w:t xml:space="preserve"> (L.) A. Gray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5378DE3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Baptysja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5AC69BD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Psianka słodkogórz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dulcamara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43250D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Pokrzyk wilcza jagoda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 xml:space="preserve">Atropa </w:t>
            </w:r>
            <w:r>
              <w:rPr>
                <w:i/>
                <w:sz w:val="24"/>
              </w:rPr>
              <w:t>belladonna</w:t>
            </w:r>
            <w:r>
              <w:rPr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Pr="003342A9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Cała roślina</w:t>
            </w:r>
          </w:p>
        </w:tc>
      </w:tr>
      <w:tr w:rsidR="00AF73F5" w:rsidRPr="003342A9" w14:paraId="004B67E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Corydalis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4BD48CF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Czworolist pospolity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2AFDF2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Wilczomlecz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6444E86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Difenbachia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4D27E20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Lulek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2404EB3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Przęśl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131413"/>
                <w:sz w:val="24"/>
              </w:rPr>
              <w:t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6CADFDA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Brugmansja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Brugmansia</w:t>
            </w:r>
            <w:r>
              <w:rPr>
                <w:color w:val="000000" w:themeColor="text1"/>
                <w:sz w:val="24"/>
              </w:rPr>
              <w:t xml:space="preserve"> spp. 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22F617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Orlica pospolita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0D20A24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Szkarłatka amerykańska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64FCB78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Szachownica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244045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Gelsemium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Gelsemium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5DA6BE6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Heliotrop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5486258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Ipekakuana nikaraguańska, ipekakuana panamska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acuminata</w:t>
            </w:r>
            <w:r>
              <w:rPr>
                <w:color w:val="000000" w:themeColor="text1"/>
                <w:sz w:val="24"/>
              </w:rPr>
              <w:t xml:space="preserve"> (Benth.) Karst., syn. </w:t>
            </w:r>
            <w:r>
              <w:rPr>
                <w:i/>
                <w:color w:val="000000" w:themeColor="text1"/>
                <w:sz w:val="24"/>
              </w:rPr>
              <w:t>Uragoga acuminata</w:t>
            </w:r>
            <w:r>
              <w:rPr>
                <w:color w:val="000000" w:themeColor="text1"/>
                <w:sz w:val="24"/>
              </w:rPr>
              <w:t xml:space="preserve"> (Benth.) O. Kuntze, </w:t>
            </w:r>
            <w:r>
              <w:rPr>
                <w:i/>
                <w:color w:val="000000" w:themeColor="text1"/>
                <w:sz w:val="24"/>
              </w:rPr>
              <w:t>Psychotria acuminata</w:t>
            </w:r>
            <w:r>
              <w:rPr>
                <w:color w:val="000000" w:themeColor="text1"/>
                <w:sz w:val="24"/>
              </w:rPr>
              <w:t xml:space="preserve"> Benth.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Korzeń </w:t>
            </w:r>
          </w:p>
        </w:tc>
      </w:tr>
      <w:tr w:rsidR="00AF73F5" w:rsidRPr="003342A9" w14:paraId="182E8AB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Ipekakuana brazylijska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Pr="0099710B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99710B">
              <w:rPr>
                <w:i/>
                <w:color w:val="000000" w:themeColor="text1"/>
                <w:sz w:val="24"/>
                <w:lang w:val="en-US"/>
              </w:rPr>
              <w:t>Cephaelis ipecacuanha</w:t>
            </w:r>
            <w:r w:rsidRPr="0099710B">
              <w:rPr>
                <w:color w:val="000000" w:themeColor="text1"/>
                <w:sz w:val="24"/>
                <w:lang w:val="en-US"/>
              </w:rPr>
              <w:t xml:space="preserve"> (Brot.) A. Rich. syn. </w:t>
            </w:r>
            <w:r w:rsidRPr="0099710B">
              <w:rPr>
                <w:i/>
                <w:color w:val="000000" w:themeColor="text1"/>
                <w:sz w:val="24"/>
                <w:lang w:val="en-US"/>
              </w:rPr>
              <w:t>Uragoga ipecacuanha</w:t>
            </w:r>
            <w:r w:rsidRPr="0099710B">
              <w:rPr>
                <w:color w:val="000000" w:themeColor="text1"/>
                <w:sz w:val="24"/>
                <w:lang w:val="en-US"/>
              </w:rPr>
              <w:t xml:space="preserve"> (Brot.) Baill., </w:t>
            </w:r>
            <w:r w:rsidRPr="0099710B">
              <w:rPr>
                <w:i/>
                <w:color w:val="000000" w:themeColor="text1"/>
                <w:sz w:val="24"/>
                <w:lang w:val="en-US"/>
              </w:rPr>
              <w:t>Psychotria ipecacuanha</w:t>
            </w:r>
            <w:r w:rsidRPr="0099710B">
              <w:rPr>
                <w:color w:val="000000" w:themeColor="text1"/>
                <w:sz w:val="24"/>
                <w:lang w:val="en-US"/>
              </w:rPr>
              <w:t xml:space="preserve"> (Brot.) Muell, Arg. (auch Stokes)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Korzenie </w:t>
            </w:r>
          </w:p>
        </w:tc>
      </w:tr>
      <w:tr w:rsidR="00AF73F5" w:rsidRPr="003342A9" w14:paraId="3E99D7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Ostrokrzew</w:t>
            </w:r>
            <w:r>
              <w:rPr>
                <w:color w:val="000000" w:themeColor="text1"/>
                <w:sz w:val="24"/>
              </w:rPr>
              <w:br/>
              <w:t>kolczasty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Ilex aquifolium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Liście, owoc</w:t>
            </w:r>
          </w:p>
        </w:tc>
      </w:tr>
      <w:tr w:rsidR="00AF73F5" w:rsidRPr="003342A9" w14:paraId="6A9302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Johimba lekarska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Pr="003342A9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italics"/>
                <w:color w:val="000000" w:themeColor="text1"/>
                <w:sz w:val="24"/>
              </w:rPr>
              <w:t>Pausinystalia yohimbe</w:t>
            </w:r>
            <w:r>
              <w:rPr>
                <w:i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(K. Schum) Pierre ex Beille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Kora</w:t>
            </w:r>
          </w:p>
        </w:tc>
      </w:tr>
      <w:tr w:rsidR="00AF73F5" w:rsidRPr="003342A9" w14:paraId="6B71C8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Barwinek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Vinca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13C6CA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Kroton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Cała roślina </w:t>
            </w:r>
          </w:p>
        </w:tc>
      </w:tr>
      <w:tr w:rsidR="00AF73F5" w:rsidRPr="003342A9" w14:paraId="1B060BD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Katarantus różowy (barwinek madagaskarski)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Pr="0099710B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99710B">
              <w:rPr>
                <w:i/>
                <w:color w:val="000000" w:themeColor="text1"/>
                <w:sz w:val="24"/>
                <w:lang w:val="en-US"/>
              </w:rPr>
              <w:t>Catharanthus roseus</w:t>
            </w:r>
            <w:r w:rsidRPr="0099710B">
              <w:rPr>
                <w:color w:val="000000" w:themeColor="text1"/>
                <w:sz w:val="24"/>
                <w:lang w:val="en-US"/>
              </w:rPr>
              <w:t xml:space="preserve"> (L.) G.Don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22A4AA09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Konwalia majowa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1FC76D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Starzec jakubek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2AF8882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Kopytnik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2CE0236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Tojad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68787B9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Lobelia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Lobelia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0AAD98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Mandragora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4A3D330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Miesięcznik kanadyjski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Owoc, korzeń</w:t>
            </w:r>
          </w:p>
        </w:tc>
      </w:tr>
      <w:tr w:rsidR="00AF73F5" w:rsidRPr="003342A9" w14:paraId="4A33AF3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Kokoryczka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55374A4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Świerzbiec właściwy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 w:rsidRPr="0099710B">
              <w:rPr>
                <w:color w:val="000000" w:themeColor="text1"/>
                <w:sz w:val="24"/>
                <w:lang w:val="da-DK"/>
              </w:rPr>
              <w:t xml:space="preserve">Mucuna pruriens (L.) DC., syn. </w:t>
            </w:r>
            <w:r>
              <w:rPr>
                <w:color w:val="000000" w:themeColor="text1"/>
                <w:sz w:val="24"/>
              </w:rPr>
              <w:t xml:space="preserve">Stizolobium pruriens (L.) Medik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1A1FD8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Psianka czarna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nigrum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2A1BB0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Oleander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28A0D8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Orlik pospolity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Cała roślina</w:t>
            </w:r>
          </w:p>
        </w:tc>
      </w:tr>
      <w:tr w:rsidR="00AF73F5" w:rsidRPr="003342A9" w14:paraId="447B093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Narecznica samcza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 w:rsidRPr="0099710B">
              <w:rPr>
                <w:color w:val="000000" w:themeColor="text1"/>
                <w:sz w:val="24"/>
                <w:lang w:val="en-US"/>
              </w:rPr>
              <w:t xml:space="preserve">Dryopteris filix-mas (L.) Schott, syn. Aspidium filix-mas (L.) Sw., Lastrea filix-mas (L.) </w:t>
            </w:r>
            <w:r>
              <w:rPr>
                <w:color w:val="000000" w:themeColor="text1"/>
                <w:sz w:val="24"/>
              </w:rPr>
              <w:t xml:space="preserve">Presl., Polypodium filix-mas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4FEBBF9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Potoślin jaborandi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Pilocarpus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28EC2B7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Dereń florydzki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 w:rsidRPr="0099710B">
              <w:rPr>
                <w:color w:val="000000" w:themeColor="text1"/>
                <w:sz w:val="24"/>
                <w:lang w:val="it-IT"/>
              </w:rPr>
              <w:t xml:space="preserve">Piscidia piscipula (L.) Sarg., syn. </w:t>
            </w:r>
            <w:r>
              <w:rPr>
                <w:color w:val="000000" w:themeColor="text1"/>
                <w:sz w:val="24"/>
              </w:rPr>
              <w:t>Piscidia erythrina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57024EA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Rauvolfia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126043F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Sasafras lekarski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Cała roślina </w:t>
            </w:r>
          </w:p>
        </w:tc>
      </w:tr>
      <w:tr w:rsidR="00AF73F5" w:rsidRPr="003342A9" w14:paraId="5A59B63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Bryonia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62D90C2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Ślazowiec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00E4DD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Kulczyba wronie oko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17DE136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Strofant, skrętnik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063BFA7E" w14:textId="77777777" w:rsidTr="00AF73F5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Pluskwica groniasta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53D411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Szczwół plamisty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4F15A1B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Żywokost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059A90C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Żywotnik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4CE9C7D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Urginia morska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Cebulki</w:t>
            </w:r>
          </w:p>
        </w:tc>
      </w:tr>
      <w:tr w:rsidR="00AF73F5" w:rsidRPr="003342A9" w14:paraId="4245693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Naparstnica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00FEE552" w14:textId="77777777" w:rsidTr="00AF73F5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Bieluń dziędzierzawa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Datura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58B5D6A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Ciemiężyca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672B03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Zimowit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66C3799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Zawilec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3F257EC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Wawrzynek wilczełyko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  <w:tr w:rsidR="00AF73F5" w:rsidRPr="003342A9" w14:paraId="69F98118" w14:textId="77777777" w:rsidTr="00AF73F5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Złotokap zwyczajny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Laburnum anagyroides Medik., syn. Cytisus laburnum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Cała roślina</w:t>
            </w:r>
          </w:p>
        </w:tc>
      </w:tr>
    </w:tbl>
    <w:p w14:paraId="23DA5974" w14:textId="77777777" w:rsidR="00AF73F5" w:rsidRPr="003342A9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Pr="003342A9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Pr="003342A9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Minister Rolnictwa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503FD897" w14:textId="77777777" w:rsidR="00AF73F5" w:rsidRPr="003342A9" w:rsidRDefault="00AF73F5" w:rsidP="00AF73F5">
      <w:pPr>
        <w:jc w:val="both"/>
        <w:rPr>
          <w:sz w:val="20"/>
        </w:rPr>
      </w:pPr>
    </w:p>
    <w:p w14:paraId="71B507C8" w14:textId="288B15EB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2E53" w14:textId="77777777" w:rsidR="00BD677C" w:rsidRDefault="00BD677C" w:rsidP="004B3C2F">
      <w:r>
        <w:separator/>
      </w:r>
    </w:p>
  </w:endnote>
  <w:endnote w:type="continuationSeparator" w:id="0">
    <w:p w14:paraId="22BC8E34" w14:textId="77777777" w:rsidR="00BD677C" w:rsidRDefault="00BD677C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6E7E" w14:textId="77777777" w:rsidR="00BD677C" w:rsidRDefault="00BD677C" w:rsidP="004B3C2F">
      <w:r>
        <w:separator/>
      </w:r>
    </w:p>
  </w:footnote>
  <w:footnote w:type="continuationSeparator" w:id="0">
    <w:p w14:paraId="7C01C2AC" w14:textId="77777777" w:rsidR="00BD677C" w:rsidRDefault="00BD677C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D0694"/>
    <w:rsid w:val="00213CC0"/>
    <w:rsid w:val="002203A8"/>
    <w:rsid w:val="002209DD"/>
    <w:rsid w:val="0022356B"/>
    <w:rsid w:val="002304BD"/>
    <w:rsid w:val="00237AF2"/>
    <w:rsid w:val="002422E5"/>
    <w:rsid w:val="0026174B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342A9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7306"/>
    <w:rsid w:val="0058525F"/>
    <w:rsid w:val="005857A3"/>
    <w:rsid w:val="005A0BC6"/>
    <w:rsid w:val="00632483"/>
    <w:rsid w:val="006913B0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9710B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6ABE"/>
    <w:rsid w:val="00AF73F5"/>
    <w:rsid w:val="00B01577"/>
    <w:rsid w:val="00B059EC"/>
    <w:rsid w:val="00B174ED"/>
    <w:rsid w:val="00B425AE"/>
    <w:rsid w:val="00B5520A"/>
    <w:rsid w:val="00B82C4F"/>
    <w:rsid w:val="00BD4D53"/>
    <w:rsid w:val="00BD677C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340AE"/>
    <w:rsid w:val="00E727FB"/>
    <w:rsid w:val="00E72F1D"/>
    <w:rsid w:val="00E82BFB"/>
    <w:rsid w:val="00E928E2"/>
    <w:rsid w:val="00EB7079"/>
    <w:rsid w:val="00F348FF"/>
    <w:rsid w:val="00F82557"/>
    <w:rsid w:val="00F92F0A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5185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10</cp:revision>
  <cp:lastPrinted>2020-12-17T08:29:00Z</cp:lastPrinted>
  <dcterms:created xsi:type="dcterms:W3CDTF">2021-01-28T10:51:00Z</dcterms:created>
  <dcterms:modified xsi:type="dcterms:W3CDTF">2021-10-20T11:37:00Z</dcterms:modified>
  <cp:category/>
</cp:coreProperties>
</file>