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8979D" w14:textId="77777777"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14:paraId="281CB20A" w14:textId="77777777">
        <w:trPr>
          <w:trHeight w:hRule="exact" w:val="1739"/>
        </w:trPr>
        <w:tc>
          <w:tcPr>
            <w:tcW w:w="1795" w:type="dxa"/>
            <w:tcBorders>
              <w:top w:val="none" w:sz="0" w:space="0" w:color="000000"/>
              <w:left w:val="none" w:sz="0" w:space="0" w:color="000000"/>
              <w:bottom w:val="none" w:sz="0" w:space="0" w:color="000000"/>
              <w:right w:val="none" w:sz="0" w:space="0" w:color="000000"/>
            </w:tcBorders>
          </w:tcPr>
          <w:p w14:paraId="305D3AC0" w14:textId="77777777"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5B3363C1" wp14:editId="5D86C558">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14:paraId="03A3B3FE" w14:textId="77777777" w:rsidR="00AA66E7" w:rsidRPr="00AA66E7" w:rsidRDefault="00AA66E7" w:rsidP="00AA66E7">
            <w:pPr>
              <w:spacing w:before="20" w:after="20"/>
              <w:jc w:val="center"/>
              <w:textAlignment w:val="baseline"/>
              <w:rPr>
                <w:rFonts w:eastAsia="Times New Roman"/>
                <w:color w:val="000000"/>
                <w:sz w:val="72"/>
                <w:szCs w:val="72"/>
              </w:rPr>
            </w:pPr>
            <w:r>
              <w:rPr>
                <w:color w:val="000000"/>
                <w:sz w:val="72"/>
                <w:szCs w:val="72"/>
              </w:rPr>
              <w:t>SBÍRKA ZÁKONŮ</w:t>
            </w:r>
          </w:p>
          <w:p w14:paraId="3A3CBB64" w14:textId="77777777" w:rsidR="000A62E1" w:rsidRPr="00C42B42" w:rsidRDefault="00AA66E7" w:rsidP="00AA66E7">
            <w:pPr>
              <w:spacing w:line="900" w:lineRule="exact"/>
              <w:jc w:val="center"/>
              <w:textAlignment w:val="baseline"/>
              <w:rPr>
                <w:rFonts w:asciiTheme="majorBidi" w:eastAsia="Times New Roman" w:hAnsiTheme="majorBidi" w:cstheme="majorBidi"/>
                <w:color w:val="000000"/>
                <w:sz w:val="93"/>
              </w:rPr>
            </w:pPr>
            <w:r>
              <w:rPr>
                <w:color w:val="000000"/>
                <w:sz w:val="56"/>
              </w:rPr>
              <w:t>POLSKÉ REPUBLIKY</w:t>
            </w:r>
          </w:p>
          <w:p w14:paraId="46EDB3EF" w14:textId="77777777"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POLSKÉ REPUBLIKY</w:t>
            </w:r>
          </w:p>
        </w:tc>
      </w:tr>
      <w:tr w:rsidR="000A62E1" w:rsidRPr="00C42B42" w14:paraId="01251517" w14:textId="77777777">
        <w:trPr>
          <w:trHeight w:hRule="exact" w:val="36"/>
        </w:trPr>
        <w:tc>
          <w:tcPr>
            <w:tcW w:w="1795" w:type="dxa"/>
            <w:tcBorders>
              <w:top w:val="none" w:sz="0" w:space="0" w:color="000000"/>
              <w:left w:val="none" w:sz="0" w:space="0" w:color="000000"/>
              <w:bottom w:val="none" w:sz="0" w:space="0" w:color="000000"/>
              <w:right w:val="none" w:sz="0" w:space="0" w:color="000000"/>
            </w:tcBorders>
          </w:tcPr>
          <w:p w14:paraId="6FE6F7C8" w14:textId="77777777"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14:paraId="0ABC9ECF" w14:textId="77777777" w:rsidR="000A62E1" w:rsidRPr="00C42B42" w:rsidRDefault="000A62E1">
            <w:pPr>
              <w:rPr>
                <w:rFonts w:asciiTheme="majorBidi" w:hAnsiTheme="majorBidi" w:cstheme="majorBidi"/>
              </w:rPr>
            </w:pPr>
          </w:p>
        </w:tc>
      </w:tr>
    </w:tbl>
    <w:p w14:paraId="06A6B514" w14:textId="77777777" w:rsidR="000A62E1" w:rsidRPr="00C42B42" w:rsidRDefault="000A62E1">
      <w:pPr>
        <w:spacing w:after="448" w:line="20" w:lineRule="exact"/>
        <w:rPr>
          <w:rFonts w:asciiTheme="majorBidi" w:hAnsiTheme="majorBidi" w:cstheme="majorBidi"/>
        </w:rPr>
      </w:pPr>
    </w:p>
    <w:p w14:paraId="447D69B4" w14:textId="30B5B383" w:rsidR="00911BBF" w:rsidRPr="008F61B0" w:rsidRDefault="007C334C" w:rsidP="00911BBF">
      <w:pPr>
        <w:pStyle w:val="PlainText"/>
        <w:rPr>
          <w:rFonts w:ascii="Courier New" w:hAnsi="Courier New" w:cs="Courier New"/>
          <w:sz w:val="20"/>
          <w:szCs w:val="20"/>
        </w:rPr>
      </w:pPr>
      <w:r>
        <w:rPr>
          <w:rFonts w:ascii="Courier New" w:hAnsi="Courier New"/>
          <w:sz w:val="20"/>
          <w:szCs w:val="20"/>
        </w:rPr>
        <w:t>1. ------IND- 2018 0186 PL</w:t>
      </w:r>
      <w:r w:rsidR="00911BBF">
        <w:rPr>
          <w:rFonts w:ascii="Courier New" w:hAnsi="Courier New"/>
          <w:sz w:val="20"/>
          <w:szCs w:val="20"/>
        </w:rPr>
        <w:t xml:space="preserve">- CS- ------ 20200930 --- --- FINAL </w:t>
      </w:r>
    </w:p>
    <w:p w14:paraId="1A4CEE86" w14:textId="77777777"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Varšava, 29. listopadu 2018</w:t>
      </w:r>
      <w:r>
        <w:rPr>
          <w:rFonts w:asciiTheme="majorBidi" w:hAnsiTheme="majorBidi"/>
          <w:color w:val="000000"/>
          <w:sz w:val="28"/>
        </w:rPr>
        <w:br/>
        <w:t>Bod 2227</w:t>
      </w:r>
    </w:p>
    <w:p w14:paraId="146753E3" w14:textId="77777777"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ZÁKON</w:t>
      </w:r>
    </w:p>
    <w:p w14:paraId="5B09F0B2" w14:textId="77777777" w:rsidR="000A62E1" w:rsidRPr="00C42B42"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ze dne 4. října 2018</w:t>
      </w:r>
    </w:p>
    <w:p w14:paraId="2763D693" w14:textId="77777777"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o kosmetických přípravcích</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14:paraId="3C2B8D2F" w14:textId="77777777"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Kapitola 1</w:t>
      </w:r>
    </w:p>
    <w:p w14:paraId="6DD41E5C" w14:textId="77777777"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Obecná ustanovení</w:t>
      </w:r>
    </w:p>
    <w:p w14:paraId="7D9DAAE6"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w:t>
      </w:r>
      <w:r>
        <w:rPr>
          <w:rFonts w:asciiTheme="majorBidi" w:hAnsiTheme="majorBidi"/>
          <w:color w:val="000000"/>
          <w:sz w:val="20"/>
          <w:szCs w:val="20"/>
        </w:rPr>
        <w:t xml:space="preserve"> Tímto zákonem se stanoví povinnosti provozovatelů a pravomoci orgánů, pokud jde o povinnosti a administrativní úkoly podle nařízení Evropského parlamentu a Rady (ES) č. 1223/2009 ze dne 30. listopadu 2009 o kosmetických přípravcích (přepracování) (Úř. věst. L 342, 22.12.2009, s. 59, ve znění pozdějších předpisů</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szCs w:val="20"/>
          <w:vertAlign w:val="superscript"/>
        </w:rPr>
        <w:t>)</w:t>
      </w:r>
      <w:r>
        <w:rPr>
          <w:rFonts w:asciiTheme="majorBidi" w:hAnsiTheme="majorBidi"/>
          <w:color w:val="000000"/>
          <w:sz w:val="20"/>
          <w:szCs w:val="20"/>
        </w:rPr>
        <w:t>), dále jen „nařízení č. 1223/2009“.</w:t>
      </w:r>
    </w:p>
    <w:p w14:paraId="24B246F2"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Článek 2</w:t>
      </w:r>
      <w:r>
        <w:rPr>
          <w:rFonts w:asciiTheme="majorBidi" w:hAnsiTheme="majorBidi"/>
          <w:color w:val="000000"/>
          <w:sz w:val="20"/>
          <w:szCs w:val="20"/>
        </w:rPr>
        <w:t xml:space="preserve"> Pro účely tohoto zákona se:</w:t>
      </w:r>
    </w:p>
    <w:p w14:paraId="66588276" w14:textId="7910EC61"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„závažným nežádoucím účinkem“ rozumí závažný nežádoucí účinek podle čl. 2 odst. 1 písm. p) nařízení č. 1223/2009;</w:t>
      </w:r>
    </w:p>
    <w:p w14:paraId="6C91CCD2" w14:textId="2B52EDDD"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„správnou výrobní praxí“ rozumí správná výrobní praxe podle článku 8 nařízení č. 1223/2009;</w:t>
      </w:r>
    </w:p>
    <w:p w14:paraId="306B79F8"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„distributorem“ rozumí distributor uvedený v čl. 2 odst. 1 písm. e) nařízení č. 1223/2009;</w:t>
      </w:r>
    </w:p>
    <w:p w14:paraId="2632E54E"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„nežádoucím účinkem“ rozumí nežádoucí účinek podle čl. 2 odst. 1 písm. o) nařízení č. 1223/2009;</w:t>
      </w:r>
    </w:p>
    <w:p w14:paraId="09939C62"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„balením“ rozumí procesy, včetně plnění a označování, které se musí provést, aby se hmota přípravku stala hotovým výrobkem;</w:t>
      </w:r>
    </w:p>
    <w:p w14:paraId="7EE3142B"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„hmotou přípravku“ rozumí kosmetický přípravek, který prošel všemi fázemi výroby až po konečnou fázi balení, s výjimkou této posledně jmenované fáze;</w:t>
      </w:r>
    </w:p>
    <w:p w14:paraId="6889BB24"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„odpovědnou osobou“ rozumí odpovědná osoba uvedená v článku 4 nařízení č. 1223/2009;</w:t>
      </w:r>
    </w:p>
    <w:p w14:paraId="06DD484C"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„konečným výrobkem“ rozumí kosmetický přípravek, který prošel všemi fázemi výroby včetně balení k expedici;</w:t>
      </w:r>
    </w:p>
    <w:p w14:paraId="722B3484"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9)</w:t>
      </w:r>
      <w:r>
        <w:rPr>
          <w:rFonts w:asciiTheme="majorBidi" w:hAnsiTheme="majorBidi"/>
          <w:color w:val="000000"/>
          <w:sz w:val="20"/>
          <w:szCs w:val="20"/>
        </w:rPr>
        <w:tab/>
        <w:t>„kosmetickým přípravkem“ rozumí kosmetický přípravek podle čl. 2 odst. 1 písm. a) nařízení č.1223/2009;</w:t>
      </w:r>
    </w:p>
    <w:p w14:paraId="7E8AB2E5"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10)</w:t>
      </w:r>
      <w:r>
        <w:rPr>
          <w:rFonts w:asciiTheme="majorBidi" w:hAnsiTheme="majorBidi"/>
          <w:color w:val="000000"/>
          <w:sz w:val="20"/>
          <w:szCs w:val="20"/>
        </w:rPr>
        <w:tab/>
        <w:t>„dodáním na trh“ rozumí dodání na trh v souladu s čl. 2 odst. 1 písm. g) nařízení č. 1223/2009;</w:t>
      </w:r>
    </w:p>
    <w:p w14:paraId="29FE00A4"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11)</w:t>
      </w:r>
      <w:r>
        <w:rPr>
          <w:rFonts w:asciiTheme="majorBidi" w:hAnsiTheme="majorBidi"/>
          <w:color w:val="000000"/>
          <w:sz w:val="20"/>
          <w:szCs w:val="20"/>
        </w:rPr>
        <w:tab/>
        <w:t>„konečným uživatelem“ rozumí konečný uživatel podle čl. 2 odst. 1 písm. f) nařízení č.1223/2009;</w:t>
      </w:r>
    </w:p>
    <w:p w14:paraId="106B5A63"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12)</w:t>
      </w:r>
      <w:r>
        <w:rPr>
          <w:rFonts w:asciiTheme="majorBidi" w:hAnsiTheme="majorBidi"/>
          <w:color w:val="000000"/>
          <w:sz w:val="20"/>
          <w:szCs w:val="20"/>
        </w:rPr>
        <w:tab/>
        <w:t>„uvedením na trh“ rozumí uvedení na trh v souladu s čl. 2 odst. 1 písm. h) nařízení č. 1223/2009;</w:t>
      </w:r>
    </w:p>
    <w:p w14:paraId="01775465"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13)</w:t>
      </w:r>
      <w:r>
        <w:rPr>
          <w:rFonts w:asciiTheme="majorBidi" w:hAnsiTheme="majorBidi"/>
          <w:color w:val="000000"/>
          <w:sz w:val="20"/>
          <w:szCs w:val="20"/>
        </w:rPr>
        <w:tab/>
        <w:t>„výrobou kosmetického přípravku“ rozumí procesy vedoucí k získání konečného výrobku, včetně balení, a to i v případě, že se neuskuteční ve stejných prostorách jako výroba hmoty výrobku;</w:t>
      </w:r>
    </w:p>
    <w:p w14:paraId="59ED64A8"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14)</w:t>
      </w:r>
      <w:r>
        <w:rPr>
          <w:rFonts w:asciiTheme="majorBidi" w:hAnsiTheme="majorBidi"/>
          <w:color w:val="000000"/>
          <w:sz w:val="20"/>
          <w:szCs w:val="20"/>
        </w:rPr>
        <w:tab/>
        <w:t>„výrobcem“ rozumí fyzická osoba, právnická osoba a jakékoli sdružení osob, které není právnickou osobou, kteří vyrábějí kosmetický přípravek.</w:t>
      </w:r>
    </w:p>
    <w:p w14:paraId="033B6331"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Kapitola 2</w:t>
      </w:r>
    </w:p>
    <w:p w14:paraId="18590BCC"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Dodání kosmetických přípravků na trh a jejich výroba</w:t>
      </w:r>
    </w:p>
    <w:p w14:paraId="2B263F0B"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w:t>
      </w:r>
      <w:r>
        <w:rPr>
          <w:rFonts w:asciiTheme="majorBidi" w:hAnsiTheme="majorBidi"/>
          <w:color w:val="000000"/>
          <w:sz w:val="20"/>
          <w:szCs w:val="20"/>
        </w:rPr>
        <w:t xml:space="preserve"> 1. Informační dokumentace k přípravku uvedená v čl. 11 odst. 1 nařízení č. 1223/2009, která je poskytována v souladu s čl. 11 odst. 3 zmíněného nařízení, bude vypracována v polštině nebo v angličtině.</w:t>
      </w:r>
    </w:p>
    <w:p w14:paraId="754D60BC"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Část B zprávy o bezpečnosti kosmetických přípravků podle čl. 10 odst. 1 nařízení č. 1223/2009, která se poskytuje v souladu s čl. 11 odst. 3 zmíněného nařízení, bude vypracována v polštině.</w:t>
      </w:r>
    </w:p>
    <w:p w14:paraId="34850109"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4</w:t>
      </w:r>
      <w:r>
        <w:rPr>
          <w:rFonts w:asciiTheme="majorBidi" w:hAnsiTheme="majorBidi"/>
          <w:color w:val="000000"/>
          <w:sz w:val="20"/>
          <w:szCs w:val="20"/>
        </w:rPr>
        <w:t xml:space="preserve"> 1. Kosmetické přípravky dodávané na trh na území Polské republiky musí být označeny v polštině.</w:t>
      </w:r>
    </w:p>
    <w:p w14:paraId="6D85901B"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Pokud kosmetický přípravek není poskytován ve spotřebitelském balení, pokud je balen v místě prodeje na žádost kupujícího, nebo je opatřen spotřebitelským balením k okamžitému prodeji, umístí se informace uvedené v čl. 19 odst. 1 nařízení č. 1223/2009 na jeho nádobu nebo na obal, ve kterém byl kosmetický přípravek vystaven k prodeji.</w:t>
      </w:r>
    </w:p>
    <w:p w14:paraId="37F653D8"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5</w:t>
      </w:r>
      <w:r>
        <w:rPr>
          <w:rFonts w:asciiTheme="majorBidi" w:hAnsiTheme="majorBidi"/>
          <w:color w:val="000000"/>
          <w:sz w:val="20"/>
          <w:szCs w:val="20"/>
        </w:rPr>
        <w:t xml:space="preserve"> Kosmetické přípravky se uvádějí a dodávají na trh do dne jejich minimální trvanlivosti.</w:t>
      </w:r>
    </w:p>
    <w:p w14:paraId="7FFB5F01"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6</w:t>
      </w:r>
      <w:r>
        <w:rPr>
          <w:rFonts w:asciiTheme="majorBidi" w:hAnsiTheme="majorBidi"/>
          <w:color w:val="000000"/>
          <w:sz w:val="20"/>
          <w:szCs w:val="20"/>
        </w:rPr>
        <w:t xml:space="preserve"> 1. Tento seznam závodů, ve kterých probíhá výroba kosmetických přípravků, dále jen „seznam závodů“, spravuje krajský státní zdravotní inspektorát, jehož místní příslušnost se řídí tím, kde má závod vyrábějící kosmetické přípravky své sídlo.</w:t>
      </w:r>
    </w:p>
    <w:p w14:paraId="6978ABE3"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Výrobce vystaví orgánu uvedenému v odstavci 1 žádost o zapsání závodu vyrábějícího kosmetické přípravky na seznam závodů.</w:t>
      </w:r>
    </w:p>
    <w:p w14:paraId="55670D7D"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Tento seznam závodů slouží ke kontrole dodržování zásad správné výrobní praxe v souladu s článkem 22 nařízení č. 1223/2009 a není zpřístupňován na základě zákona ze dne 6. září 2001 o přístupu veřejnosti k informacím (Sbírka zákonů z roku 2018, body 1330 a 1669).</w:t>
      </w:r>
    </w:p>
    <w:p w14:paraId="6D7D4F12"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Výrobce předloží žádost o zápis do tohoto seznamu závodů ve fyzické nebo elektronické podobě do 30 dnů od zahájení činnosti v závodu vyrábějícím kosmetické přípravky.</w:t>
      </w:r>
    </w:p>
    <w:p w14:paraId="7B4F5D7F"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Součástí žádosti o zápis do tohoto seznamu je:</w:t>
      </w:r>
    </w:p>
    <w:p w14:paraId="2EC2C9FF"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jméno a příjmení nebo název společnosti výrobce a jejich/jeho adresa;</w:t>
      </w:r>
    </w:p>
    <w:p w14:paraId="01CC1508"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název a adresa závodu vyrábějícího kosmetické přípravky,</w:t>
      </w:r>
    </w:p>
    <w:p w14:paraId="0D4F7BC6"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typ a rozsah činnosti prováděné v závodě vyrábějícím kosmetické přípravky.</w:t>
      </w:r>
    </w:p>
    <w:p w14:paraId="3D4C005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Výrobci bude případně vydáno potvrzení o zápisu obsahující datum zápisu na seznam a název a adresu závodu vyrábějícího kosmetické přípravky.</w:t>
      </w:r>
    </w:p>
    <w:p w14:paraId="27B52CC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7.</w:t>
      </w:r>
      <w:r>
        <w:rPr>
          <w:rFonts w:asciiTheme="majorBidi" w:hAnsiTheme="majorBidi"/>
          <w:color w:val="000000"/>
          <w:sz w:val="20"/>
          <w:szCs w:val="20"/>
        </w:rPr>
        <w:tab/>
        <w:t>V případě změny údajů uvedených v odstavci 5 požádá výrobce o provedení těchto změn v seznamu závodů podáním žádosti ve fyzické nebo elektronické podobě do 30 dnů od okamžiku této změny. Tato žádost musí obsahovat údaje uvedené v odstavci 5, které byly upraveny.</w:t>
      </w:r>
    </w:p>
    <w:p w14:paraId="6C82FD5E"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Odstranění ze seznamu závodů bude provedeno pomocí:</w:t>
      </w:r>
    </w:p>
    <w:p w14:paraId="783EF8C1"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formuláře ve fyzické nebo elektronické podobě předloženého výrobcem požadujícím odstranění závodu ze seznamu, který musí obsahovat údaje uvedené v odstavci 5;</w:t>
      </w:r>
    </w:p>
    <w:p w14:paraId="22D9FCD3"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rozhodnutí příslušného krajského státního hygienického inspektora, pokud výrobce ukončí svou činnost zapsanou v seznamu a nepředloží formulář žádosti uvedený v bodu 1.</w:t>
      </w:r>
    </w:p>
    <w:p w14:paraId="1FC4F61C"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7</w:t>
      </w:r>
      <w:r>
        <w:rPr>
          <w:rFonts w:asciiTheme="majorBidi" w:hAnsiTheme="majorBidi"/>
          <w:color w:val="000000"/>
          <w:sz w:val="20"/>
          <w:szCs w:val="20"/>
        </w:rPr>
        <w:t xml:space="preserve"> 1. Seznam závodů obsahuje údaje uvedené v čl. 6 odst. 5 a:</w:t>
      </w:r>
    </w:p>
    <w:p w14:paraId="62224046"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datum zápisu do seznamu závodů;</w:t>
      </w:r>
    </w:p>
    <w:p w14:paraId="5708AECC"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informace o úředních kontrolách prováděných v závodě vyrábějícím kosmetické přípravky příslušným krajským státním hygienickým inspektorem;</w:t>
      </w:r>
    </w:p>
    <w:p w14:paraId="03269B22"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informace o úpravě údajů uvedených v čl. 6 odst. 5 nebo o odstranění závodu vyrábějícího kosmetické přípravky ze seznamu závodů.</w:t>
      </w:r>
    </w:p>
    <w:p w14:paraId="7B1A24B7"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Ministr zdravotnictví stanoví formou předpisu vzory:</w:t>
      </w:r>
    </w:p>
    <w:p w14:paraId="34FF779F"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formuláře žádosti o zápis do seznamu závodů,</w:t>
      </w:r>
    </w:p>
    <w:p w14:paraId="479CD1F9"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formuláře žádosti o změnu seznamu závodů,</w:t>
      </w:r>
    </w:p>
    <w:p w14:paraId="663014AC"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formuláře žádosti o odstranění ze seznamu závodů,</w:t>
      </w:r>
    </w:p>
    <w:p w14:paraId="5D95F4CE"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osvědčení o zápisu na seznam závodů,</w:t>
      </w:r>
    </w:p>
    <w:p w14:paraId="5CDD795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s přihlédnutím k rozsahu údajů obsažených v seznamu závodů a potřebě zajistit jednotnost vydaných osvědčení.</w:t>
      </w:r>
    </w:p>
    <w:p w14:paraId="378618FD" w14:textId="77777777"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Kapitola 3</w:t>
      </w:r>
    </w:p>
    <w:p w14:paraId="2E7975D5" w14:textId="77777777"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szCs w:val="20"/>
        </w:rPr>
        <w:t>Sdělení závažných nežádoucích účinků</w:t>
      </w:r>
    </w:p>
    <w:p w14:paraId="04AA30A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8</w:t>
      </w:r>
      <w:r>
        <w:rPr>
          <w:rFonts w:asciiTheme="majorBidi" w:hAnsiTheme="majorBidi"/>
          <w:color w:val="000000"/>
          <w:sz w:val="20"/>
          <w:szCs w:val="20"/>
        </w:rPr>
        <w:t xml:space="preserve"> 1. Bude vytvořen systém pro sdělování závažných nežádoucích účinků způsobených používáním kosmetických prostředků, dále jen „systém“.</w:t>
      </w:r>
    </w:p>
    <w:p w14:paraId="1018C94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Tento systém bude sloužit ke zpracování údajů o závažných nežádoucích účincích oznámených v souladu s článkem 23 nařízení č. 1223/2009.</w:t>
      </w:r>
    </w:p>
    <w:p w14:paraId="21EDE65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Správcem osobních údajů a tohoto systému bude vrchní hygienický inspektor.</w:t>
      </w:r>
    </w:p>
    <w:p w14:paraId="3EAA204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Aby bylo zajištěno zabezpečení údajů během provozu systému, svěří vrchní hygienický inspektor zpracování údajů obsažených v systému správnímu středisku stanovenému v ustanoveních podle článku 13, dále jen „správní středisko“.</w:t>
      </w:r>
    </w:p>
    <w:p w14:paraId="1FA5E026"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Správní středisko musí splňovat tyto požadavky:</w:t>
      </w:r>
    </w:p>
    <w:p w14:paraId="3994D1CB"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mít nejméně 5 let praxe v záležitostech souvisejících s procesem posuzování a klasifikace závažných nežádoucích účinků;</w:t>
      </w:r>
    </w:p>
    <w:p w14:paraId="1D41373C"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mít praxi v¨záležitostech souvisejících s toxickými účinky chemických látek a směsí;</w:t>
      </w:r>
    </w:p>
    <w:p w14:paraId="69F0AE2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mít praxi v záležitostech souvisejících s působením kosmetických přípravků a chemických látek a směsí;</w:t>
      </w:r>
    </w:p>
    <w:p w14:paraId="5155A7DE"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zaměstnávat osoby kvalifikované posuzovat a klasifikovat závažné nežádoucí účinky;</w:t>
      </w:r>
    </w:p>
    <w:p w14:paraId="5E15D51A"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vytvářet organizační a technické podmínky, které zajistí ochranu zpracovávaných údajů vůči přístupu ze strany neoprávněných osob, protiprávnímu zveřejnění nebo pořízení a jejich úpravě, znehodnocení, zničení nebo ztrátě.</w:t>
      </w:r>
    </w:p>
    <w:p w14:paraId="069D1E0A" w14:textId="73E9E836"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 xml:space="preserve">Vrchní hygienický inspektor může kontrolovat správní středisko, pokud jde o plnění podmínek uvedených </w:t>
      </w:r>
      <w:r w:rsidR="00505C9F">
        <w:rPr>
          <w:rFonts w:asciiTheme="majorBidi" w:hAnsiTheme="majorBidi"/>
          <w:color w:val="000000"/>
          <w:sz w:val="20"/>
          <w:szCs w:val="20"/>
        </w:rPr>
        <w:t>odst.</w:t>
      </w:r>
      <w:r>
        <w:rPr>
          <w:rFonts w:asciiTheme="majorBidi" w:hAnsiTheme="majorBidi"/>
          <w:color w:val="000000"/>
          <w:sz w:val="20"/>
          <w:szCs w:val="20"/>
        </w:rPr>
        <w:t xml:space="preserve"> 5 </w:t>
      </w:r>
      <w:r w:rsidR="00505C9F">
        <w:rPr>
          <w:rFonts w:asciiTheme="majorBidi" w:hAnsiTheme="majorBidi"/>
          <w:color w:val="000000"/>
          <w:sz w:val="20"/>
          <w:szCs w:val="20"/>
        </w:rPr>
        <w:t xml:space="preserve">bodu </w:t>
      </w:r>
      <w:r>
        <w:rPr>
          <w:rFonts w:asciiTheme="majorBidi" w:hAnsiTheme="majorBidi"/>
          <w:color w:val="000000"/>
          <w:sz w:val="20"/>
          <w:szCs w:val="20"/>
        </w:rPr>
        <w:t>5 a způsob, jakým je dosahováno příslušných cílů, pokud jde o svěřené údaje zpracovávané v systému.</w:t>
      </w:r>
    </w:p>
    <w:p w14:paraId="5496261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Správní středisko není oprávněno svěřit zpracování údajů obsažených v systému jinému subjektu.</w:t>
      </w:r>
    </w:p>
    <w:p w14:paraId="1F3F6279" w14:textId="277C11F3"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Úkoly správního střediska budou financovány z kapitoly státního rozpočtu, kterou spravuje ministr zdravotnictví.</w:t>
      </w:r>
    </w:p>
    <w:p w14:paraId="5DB17EF1"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bCs/>
          <w:color w:val="000000"/>
          <w:sz w:val="20"/>
          <w:szCs w:val="20"/>
        </w:rPr>
        <w:t>Článek 9</w:t>
      </w:r>
      <w:r>
        <w:rPr>
          <w:rFonts w:asciiTheme="majorBidi" w:hAnsiTheme="majorBidi"/>
          <w:color w:val="000000"/>
          <w:sz w:val="20"/>
          <w:szCs w:val="20"/>
        </w:rPr>
        <w:t xml:space="preserve"> 1. Správnímu středisku se oznamují závažné nežádoucí účinky.</w:t>
      </w:r>
    </w:p>
    <w:p w14:paraId="7D5FCC39"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Pokud zprávu o závažném nežádoucím účinku podává správnímu středisku konečný uživatel, musí tato zpráva obsahovat:</w:t>
      </w:r>
    </w:p>
    <w:p w14:paraId="5F2A9D64"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název kosmetického přípravku, jehož použití mohlo způsobit závažný nežádoucí účinek, a jeho číslo šarže;</w:t>
      </w:r>
    </w:p>
    <w:p w14:paraId="00E4FABF"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osobní údaje uživatele:</w:t>
      </w:r>
    </w:p>
    <w:p w14:paraId="6B7416B3"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jméno a příjmení,</w:t>
      </w:r>
    </w:p>
    <w:p w14:paraId="5F97BC66"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věk,</w:t>
      </w:r>
    </w:p>
    <w:p w14:paraId="5B2385AC"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w:t>
      </w:r>
      <w:r>
        <w:rPr>
          <w:rFonts w:asciiTheme="majorBidi" w:hAnsiTheme="majorBidi"/>
          <w:color w:val="000000"/>
          <w:sz w:val="20"/>
          <w:szCs w:val="20"/>
        </w:rPr>
        <w:tab/>
        <w:t>povolání, pokud souvisí s používáním kosmetického přípravku,</w:t>
      </w:r>
    </w:p>
    <w:p w14:paraId="7CCBF18B"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d)</w:t>
      </w:r>
      <w:r>
        <w:rPr>
          <w:rFonts w:asciiTheme="majorBidi" w:hAnsiTheme="majorBidi"/>
          <w:color w:val="000000"/>
          <w:sz w:val="20"/>
          <w:szCs w:val="20"/>
        </w:rPr>
        <w:tab/>
        <w:t>bydliště nebo poštovní adresa,</w:t>
      </w:r>
    </w:p>
    <w:p w14:paraId="36FE6E70"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e)</w:t>
      </w:r>
      <w:r>
        <w:rPr>
          <w:rFonts w:asciiTheme="majorBidi" w:hAnsiTheme="majorBidi"/>
          <w:color w:val="000000"/>
          <w:sz w:val="20"/>
          <w:szCs w:val="20"/>
        </w:rPr>
        <w:tab/>
        <w:t>e-mailová adresa, případně telefonní číslo;</w:t>
      </w:r>
    </w:p>
    <w:p w14:paraId="59DF8BCA"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jiné údaje poskytnuté uživatelem ve vztahu ke zprávě;</w:t>
      </w:r>
    </w:p>
    <w:p w14:paraId="70029AB3"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popis závažného nežádoucího účinku a, je-li to namístě, další zdravotní informace týkající se konečného uživatele.</w:t>
      </w:r>
    </w:p>
    <w:p w14:paraId="2EF5A875" w14:textId="51A26953"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Správní středisko ověří údaje uvedené v odst. 2 bodech 1, 3 a 4 s cílem určit, zda se zpráva týká závažného nežádoucího účinku v souladu s čl 2 odst. 1 písm. p) nařízení č. 1223/2009.</w:t>
      </w:r>
    </w:p>
    <w:p w14:paraId="214C6BD8"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Pokud podává zprávu o závažném nežádoucím účinku správnímu středisku subjekt provádějící léčebnou činnost nebo lékař pracující u tohoto subjektu, musí zpráva obsahovat:</w:t>
      </w:r>
    </w:p>
    <w:p w14:paraId="0BD2010F"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název kosmetického přípravku, jehož použití mohlo způsobit závažný nežádoucí účinek, a jeho číslo šarže;</w:t>
      </w:r>
    </w:p>
    <w:p w14:paraId="127F49C9"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popis závažného nežádoucího účinku;</w:t>
      </w:r>
    </w:p>
    <w:p w14:paraId="383E5360"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věk a povolání konečného uživatele, pokud souvisí s používáním kosmetického přípravku a pokud jsou poskytnuty.</w:t>
      </w:r>
    </w:p>
    <w:p w14:paraId="4A115BE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10</w:t>
      </w:r>
      <w:r>
        <w:rPr>
          <w:rFonts w:asciiTheme="majorBidi" w:hAnsiTheme="majorBidi"/>
          <w:color w:val="000000"/>
          <w:sz w:val="20"/>
          <w:szCs w:val="20"/>
        </w:rPr>
        <w:t xml:space="preserve"> 1. Správní středisko zpracovává osobní údaje v rámci plnění povinností podle čl. 23 odst. 2 až 4 nařízení č. 1223/2009.</w:t>
      </w:r>
    </w:p>
    <w:p w14:paraId="1700429B" w14:textId="5EAF7A8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Správní středisko je povinno uchovávat osobní údaje za podmínek, kdy je zabráněno přístupu k nim jiným než oprávněným osobám.</w:t>
      </w:r>
    </w:p>
    <w:p w14:paraId="0007EDE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Osobní údaje budou u správního střediska uchovány nejdéle po dobu jednoho roku od provedení ověření zprávy o nežádoucím účinku.</w:t>
      </w:r>
    </w:p>
    <w:p w14:paraId="4B3F9116"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Po ukončení zpracování údajů správní středisko poskytne uvedené údaje vrchnímu hygienickému inspektorovi.</w:t>
      </w:r>
    </w:p>
    <w:p w14:paraId="60ADD9B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Správní středisko a osoby oprávněné zpracovávat údaje v systému zachovávají důvěrnou povahu všech informací souvisejících s údaji obsaženými v systému.</w:t>
      </w:r>
    </w:p>
    <w:p w14:paraId="088688C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11</w:t>
      </w:r>
      <w:r>
        <w:rPr>
          <w:rFonts w:asciiTheme="majorBidi" w:hAnsiTheme="majorBidi"/>
          <w:color w:val="000000"/>
          <w:sz w:val="20"/>
          <w:szCs w:val="20"/>
        </w:rPr>
        <w:t xml:space="preserve"> 1. Pokud konečný uživatel nahlásí odpovědné osobě nebo distributorovi nežádoucí účinek, zpracuje tato odpovědná osoba nebo distributor osobní údaje uvedené v čl. 9 odst. 2 body 2 až 4 a stane se jejich správcem.</w:t>
      </w:r>
    </w:p>
    <w:p w14:paraId="2C3A8D8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Odpovědná osoba nebo distributor zpracovává osobní údaje v rámci plnění povinností podle čl. 10 odst. 1, čl. 11 odst. 2 písm. b), článku 21 a čl. 23 odst. 1 nařízení č. 1223/2009.</w:t>
      </w:r>
    </w:p>
    <w:p w14:paraId="5D53DC84" w14:textId="4E61EB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Odpovědní oosba nebo distributor budou uchovávat osobní údaje za podmínek, kdy je zabráněno přístupu k nim jiným než oprávněným osobám.</w:t>
      </w:r>
    </w:p>
    <w:p w14:paraId="753F8C71" w14:textId="1D9315CA"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Odpovědní oosba nebo distributor budou uchovávat osobní údaje nejdéle po dobu 1 roku od provedení ověření zprávy o nežádoucím účinku.</w:t>
      </w:r>
    </w:p>
    <w:p w14:paraId="21FBB8BF" w14:textId="57707DBE"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Odpovědná osoba nebo distributor vytvoří organizační a technické podmínky, které zajistí ochranu zpracovávaných údajů vůči přístupu ze strany neoprávněných osob, jejich protiprávnímu zveřejnění nebo pořízení a úpravě, znehodnocení, zničení nebo ztrátě.</w:t>
      </w:r>
    </w:p>
    <w:p w14:paraId="50EB4E3A" w14:textId="1194D6D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Odpovědná osoba nebo distributor a osoby oprávněné zpracovávat údaje v rámci daného subjektu budou uchovávat důvěrnou povahu všech informací souvisejících s těmito údaji.</w:t>
      </w:r>
    </w:p>
    <w:p w14:paraId="6E24F4E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12</w:t>
      </w:r>
      <w:r>
        <w:rPr>
          <w:rFonts w:asciiTheme="majorBidi" w:hAnsiTheme="majorBidi"/>
          <w:color w:val="000000"/>
          <w:sz w:val="20"/>
          <w:szCs w:val="20"/>
        </w:rPr>
        <w:t xml:space="preserve"> 1. Správní středisko oznámí vrchnímu hygienickému inspektorovi každou zprávu o závažném nežádoucím účinku. Součástí této informace jsou údaje stanovené v čl. 9 odst. 4 a v případě závažného nežádoucího účinku oznamovaného odpovědnou osobou nebo distributorem, údaje uvedené v čl. 23 odst. 1 písm. c) nařízení č. 1223/2009.</w:t>
      </w:r>
    </w:p>
    <w:p w14:paraId="1AD499C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Příslušným orgánem pro záležitosti uvedené v čl. 23 odst. 2 až 4 nařízení č. 1223/2009 je vrchní hygienický inspektor.</w:t>
      </w:r>
    </w:p>
    <w:p w14:paraId="691C99B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13</w:t>
      </w:r>
      <w:r>
        <w:rPr>
          <w:rFonts w:asciiTheme="majorBidi" w:hAnsiTheme="majorBidi"/>
          <w:color w:val="000000"/>
          <w:sz w:val="20"/>
          <w:szCs w:val="20"/>
        </w:rPr>
        <w:t xml:space="preserve"> Ministr zdravotnictví jmenuje správní středisko prostřednictvím nařízení z řad vědeckých subjektů uvedených v čl. 7 odst. 1 zákona ze dne 20. července 2018 - zákona o vysokém školství a vědě (Sbírka zákonů, body 1668 a 2024), s přihlédnutím k zajištění plnění úkolů podle článku 23 nařízení č. 1223/2009.</w:t>
      </w:r>
    </w:p>
    <w:p w14:paraId="09412E2A"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Kapitola 4</w:t>
      </w:r>
    </w:p>
    <w:p w14:paraId="2494B556"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Dozor nad kosmetickými přípravky</w:t>
      </w:r>
    </w:p>
    <w:p w14:paraId="77FD60E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14</w:t>
      </w:r>
      <w:r>
        <w:rPr>
          <w:rFonts w:asciiTheme="majorBidi" w:hAnsiTheme="majorBidi"/>
          <w:color w:val="000000"/>
          <w:sz w:val="20"/>
          <w:szCs w:val="20"/>
        </w:rPr>
        <w:t xml:space="preserve"> Dohled nad dodržováním ustanovení zákona a nařízení č. 1223/2009 vykonávají v rámci svých pravomocí orgány státní hygienické inspekce a obchodní inspekce.</w:t>
      </w:r>
    </w:p>
    <w:p w14:paraId="4E7C8F9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15</w:t>
      </w:r>
      <w:r>
        <w:rPr>
          <w:rFonts w:asciiTheme="majorBidi" w:hAnsiTheme="majorBidi"/>
          <w:color w:val="000000"/>
          <w:sz w:val="20"/>
          <w:szCs w:val="20"/>
        </w:rPr>
        <w:t xml:space="preserve"> 1. Příslušnými orgány ve věcech uvedených v článcích 5 až 7 nařízení č. 1223/2009 jsou orgány státní hygienické inspekce.</w:t>
      </w:r>
    </w:p>
    <w:p w14:paraId="1B9E24F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Příslušnými orgány ve věcech uvedených v článcích 6 a 7 nařízení č. 1223/2009 jsou orgány obchodní inspekce v rozsahu své působnosti.</w:t>
      </w:r>
    </w:p>
    <w:p w14:paraId="1CFD1B0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16</w:t>
      </w:r>
      <w:r>
        <w:rPr>
          <w:rFonts w:asciiTheme="majorBidi" w:hAnsiTheme="majorBidi"/>
          <w:color w:val="000000"/>
          <w:sz w:val="20"/>
          <w:szCs w:val="20"/>
        </w:rPr>
        <w:t xml:space="preserve"> 1. Příslušnými orgány ve věcech přístupu k informacím a údajům uvedeným v čl. 11 odst. 2 nařízení č. 1223/2009 jsou orgány státní hygienické inspekce.</w:t>
      </w:r>
    </w:p>
    <w:p w14:paraId="3501D83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Příslušnými orgány ve věcech přístupu k informacím a údajům uvedeným v čl. 11 odst. 2 písm. d) nařízení č. 1223/2009 jsou v mezích své působnosti orgány obchodní inspekce.</w:t>
      </w:r>
    </w:p>
    <w:p w14:paraId="22CFC00C"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17</w:t>
      </w:r>
      <w:r>
        <w:rPr>
          <w:rFonts w:asciiTheme="majorBidi" w:hAnsiTheme="majorBidi"/>
          <w:color w:val="000000"/>
          <w:sz w:val="20"/>
          <w:szCs w:val="20"/>
        </w:rPr>
        <w:t xml:space="preserve"> Příslušnými orgány uvedenými v čl. 13 odst. 5 nařízení č. 1223/2009 jsou:</w:t>
      </w:r>
    </w:p>
    <w:p w14:paraId="17074396"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vrchní hygienický inspektor;</w:t>
      </w:r>
    </w:p>
    <w:p w14:paraId="0CB87FF4"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předseda Úřadu pro hospodářskou soutěž a ochranu spotřebitelů;</w:t>
      </w:r>
    </w:p>
    <w:p w14:paraId="1D11586F"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krajský úřad národní hygienické inspekce;</w:t>
      </w:r>
    </w:p>
    <w:p w14:paraId="3D7A54EB"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hraniční úřad národní hygienické inspekce;</w:t>
      </w:r>
    </w:p>
    <w:p w14:paraId="191896DC" w14:textId="00361F09"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18</w:t>
      </w:r>
      <w:r>
        <w:rPr>
          <w:rFonts w:asciiTheme="majorBidi" w:hAnsiTheme="majorBidi"/>
          <w:color w:val="000000"/>
          <w:sz w:val="20"/>
          <w:szCs w:val="20"/>
        </w:rPr>
        <w:t xml:space="preserve"> 1. Přístup k informacím o kosmetickém přípravku podle čl. 13 odst. 1 až 3 nařízení č. 1223/2009, které zpřístupní Evropská komise v souladu s čl. 13 odst. 6 uvedeného nařízení, udělí středisko, které má přístup k těmto informací lékařům a zubním lékařům za účelem poskytování léčby.</w:t>
      </w:r>
    </w:p>
    <w:p w14:paraId="5F604771"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Toto středisko musí splňovat následující požadavky:</w:t>
      </w:r>
    </w:p>
    <w:p w14:paraId="0BA1ABDF"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poskytovat toxikologické poradenství odbornému lékařskému personálu;</w:t>
      </w:r>
    </w:p>
    <w:p w14:paraId="544B3A1D"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analyzovat příčiny otrav;</w:t>
      </w:r>
    </w:p>
    <w:p w14:paraId="65015BE6"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mít přístup k vědeckým databázím souvisejícím s toxikologickými vlastnostmi látek;</w:t>
      </w:r>
    </w:p>
    <w:p w14:paraId="002F7FF1"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mít zavedenu nouzovou komunikaci po telefonu a elektronickými prostředky.</w:t>
      </w:r>
    </w:p>
    <w:p w14:paraId="394BFDE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Provádění úkolu uvedeného v odstavci 1 je financováno z kapitoly státního rozpočtu, kterou řídí ministr zdravotnictví.</w:t>
      </w:r>
    </w:p>
    <w:p w14:paraId="3358F125" w14:textId="375157EA"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Ministr zdravotnictví jmenuje předpisem středisko z řad vědeckých subjektů uvedených v čl. 7 odst. 1 zákona ze dne 20. července 2018 - zákona o vysokém školství a vědě, nebo z jiných subjektů, s přihlédnutím k zajištění plnění úkolů uvedených v čl. 13 odst. 6 nařízení č. 1223/2009.</w:t>
      </w:r>
    </w:p>
    <w:p w14:paraId="7627F95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19</w:t>
      </w:r>
      <w:r>
        <w:rPr>
          <w:rFonts w:asciiTheme="majorBidi" w:hAnsiTheme="majorBidi"/>
          <w:color w:val="000000"/>
          <w:sz w:val="20"/>
          <w:szCs w:val="20"/>
        </w:rPr>
        <w:t xml:space="preserve"> Příslušným orgánem, který je oprávněn žádat Evropskou komisi o udělení výjimky uvedené v čl. 18 odst. 2 nařízení č. 1223/2009, je vrchní hygienický inspektor.</w:t>
      </w:r>
    </w:p>
    <w:p w14:paraId="7694B9A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20</w:t>
      </w:r>
      <w:r>
        <w:rPr>
          <w:rFonts w:asciiTheme="majorBidi" w:hAnsiTheme="majorBidi"/>
          <w:color w:val="000000"/>
          <w:sz w:val="20"/>
          <w:szCs w:val="20"/>
        </w:rPr>
        <w:t xml:space="preserve"> 1. Vrchní hygienický inspektor ve spolupráci s předsedou Úřadu pro hospodářskou soutěž a ochranu spotřebitelů vypracuje zprávu obsahující výsledky pravidelných přezkumů a hodnocení činností dozoru uvedených v článku 22 nařízení č. 1223/2009 a předloží ji Evropské komisi a členským státům Evropské unie nebo státům Evropského sdružení volného obchodu (ESVO), které jsou stranami Dohody o Evropském hospodářském prostoru.</w:t>
      </w:r>
    </w:p>
    <w:p w14:paraId="42A3D12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Zprávu uvedenou v odstavci 1 zpřístupní vrchní hygienický inspektor na svých internetových stránkách ve Veřejném informačním věstníku.</w:t>
      </w:r>
    </w:p>
    <w:p w14:paraId="219AAA2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21</w:t>
      </w:r>
      <w:r>
        <w:rPr>
          <w:rFonts w:asciiTheme="majorBidi" w:hAnsiTheme="majorBidi"/>
          <w:color w:val="000000"/>
          <w:sz w:val="20"/>
          <w:szCs w:val="20"/>
        </w:rPr>
        <w:t xml:space="preserve"> 1. Příslušným orgánem podle článků 24, 27 a 30 nařízení č. 1223/2009 je vrchní hygienický inspektor.</w:t>
      </w:r>
    </w:p>
    <w:p w14:paraId="457E080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Vrchní hygienický inspektor je oprávněn požádat, aby krajský, okresní nebo hraniční hygienický inspektor provedl šetření v rozsahu uvedeném v článcích 24, 27 a 30 nařízení č. 1223/2009 ve vztahu k spolupráci mezi příslušnými orgány členských států Evropské unie nebo ESVO, které jsou stranami Dohody o Evropském hospodářském prostoru (EHP).</w:t>
      </w:r>
    </w:p>
    <w:p w14:paraId="0F071CC3" w14:textId="7B08514E"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22</w:t>
      </w:r>
      <w:r>
        <w:rPr>
          <w:rFonts w:asciiTheme="majorBidi" w:hAnsiTheme="majorBidi"/>
          <w:color w:val="000000"/>
          <w:sz w:val="20"/>
          <w:szCs w:val="20"/>
        </w:rPr>
        <w:t xml:space="preserve"> Za účelem provedení ustanovení čl. 25 odst. 2 a 4 až 6 nařízení č. 1223/2009 krajský státní hygienický inspektor oznámí opatření, která byla podniknuta, vrchnímu hygienickému inspektorovi, který o tom zpraví Evropskou komisi a členské státy Evropské unie nebo státy ESVO, které jsou stranami Dohody o EHP.</w:t>
      </w:r>
    </w:p>
    <w:p w14:paraId="1EE7100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23</w:t>
      </w:r>
      <w:r>
        <w:rPr>
          <w:rFonts w:asciiTheme="majorBidi" w:hAnsiTheme="majorBidi"/>
          <w:color w:val="000000"/>
          <w:sz w:val="20"/>
          <w:szCs w:val="20"/>
        </w:rPr>
        <w:t xml:space="preserve"> Příslušným orgánem, který je oprávněn vznést námitky proti harmonizované normě uvedené v čl. 36 odst. 1 nařízení č. 1223/2009, je vrchní hygienický inspektor.</w:t>
      </w:r>
    </w:p>
    <w:p w14:paraId="215D9B7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Článek 24</w:t>
      </w:r>
      <w:r>
        <w:rPr>
          <w:rFonts w:asciiTheme="majorBidi" w:hAnsiTheme="majorBidi"/>
          <w:color w:val="000000"/>
          <w:sz w:val="20"/>
          <w:szCs w:val="20"/>
        </w:rPr>
        <w:t xml:space="preserve"> 1. Orgány státní hygienické inspekce jsou příslušné k plnění úkolů uvedených v článcích 25 a 26 nařízení č. 1223/2009.</w:t>
      </w:r>
    </w:p>
    <w:p w14:paraId="1F21879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Orgány obchodní inspekce jsou v rámci své působnosti příslušné k plnění úkolů uvedených v článku 26 nařízení č. 1223/2009.</w:t>
      </w:r>
    </w:p>
    <w:p w14:paraId="645C36A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25</w:t>
      </w:r>
      <w:r>
        <w:rPr>
          <w:rFonts w:asciiTheme="majorBidi" w:hAnsiTheme="majorBidi"/>
          <w:color w:val="000000"/>
          <w:sz w:val="20"/>
          <w:szCs w:val="20"/>
        </w:rPr>
        <w:t xml:space="preserve"> 1. Dozor uvedený v článku 14 zahrnuje výkon činností a uplatnění opatření stanovených v zákoně a nařízení č. 1223/2009, zejména provádění kontroly, odběru vzorků kosmetických přípravků a provádění laboratorních kontrol.</w:t>
      </w:r>
    </w:p>
    <w:p w14:paraId="40AA5DD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Vzorky kosmetických přípravků pro účely zkoušek se odebírají zdarma.</w:t>
      </w:r>
    </w:p>
    <w:p w14:paraId="62DFF160" w14:textId="09240F9B"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Ministr zdravotnictví stanoví předpisem příslušné způsoby označování vzorků kosmetických přípravků, které jsou nezbytné pro bezpečnostní kontroly kosmetických přípravků s přihlédnutím k potřebě zajistit ochranu zdraví a bezpečnosti spotřebitelů a k vědeckým a technickým poznatkům.</w:t>
      </w:r>
    </w:p>
    <w:p w14:paraId="443BE703"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Kapitola 5</w:t>
      </w:r>
    </w:p>
    <w:p w14:paraId="491A3096"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Finanční postihy</w:t>
      </w:r>
    </w:p>
    <w:p w14:paraId="0CC6C3C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26</w:t>
      </w:r>
      <w:r>
        <w:rPr>
          <w:rFonts w:asciiTheme="majorBidi" w:hAnsiTheme="majorBidi"/>
          <w:color w:val="000000"/>
          <w:sz w:val="20"/>
          <w:szCs w:val="20"/>
        </w:rPr>
        <w:t xml:space="preserve"> 1. Subjektům, které při výrobě kosmetických přípravků nedodržují zásady správné výrobní praxe, bude vyměřen finanční postih ve výši až 50 000 PLN.</w:t>
      </w:r>
    </w:p>
    <w:p w14:paraId="4052A37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Odpovědné osobě, která nezajistí, aby byl kosmetický přípravek vyráběn v souladu se zásadami správné výrobní praxe, bude vyměřen stejný postih.</w:t>
      </w:r>
    </w:p>
    <w:p w14:paraId="3D558F6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27</w:t>
      </w:r>
      <w:r>
        <w:rPr>
          <w:rFonts w:asciiTheme="majorBidi" w:hAnsiTheme="majorBidi"/>
          <w:color w:val="000000"/>
          <w:sz w:val="20"/>
          <w:szCs w:val="20"/>
        </w:rPr>
        <w:t xml:space="preserve"> Subjektům, které uvedou na trh kosmetický přípravek, který nesplňuje požadavky na posouzení bezpečnosti uvedené v článku 10 nařízení č. 1223/2009, bude vyměřen finanční postih ve výši až 100 000 PLN.</w:t>
      </w:r>
    </w:p>
    <w:p w14:paraId="166A47D8" w14:textId="77777777"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28</w:t>
      </w:r>
      <w:r>
        <w:rPr>
          <w:rFonts w:asciiTheme="majorBidi" w:hAnsiTheme="majorBidi"/>
          <w:color w:val="000000"/>
          <w:sz w:val="20"/>
          <w:szCs w:val="20"/>
        </w:rPr>
        <w:t xml:space="preserve"> Subjektům, které nesplní povinnosti uvedené v čl. 5 odst. 2 a 3 a v čl. 6 odst. 3 až 5 nařízení č. 1223/2009, bude vyměřen finanční postih ve výši až 50 000 PLN.</w:t>
      </w:r>
    </w:p>
    <w:p w14:paraId="0652E78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29</w:t>
      </w:r>
      <w:r>
        <w:rPr>
          <w:rFonts w:asciiTheme="majorBidi" w:hAnsiTheme="majorBidi"/>
          <w:color w:val="000000"/>
          <w:sz w:val="20"/>
          <w:szCs w:val="20"/>
        </w:rPr>
        <w:t xml:space="preserve"> Subjektům, které nesplní povinnost týkající se lhůt předepsaných pro uchování informační dokumentace k přípravku uvedené v čl. 11 odst. 1 nařízení č. 1223/2009, bude vyměřen finanční postih ve výši až 30 000 PLN.</w:t>
      </w:r>
    </w:p>
    <w:p w14:paraId="35884F5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30</w:t>
      </w:r>
      <w:r>
        <w:rPr>
          <w:rFonts w:asciiTheme="majorBidi" w:hAnsiTheme="majorBidi"/>
          <w:color w:val="000000"/>
          <w:sz w:val="20"/>
          <w:szCs w:val="20"/>
        </w:rPr>
        <w:t xml:space="preserve"> Subjektům, které uvedou na trh kosmetický přípravek, který nesplňuje požadavky na informační dokumentaci k přípravku uvedenou v čl. 11 odst. 2 až 4 nařízení č. 1223/2009, bude vyměřen finanční postih ve výši až 100 000 PLN.</w:t>
      </w:r>
    </w:p>
    <w:p w14:paraId="49590377"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31</w:t>
      </w:r>
      <w:r>
        <w:rPr>
          <w:rFonts w:asciiTheme="majorBidi" w:hAnsiTheme="majorBidi"/>
          <w:color w:val="000000"/>
          <w:sz w:val="20"/>
          <w:szCs w:val="20"/>
        </w:rPr>
        <w:t xml:space="preserve"> Subjektům, které vyrábějí kosmetický přípravek, aniž by přesně a opakovatelně prováděly odběr a analýzu vzorků podle článku 12 nařízení č. 1223/2009, bude vyměřen finanční postih ve výši až 10 000 PLN.</w:t>
      </w:r>
    </w:p>
    <w:p w14:paraId="76E6C8E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32</w:t>
      </w:r>
      <w:r>
        <w:rPr>
          <w:rFonts w:asciiTheme="majorBidi" w:hAnsiTheme="majorBidi"/>
          <w:color w:val="000000"/>
          <w:sz w:val="20"/>
          <w:szCs w:val="20"/>
        </w:rPr>
        <w:t xml:space="preserve"> 1. Subjektům, které uvedou na trh kosmetický přípravek, který nesplňuje požadavky na poskytnutí informací uvedené v čl. 13 odst. 1 až 4 a 7 a čl. 16 odst. 3 nařízení č. 1223/2009, bude vyměřen finanční postih ve výši až 35 000 PLN.</w:t>
      </w:r>
    </w:p>
    <w:p w14:paraId="0EB6AD4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Distributorovi, který dodá na trh kosmetický přípravek, který nesplňuje požadavky na poskytnutí informací uvedené v čl. 13 odst. 3 a 4 nařízení č. 1223/2009, bude vyměřen stejný postih.</w:t>
      </w:r>
    </w:p>
    <w:p w14:paraId="112312D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33</w:t>
      </w:r>
      <w:r>
        <w:rPr>
          <w:rFonts w:asciiTheme="majorBidi" w:hAnsiTheme="majorBidi"/>
          <w:color w:val="000000"/>
          <w:sz w:val="20"/>
          <w:szCs w:val="20"/>
        </w:rPr>
        <w:t xml:space="preserve"> Subjektům, které uvedou na trh kosmetický přípravek v rozporu s omezeními v případě určitých látek podle článků 14, 15 odst. 1 a 2 a článku 17 nařízení č. 1223/2009, bude vyměřen finanční postih ve výši až 100 000 PLN.</w:t>
      </w:r>
    </w:p>
    <w:p w14:paraId="099711A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34</w:t>
      </w:r>
      <w:r>
        <w:rPr>
          <w:rFonts w:asciiTheme="majorBidi" w:hAnsiTheme="majorBidi"/>
          <w:color w:val="000000"/>
          <w:sz w:val="20"/>
          <w:szCs w:val="20"/>
        </w:rPr>
        <w:t xml:space="preserve"> Subjektům, které uvedou na trh kosmetický přípravek, který porušuje zákaz zkoušek na zvířatech podle článku 18 odst. 1 nařízení č. 1223/2009, bude vyměřen finanční postih ve výši až 30 000 PLN.</w:t>
      </w:r>
    </w:p>
    <w:p w14:paraId="038D396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35</w:t>
      </w:r>
      <w:r>
        <w:rPr>
          <w:rFonts w:asciiTheme="majorBidi" w:hAnsiTheme="majorBidi"/>
          <w:color w:val="000000"/>
          <w:sz w:val="20"/>
          <w:szCs w:val="20"/>
        </w:rPr>
        <w:t xml:space="preserve"> Subjektům, které v rozporu se zákazy podle článku 18 odst. 1 nařízení č. 1223/2009, provádí zkoušky na zvířatech, bude vyměřen finanční postih ve výši až 100 000 PLN.</w:t>
      </w:r>
    </w:p>
    <w:p w14:paraId="5BE07A1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36</w:t>
      </w:r>
      <w:r>
        <w:rPr>
          <w:rFonts w:asciiTheme="majorBidi" w:hAnsiTheme="majorBidi"/>
          <w:color w:val="000000"/>
          <w:sz w:val="20"/>
          <w:szCs w:val="20"/>
        </w:rPr>
        <w:t xml:space="preserve"> 1. Subjektům, které uvedou nebo dodají na trh kosmetický přípravek, který nesplňuje požadavky na označení podle článku 19 odst. 1 až 3, 5 a 6 nařízení č. 1223/2009, bude vyměřen finanční postih ve výši až 70 000 PLN.</w:t>
      </w:r>
    </w:p>
    <w:p w14:paraId="4DB985D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Subjektům, které uvedou nebo dodají na trh kosmetický přípravek, který nesplňuje požadavky podle článku 4, bude vyměřen stejný postih.</w:t>
      </w:r>
    </w:p>
    <w:p w14:paraId="6151A5F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37</w:t>
      </w:r>
      <w:r>
        <w:rPr>
          <w:rFonts w:asciiTheme="majorBidi" w:hAnsiTheme="majorBidi"/>
          <w:color w:val="000000"/>
          <w:sz w:val="20"/>
          <w:szCs w:val="20"/>
        </w:rPr>
        <w:t xml:space="preserve"> Subjektům, které dodají na trh kosmetický přípravek, který nesplňuje požadavky na tvrzení o přípravku podle článku 20 odst. 1 nebo 3 nařízení č. 1223/2009, bude vyměřen finanční postih ve výši až 20 000 PLN.</w:t>
      </w:r>
    </w:p>
    <w:p w14:paraId="1458A21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38</w:t>
      </w:r>
      <w:r>
        <w:rPr>
          <w:rFonts w:asciiTheme="majorBidi" w:hAnsiTheme="majorBidi"/>
          <w:color w:val="000000"/>
          <w:sz w:val="20"/>
          <w:szCs w:val="20"/>
        </w:rPr>
        <w:t xml:space="preserve"> Odpovědné osobě, která nezajistí přístup k informacím pro veřejnost podle článku 21 nařízení č. 1223/2009, bude vyměřen finanční postih ve výši až 10 000 PLN.</w:t>
      </w:r>
    </w:p>
    <w:p w14:paraId="274E158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39</w:t>
      </w:r>
      <w:r>
        <w:rPr>
          <w:rFonts w:asciiTheme="majorBidi" w:hAnsiTheme="majorBidi"/>
          <w:color w:val="000000"/>
          <w:sz w:val="20"/>
          <w:szCs w:val="20"/>
        </w:rPr>
        <w:t xml:space="preserve"> Odpovědné osobě nebo distributorovi, kteří nesplní povinnost oznámit závažné nežádoucí účinky podle článku 23 odst. 1 až 3 nařízení č. 1223/2009, bude vyměřen finanční postih ve výši až 100 000 PLN.</w:t>
      </w:r>
    </w:p>
    <w:p w14:paraId="799CD47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40</w:t>
      </w:r>
      <w:r>
        <w:rPr>
          <w:rFonts w:asciiTheme="majorBidi" w:hAnsiTheme="majorBidi"/>
          <w:color w:val="000000"/>
          <w:sz w:val="20"/>
          <w:szCs w:val="20"/>
        </w:rPr>
        <w:t xml:space="preserve"> Odpovědné osobě, která nepředloží informace požadované podle článku 24 nařízení č. 1223/2009, bude vyměřen finanční postih ve výši až 20 000 PLN.</w:t>
      </w:r>
    </w:p>
    <w:p w14:paraId="108F3C0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Článek 41</w:t>
      </w:r>
      <w:r>
        <w:rPr>
          <w:rFonts w:asciiTheme="majorBidi" w:hAnsiTheme="majorBidi"/>
          <w:color w:val="000000"/>
          <w:sz w:val="20"/>
          <w:szCs w:val="20"/>
        </w:rPr>
        <w:t xml:space="preserve"> Subjektům, které uvedou nebo dodají na trh kosmetický přípravek po jeho datu minimální trvanlivosti, bude vyměřen finanční postih ve výši až 50 000 PLN.</w:t>
      </w:r>
    </w:p>
    <w:p w14:paraId="61FDF8D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42</w:t>
      </w:r>
      <w:r>
        <w:rPr>
          <w:rFonts w:asciiTheme="majorBidi" w:hAnsiTheme="majorBidi"/>
          <w:color w:val="000000"/>
          <w:sz w:val="20"/>
          <w:szCs w:val="20"/>
        </w:rPr>
        <w:t xml:space="preserve"> Odpovědné osobě, která nesplní povinnosti podle čl. 25 odst. 3 nařízení č. 1223/2009, bude vyměřen finanční postih ve výši až 20 000 PLN.</w:t>
      </w:r>
    </w:p>
    <w:p w14:paraId="6740EB7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43</w:t>
      </w:r>
      <w:r>
        <w:rPr>
          <w:rFonts w:asciiTheme="majorBidi" w:hAnsiTheme="majorBidi"/>
          <w:color w:val="000000"/>
          <w:sz w:val="20"/>
          <w:szCs w:val="20"/>
        </w:rPr>
        <w:t xml:space="preserve"> 1. Subjektům, které vyrobí kosmetický přípravek, aniž by předložily formulář žádosti podle čl. 6 odst. 2, nebo pokud uplyne lhůta uvedená v čl. 6 odst. 4, bude vyměřen finanční postih ve výši až 50 000 PLN.</w:t>
      </w:r>
    </w:p>
    <w:p w14:paraId="4096CC8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Subjektům, které poruší povinnost podle čl. 6 odst. 7, bude vyměřen stejný postih.</w:t>
      </w:r>
    </w:p>
    <w:p w14:paraId="74319176"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44</w:t>
      </w:r>
      <w:r>
        <w:rPr>
          <w:rFonts w:asciiTheme="majorBidi" w:hAnsiTheme="majorBidi"/>
          <w:color w:val="000000"/>
          <w:sz w:val="20"/>
          <w:szCs w:val="20"/>
        </w:rPr>
        <w:t xml:space="preserve"> Subjektům, které nesplní povinnost podle článku 7 nařízení č. 1223/2009, bude vyměřen finanční postih ve výši až 10 000 PLN.</w:t>
      </w:r>
    </w:p>
    <w:p w14:paraId="2CA6591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45</w:t>
      </w:r>
      <w:r>
        <w:rPr>
          <w:rFonts w:asciiTheme="majorBidi" w:hAnsiTheme="majorBidi"/>
          <w:color w:val="000000"/>
          <w:sz w:val="20"/>
          <w:szCs w:val="20"/>
        </w:rPr>
        <w:t xml:space="preserve"> Odpovědné osobě, která nesplní povinnost podle článku 3, bude vyměřen finanční postih ve výši až 10 000 PLN.</w:t>
      </w:r>
    </w:p>
    <w:p w14:paraId="04B3F576"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Článek 46 </w:t>
      </w:r>
      <w:r>
        <w:rPr>
          <w:rFonts w:asciiTheme="majorBidi" w:hAnsiTheme="majorBidi"/>
          <w:color w:val="000000"/>
          <w:sz w:val="20"/>
          <w:szCs w:val="20"/>
        </w:rPr>
        <w:t>1. Finanční postihy uvedené v:</w:t>
      </w:r>
    </w:p>
    <w:p w14:paraId="06DC7541"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článcích 26, 27, 29 až 35, 38 až 40, 42, 43 a 45 budou uloženy rozhodnutím příslušného krajského státního hygienického inspektora;</w:t>
      </w:r>
    </w:p>
    <w:p w14:paraId="528AF9BB"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článcích 28, 36, 37, 41 a 44 budou uloženy rozhodnutím příslušného krajského státního hygienického inspektora, příp. krajského inspektora obchodní inspekce.</w:t>
      </w:r>
    </w:p>
    <w:p w14:paraId="389B60D6"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Výnosy z postihů stanovených v článcích 26 až 45 představují příjem do státního rozpočtu.</w:t>
      </w:r>
    </w:p>
    <w:p w14:paraId="3BDECCC8" w14:textId="77777777"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Kapitola 6</w:t>
      </w:r>
    </w:p>
    <w:p w14:paraId="6D62E2BB" w14:textId="77777777"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Změny v předpisech</w:t>
      </w:r>
    </w:p>
    <w:p w14:paraId="05A1041E"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Článek 47 </w:t>
      </w:r>
      <w:r>
        <w:rPr>
          <w:rFonts w:asciiTheme="majorBidi" w:hAnsiTheme="majorBidi"/>
          <w:color w:val="000000"/>
          <w:sz w:val="20"/>
          <w:szCs w:val="20"/>
        </w:rPr>
        <w:t>Zákon ze dne 14. března 1985 o státní zdravotní inspekci (Sbírka zákonů z roku 2017, body 1261 a 2111 a z roku 2018, body 138, 650 a 1490) se mění takto:</w:t>
      </w:r>
    </w:p>
    <w:p w14:paraId="0D27A0D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v čl. 1, bodě 6, se výraz „spotřebitelské výrobky“ nahradí výrazem „kosmetické přípravky“;</w:t>
      </w:r>
    </w:p>
    <w:p w14:paraId="4451CC1E"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v čl. 4 odst. 1:</w:t>
      </w:r>
    </w:p>
    <w:p w14:paraId="11107258" w14:textId="77777777"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se bod 4 nahradí takto:</w:t>
      </w:r>
    </w:p>
    <w:p w14:paraId="3EFF4C79" w14:textId="77777777"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podmínky ochrany zdraví při výrobě materiálů a uvádění na trh materiálů a výrobků určených pro styk s potravinami, kosmetických přípravků a jiných přípravků, které mohou mít vliv na lidské zdraví;“,</w:t>
      </w:r>
    </w:p>
    <w:p w14:paraId="632581C4" w14:textId="77777777"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za bod 4 se vkládá následující bod 4a:</w:t>
      </w:r>
    </w:p>
    <w:p w14:paraId="30F024CE" w14:textId="77777777"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„4a)</w:t>
      </w:r>
      <w:r>
        <w:rPr>
          <w:rFonts w:asciiTheme="majorBidi" w:hAnsiTheme="majorBidi"/>
          <w:color w:val="000000"/>
          <w:sz w:val="20"/>
          <w:szCs w:val="20"/>
        </w:rPr>
        <w:tab/>
        <w:t>dohled nad dodržováním ustanovení zákona ze dne 4. října 2018, o kosmetických přípravcích (Sbírka zákonů, bod 2227), a nařízení Evropského parlamentu a Rady (ES) č. 1223/2009 ze dne 30. listopadu 2009, o kosmetických přípravcích (přepracované znění) (Úř. věst. L 342, 22.12.2009, s. 59, ve znění pozdějších předpisů</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szCs w:val="20"/>
          <w:vertAlign w:val="superscript"/>
        </w:rPr>
        <w:t>)</w:t>
      </w:r>
      <w:r>
        <w:rPr>
          <w:rFonts w:asciiTheme="majorBidi" w:hAnsiTheme="majorBidi"/>
          <w:color w:val="000000"/>
          <w:sz w:val="20"/>
          <w:szCs w:val="20"/>
        </w:rPr>
        <w:t>), pokud jde o dodržování povinnosti správného označování uvedené v článku 19 uvedeného nařízení;“;</w:t>
      </w:r>
    </w:p>
    <w:p w14:paraId="07C0BC32"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v článku 27 se ustanovení odstavce 2 nahrazuje takto:</w:t>
      </w:r>
    </w:p>
    <w:p w14:paraId="080076FA" w14:textId="77777777"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 Pokud dojde v důsledku porušení požadavků uvedených v odstavci 1 k přímému ohrožení lidského života nebo zdraví, státní hygienický inspektor nařídí uzavření závodu nebo jeho části (pracoviště, stroje nebo jiného zařízení), uzavření veřejného zařízení, vyřazení dopravních prostředků z provozu, stažení z trhu potraviny, materiálu nebo výrobku určeného pro styk s potravinami, kosmetických přípravků nebo jiného přípravku, který by mohl mít vliv na lidské zdraví, nebo podnikne jiné kroky nebo ukončí jiné činnosti; jeho rozhodnutí má okamžitý účinek.“;</w:t>
      </w:r>
    </w:p>
    <w:p w14:paraId="14E0F9C3"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Článek 29 se nahrazuje takto:</w:t>
      </w:r>
    </w:p>
    <w:p w14:paraId="15DA7660" w14:textId="77777777"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„článek 29. V případech uvedených v článcích 27-28 mají státní hygieničtí inspektoři právo zajistit prostory, dopravní prostředky, stroje nebo jiná zařízení, potraviny, materiály a výrobky určené pro styk s potravinami, kosmetické přípravky, čistící přípravky, chemické látky a směsi a výrobky ve smyslu zákona ze dne 25. února 2011 o chemických látkách a jejich směsích, a jiné produkty, které mohou mít vliv na lidské zdraví. Pro postup v případě </w:t>
      </w:r>
      <w:r>
        <w:rPr>
          <w:rFonts w:asciiTheme="majorBidi" w:hAnsiTheme="majorBidi"/>
          <w:color w:val="000000"/>
          <w:sz w:val="20"/>
          <w:szCs w:val="20"/>
        </w:rPr>
        <w:lastRenderedPageBreak/>
        <w:t>tohoto zajištění platí ustanovení zákona ze dne 17. června 1966 o exekučním řízení ve správní oblasti (Sbírka zákonů z roku 2018, body 1314, 1356, 1499, 1629, 2192 a 2193), pokud zvláštní právní předpisy nestanoví jinak.“;</w:t>
      </w:r>
    </w:p>
    <w:p w14:paraId="78FBEDC1"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v čl. 36 odst. 3 se výraz „kosmetika“ nahradí výrazem „kosmetické přípravky“.</w:t>
      </w:r>
    </w:p>
    <w:p w14:paraId="73DCFDB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48</w:t>
      </w:r>
      <w:r>
        <w:rPr>
          <w:rFonts w:asciiTheme="majorBidi" w:hAnsiTheme="majorBidi"/>
          <w:color w:val="000000"/>
          <w:sz w:val="20"/>
          <w:szCs w:val="20"/>
        </w:rPr>
        <w:t xml:space="preserve"> V zákoně ze dne 9. listopadu 1995 o ochraně zdraví vůči důsledkům konzumace tabáku a tabákových výrobků (Sbírka zákonů z roku 2018, bod 1446) se v čl. 8 odst. 4 bodě 4 výraz „kosmetika“ nahradí výrazem „kosmetický přípravek“.</w:t>
      </w:r>
    </w:p>
    <w:p w14:paraId="7FFF734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49</w:t>
      </w:r>
      <w:r>
        <w:rPr>
          <w:rFonts w:asciiTheme="majorBidi" w:hAnsiTheme="majorBidi"/>
          <w:color w:val="000000"/>
          <w:sz w:val="20"/>
          <w:szCs w:val="20"/>
        </w:rPr>
        <w:t xml:space="preserve"> V zákoně ze dne 4. září 1997 o úsecích útvarů státní správy (Sbírka zákonů z roku 2018, bod 762 v platném znění</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szCs w:val="20"/>
          <w:vertAlign w:val="superscript"/>
        </w:rPr>
        <w:t>)</w:t>
      </w:r>
      <w:r>
        <w:rPr>
          <w:rFonts w:asciiTheme="majorBidi" w:hAnsiTheme="majorBidi"/>
          <w:color w:val="000000"/>
          <w:sz w:val="20"/>
          <w:szCs w:val="20"/>
        </w:rPr>
        <w:t>) se v čl. 33 odst. 1 bodě 2 výraz „kosmetika“ nahradí výrazem „kosmetické přípravky“.</w:t>
      </w:r>
    </w:p>
    <w:p w14:paraId="05F77F56"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50</w:t>
      </w:r>
      <w:r>
        <w:rPr>
          <w:rFonts w:asciiTheme="majorBidi" w:hAnsiTheme="majorBidi"/>
          <w:color w:val="000000"/>
          <w:sz w:val="20"/>
          <w:szCs w:val="20"/>
        </w:rPr>
        <w:t xml:space="preserve"> V zákoně ze dne 10. září 1999 - finanční trestní zákoník (Sbírka zákonů z roku 2018, body 1958, 2192 a 2193) se v článku 31, § 5, výraz „kosmetika“ nahradí výrazem „kosmetické přípravky“.</w:t>
      </w:r>
    </w:p>
    <w:p w14:paraId="02DCAD6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 xml:space="preserve">Článek 51 </w:t>
      </w:r>
      <w:r>
        <w:rPr>
          <w:rFonts w:asciiTheme="majorBidi" w:hAnsiTheme="majorBidi"/>
          <w:color w:val="000000"/>
          <w:sz w:val="20"/>
          <w:szCs w:val="20"/>
        </w:rPr>
        <w:t>V zákoně ze dne 29. listopadu 2000 - jaderný zákon (Sbírka zákonů z roku 2018, body 792 a 1669) se v čl. 4 odst. 2 výraz „kosmetika“ nahradí výrazem „kosmetické přípravky“.</w:t>
      </w:r>
    </w:p>
    <w:p w14:paraId="66F62EB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52</w:t>
      </w:r>
      <w:r>
        <w:rPr>
          <w:rFonts w:asciiTheme="majorBidi" w:hAnsiTheme="majorBidi"/>
          <w:color w:val="000000"/>
          <w:sz w:val="20"/>
          <w:szCs w:val="20"/>
        </w:rPr>
        <w:t xml:space="preserve"> V zákoně o obchodní inspekci ze dne 15. prosince 2000 (Sbírka zákonů z roku 2018, bod 1930) se v čl. 3 odst. 1 za bod 2h vkládá následující bod 2i:</w:t>
      </w:r>
    </w:p>
    <w:p w14:paraId="0D6B6048" w14:textId="77777777"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„2i)</w:t>
      </w:r>
      <w:r>
        <w:rPr>
          <w:rFonts w:asciiTheme="majorBidi" w:hAnsiTheme="majorBidi"/>
          <w:color w:val="000000"/>
          <w:sz w:val="20"/>
          <w:szCs w:val="20"/>
        </w:rPr>
        <w:tab/>
        <w:t>kontrola toho, jak distributoři dodržují ustanovení o kosmetických přípravcích;“.</w:t>
      </w:r>
    </w:p>
    <w:p w14:paraId="6B5951F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53</w:t>
      </w:r>
      <w:r>
        <w:rPr>
          <w:rFonts w:asciiTheme="majorBidi" w:hAnsiTheme="majorBidi"/>
          <w:color w:val="000000"/>
          <w:sz w:val="20"/>
          <w:szCs w:val="20"/>
        </w:rPr>
        <w:t xml:space="preserve"> V zákoně ze dne 22. června 2001 o mikroorganizmech a geneticky modifikovaných organizmech (Sbírka zákonů z roku 2017, bod 2134 a z roku 2018, body 810 a 1669) se v čl. 15s odst. 4 písm. h) výraz „kosmetika“ nahradí výrazem „kosmetické přípravky“.</w:t>
      </w:r>
    </w:p>
    <w:p w14:paraId="5CA975B2"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54</w:t>
      </w:r>
      <w:r>
        <w:rPr>
          <w:rFonts w:asciiTheme="majorBidi" w:hAnsiTheme="majorBidi"/>
          <w:color w:val="000000"/>
          <w:sz w:val="20"/>
          <w:szCs w:val="20"/>
        </w:rPr>
        <w:t xml:space="preserve"> Zákon o léčivých přípravcích ze dne 6. září 2001 (Sbírka zákonů z roku 2017, bod 2211, v platném znění</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szCs w:val="20"/>
          <w:vertAlign w:val="superscript"/>
        </w:rPr>
        <w:t>)</w:t>
      </w:r>
      <w:r>
        <w:rPr>
          <w:rFonts w:asciiTheme="majorBidi" w:hAnsiTheme="majorBidi"/>
          <w:color w:val="000000"/>
          <w:sz w:val="20"/>
          <w:szCs w:val="20"/>
        </w:rPr>
        <w:t>) se mění takto:</w:t>
      </w:r>
    </w:p>
    <w:p w14:paraId="6C152446"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v čl. 3a se výraz „kosmetika“ nahradí výrazem „kosmetický přípravek“.</w:t>
      </w:r>
    </w:p>
    <w:p w14:paraId="021D7FE1"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v čl. 55 odst. 2 bodě 1 písm. d) se výraz „kosmetika“ nahradí výrazem „kosmetické přípravky“.</w:t>
      </w:r>
    </w:p>
    <w:p w14:paraId="40BF8453"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Ustanovení čl. 72 odst. 5 bod 3 se nahrazuje takto:</w:t>
      </w:r>
    </w:p>
    <w:p w14:paraId="0E4436BB" w14:textId="77777777"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kosmetické přípravky ve smyslu čl. 2 odst. 1 písm. a) nařízení Evropského parlamentu a Rady (ES) č. 1223/2009 ze dne 30. listopadu 2009 o kosmetických přípravcích (přepracované znění) (Úř. věst. L 342, 22.12.2009, s. 59, v platném znění</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szCs w:val="20"/>
          <w:vertAlign w:val="superscript"/>
        </w:rPr>
        <w:t>)</w:t>
      </w:r>
      <w:r>
        <w:rPr>
          <w:rFonts w:asciiTheme="majorBidi" w:hAnsiTheme="majorBidi"/>
          <w:color w:val="000000"/>
          <w:sz w:val="20"/>
          <w:szCs w:val="20"/>
        </w:rPr>
        <w:t>), s výjimkou kosmetických přípravků určených k parfémování nebo zkrášlování,“.</w:t>
      </w:r>
    </w:p>
    <w:p w14:paraId="69F44E7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55</w:t>
      </w:r>
      <w:r>
        <w:rPr>
          <w:rFonts w:asciiTheme="majorBidi" w:hAnsiTheme="majorBidi"/>
          <w:color w:val="000000"/>
          <w:sz w:val="20"/>
          <w:szCs w:val="20"/>
        </w:rPr>
        <w:t xml:space="preserve"> V zákoně ze dne 19. března 2004, celní zákon (Sbírka zákonů z roku 2018, body 167, 1544, 1669 a 1697) se v čl. 31 odst. 5 výraz „kosmetika“ nahradí výrazem „kosmetické přípravky“.</w:t>
      </w:r>
    </w:p>
    <w:p w14:paraId="5C74183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56</w:t>
      </w:r>
      <w:r>
        <w:rPr>
          <w:rFonts w:asciiTheme="majorBidi" w:hAnsiTheme="majorBidi"/>
          <w:color w:val="000000"/>
          <w:sz w:val="20"/>
          <w:szCs w:val="20"/>
        </w:rPr>
        <w:t xml:space="preserve"> V zákoně ze dne 25. srpna 2006 o bezpečnosti potravin a výživy (Sbírka zákonů z roku 2018, body 1541, 1669 a 2136) se v čl. 30 odst. 1 bodě 2 nahradí výraz „kosmetika ve smyslu ustanovení o kosmetice“ výrazem „kosmetický přípravek ve smyslu ustanovení o kosmetických přípravcích“.</w:t>
      </w:r>
    </w:p>
    <w:p w14:paraId="6CD17A5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Článek 57</w:t>
      </w:r>
      <w:r>
        <w:rPr>
          <w:rFonts w:asciiTheme="majorBidi" w:hAnsiTheme="majorBidi"/>
          <w:color w:val="000000"/>
          <w:sz w:val="20"/>
          <w:szCs w:val="20"/>
        </w:rPr>
        <w:t xml:space="preserve"> V zákoně ze dne 6. prosince 2008 o spotřební dani (Sbírka zákonů z roku 2018, body 1114, 1039, 1356, 1629 a 1697) se v čl. 7c odst. 2 bodě 1 výraz „kosmetika“ nahradí výrazem „kosmetické přípravky“.</w:t>
      </w:r>
    </w:p>
    <w:p w14:paraId="54D6CD95"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bookmarkStart w:id="0" w:name="_GoBack"/>
      <w:bookmarkEnd w:id="0"/>
      <w:r>
        <w:rPr>
          <w:rFonts w:asciiTheme="majorBidi" w:hAnsiTheme="majorBidi"/>
          <w:b/>
          <w:color w:val="000000"/>
          <w:sz w:val="20"/>
          <w:szCs w:val="20"/>
        </w:rPr>
        <w:t xml:space="preserve">Článek 58 </w:t>
      </w:r>
      <w:r>
        <w:rPr>
          <w:rFonts w:asciiTheme="majorBidi" w:hAnsiTheme="majorBidi"/>
          <w:color w:val="000000"/>
          <w:sz w:val="20"/>
          <w:szCs w:val="20"/>
        </w:rPr>
        <w:t>Zákon ze dne 25. února 2011 o chemických látkách a jejich směsích (Sbírka zákonů z roku 2018, body 143 a 1637) se mění takto:</w:t>
      </w:r>
    </w:p>
    <w:p w14:paraId="4F99C337"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v čl. 1 odst. 4 bodě 3 písm. e) se výraz „kosmetika ve smyslu ustanovení o kosmetice“ nahradí výrazem „kosmetické přípravky ve smyslu ustanovení o kosmetických přípravcích“;</w:t>
      </w:r>
    </w:p>
    <w:p w14:paraId="58E2F902"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v čl. 22 odst. 1 bodě 5 písm. b) se výraz „kosmetika“ nahradí výrazem „kosmetické přípravky“.</w:t>
      </w:r>
    </w:p>
    <w:p w14:paraId="1677AE60"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Kapitola 7</w:t>
      </w:r>
    </w:p>
    <w:p w14:paraId="08695AE4"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Upravující, přechodná a závěrečná ustanovení</w:t>
      </w:r>
    </w:p>
    <w:p w14:paraId="4CD09147"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Článek 59 </w:t>
      </w:r>
      <w:r>
        <w:rPr>
          <w:rFonts w:asciiTheme="majorBidi" w:hAnsiTheme="majorBidi"/>
          <w:color w:val="000000"/>
          <w:sz w:val="20"/>
          <w:szCs w:val="20"/>
        </w:rPr>
        <w:t>Odpovědná osoba musí do 9 měsíců od vstupu tohoto zákona v platnost upravit informační dokumentaci ke kosmetickému přípravku uvedenou v čl. 11 odst. 2 nařízení č. 1223/2009 vzhledem k požadavkům stanoveným v článku 3.</w:t>
      </w:r>
    </w:p>
    <w:p w14:paraId="78623053"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Článek 60 </w:t>
      </w:r>
      <w:r>
        <w:rPr>
          <w:rFonts w:asciiTheme="majorBidi" w:hAnsiTheme="majorBidi"/>
          <w:color w:val="000000"/>
          <w:sz w:val="20"/>
          <w:szCs w:val="20"/>
        </w:rPr>
        <w:t>Vrchní hygienický inspektorát ve spolupráci s předsedou Úřadu pro hospodářskou soutěž a ochranu spotřebitelů vypracuje první zprávu podle článku 20 odst. 1 a předloží ji Evropské komisi a členským státům Evropské unie nebo státům ESVO, které jsou stranami Dohody o EHP, a do dvou let od data vstupu tohoto zákona v platnost jí zpřístupní ve Veřejném informačním věstníku na internetových stránkách vrchního hygienického inspektorátu.</w:t>
      </w:r>
    </w:p>
    <w:p w14:paraId="69E4D0B1"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Článek 61 </w:t>
      </w:r>
      <w:r>
        <w:rPr>
          <w:rFonts w:asciiTheme="majorBidi" w:hAnsiTheme="majorBidi"/>
          <w:color w:val="000000"/>
          <w:sz w:val="20"/>
          <w:szCs w:val="20"/>
        </w:rPr>
        <w:t>Výrobci, kteří k datu vstupu tohoto zákona v platnost provádějí činnost související s výrobou kosmetických přípravků, jsou povinni do 9 měsíců ode dne vstupu tohoto zákona v platnost požádat o zápis svého závodu do seznamu závodů vyrábějících kosmetické přípravky.</w:t>
      </w:r>
    </w:p>
    <w:p w14:paraId="0A270FEA"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Článek 62 </w:t>
      </w:r>
      <w:r>
        <w:rPr>
          <w:rFonts w:asciiTheme="majorBidi" w:hAnsiTheme="majorBidi"/>
          <w:color w:val="000000"/>
          <w:sz w:val="20"/>
          <w:szCs w:val="20"/>
        </w:rPr>
        <w:t>1. Národní informační systém pro kosmetiku uváděnou na trh, který je veden podle článku 8 zákona zrušeného v článku 64, bude zrušen.</w:t>
      </w:r>
    </w:p>
    <w:p w14:paraId="179A2FE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Údaje shromážděné v národním informačním systému pro kosmetiku uváděnou na trh vedeném podle článku 8 zákona zrušeného v článku 64, které byly shromážděny před vstupem tohoto zákona v platnost, se uchovávají do 11. července 2020; v systému se neshromažďují žádné nové údaje.</w:t>
      </w:r>
    </w:p>
    <w:p w14:paraId="112D0EC9"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Článek 63 </w:t>
      </w:r>
      <w:r>
        <w:rPr>
          <w:rFonts w:asciiTheme="majorBidi" w:hAnsiTheme="majorBidi"/>
          <w:color w:val="000000"/>
          <w:sz w:val="20"/>
          <w:szCs w:val="20"/>
        </w:rPr>
        <w:t>Doposud platná prováděcí pravidla podle čl. 13 odst. 3 zákona zrušeného v článku 64 zůstávají v platnosti až do dne vstupu v platnost prováděcích pravidel podle čl. 25 odst. 3, avšak nejdéle po dobu 12 měsíců ode dne vstupu tohoto zákona v platnost.</w:t>
      </w:r>
    </w:p>
    <w:p w14:paraId="089CE248"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Článek 64 </w:t>
      </w:r>
      <w:r>
        <w:rPr>
          <w:rFonts w:asciiTheme="majorBidi" w:hAnsiTheme="majorBidi"/>
          <w:color w:val="000000"/>
          <w:sz w:val="20"/>
          <w:szCs w:val="20"/>
        </w:rPr>
        <w:t>Zákon ze dne 30. března 2001, o kosmetice (Sbírka zákonů z roku 2013, bod 475 a z roku 2018, body 650 a 1669) se ruší:</w:t>
      </w:r>
    </w:p>
    <w:p w14:paraId="05A18C8C" w14:textId="3B10DB0C"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szCs w:val="20"/>
        </w:rPr>
        <w:t xml:space="preserve">Článek 65 </w:t>
      </w:r>
      <w:r>
        <w:rPr>
          <w:rFonts w:asciiTheme="majorBidi" w:hAnsiTheme="majorBidi"/>
          <w:color w:val="000000"/>
          <w:sz w:val="20"/>
          <w:szCs w:val="20"/>
        </w:rPr>
        <w:t>Tento zákon vstoupí v platnost dne 1. ledna 2019, s výjimkou ustanovení čl. 62 odst. 1, který vstoupí v platnost dne 12. července 2020.</w:t>
      </w:r>
    </w:p>
    <w:p w14:paraId="219986AA" w14:textId="77777777" w:rsidR="00346C9E" w:rsidRPr="007C334C"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eastAsia="zh-CN"/>
        </w:rPr>
      </w:pPr>
    </w:p>
    <w:p w14:paraId="19CFFD41" w14:textId="77777777"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szCs w:val="20"/>
        </w:rPr>
        <w:t xml:space="preserve">Prezident Polské republiky: </w:t>
      </w:r>
      <w:r>
        <w:rPr>
          <w:rFonts w:asciiTheme="majorBidi" w:hAnsiTheme="majorBidi"/>
          <w:i/>
          <w:color w:val="000000"/>
          <w:sz w:val="20"/>
          <w:szCs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40206" w14:textId="77777777" w:rsidR="008C64E5" w:rsidRDefault="008C64E5" w:rsidP="008578F9">
      <w:r>
        <w:separator/>
      </w:r>
    </w:p>
  </w:endnote>
  <w:endnote w:type="continuationSeparator" w:id="0">
    <w:p w14:paraId="7E84F32C" w14:textId="77777777" w:rsidR="008C64E5" w:rsidRDefault="008C64E5"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5DDC3" w14:textId="77777777" w:rsidR="008C64E5" w:rsidRDefault="008C64E5" w:rsidP="008578F9">
      <w:r>
        <w:separator/>
      </w:r>
    </w:p>
  </w:footnote>
  <w:footnote w:type="continuationSeparator" w:id="0">
    <w:p w14:paraId="576E355D" w14:textId="77777777" w:rsidR="008C64E5" w:rsidRDefault="008C64E5" w:rsidP="008578F9">
      <w:r>
        <w:continuationSeparator/>
      </w:r>
    </w:p>
  </w:footnote>
  <w:footnote w:id="1">
    <w:p w14:paraId="4A0E09C4" w14:textId="77777777" w:rsidR="00247C0C" w:rsidRPr="00C42B42" w:rsidRDefault="00247C0C" w:rsidP="007C334C">
      <w:pPr>
        <w:pStyle w:val="FootnoteText"/>
        <w:ind w:left="308" w:hanging="280"/>
        <w:jc w:val="both"/>
        <w:rPr>
          <w:rFonts w:eastAsiaTheme="minorEastAsia"/>
          <w:sz w:val="16"/>
          <w:szCs w:val="16"/>
        </w:rPr>
      </w:pPr>
      <w:r>
        <w:rPr>
          <w:rStyle w:val="FootnoteReference"/>
          <w:sz w:val="16"/>
          <w:szCs w:val="16"/>
        </w:rPr>
        <w:footnoteRef/>
      </w:r>
      <w:r>
        <w:rPr>
          <w:sz w:val="16"/>
          <w:szCs w:val="16"/>
        </w:rPr>
        <w:t>)</w:t>
      </w:r>
      <w:r>
        <w:rPr>
          <w:rFonts w:asciiTheme="majorBidi" w:hAnsiTheme="majorBidi"/>
          <w:color w:val="000000"/>
        </w:rPr>
        <w:tab/>
        <w:t>Tento zákon byl oznámen Evropské komisi dne 30.4.2018 pod číslem 2018/0186/PL v souladu s § 4 nařízení Rady ministrů ze dne 23. prosince 2002 o způsobu fungování vnitrostátního systému oznamování norem a právních aktů (Sbírka zákonů [Dziennik Ustaw], bod 2039 a z roku 2004, bod 597), kterým se provádí ustanovení směrnice Evropského parlamentu a Rady (EU) 2015/1535 ze dne 9. září 2015, kterou se stanoví postup při poskytování informací v oblasti technických předpisů a pravidel pro služby informační společnosti (kodifikace) (Úř. věst. L 241, 17.9.2015, s. 1).</w:t>
      </w:r>
    </w:p>
  </w:footnote>
  <w:footnote w:id="2">
    <w:p w14:paraId="179992F3" w14:textId="582756F3" w:rsidR="00247C0C" w:rsidRPr="00C42B42" w:rsidRDefault="00247C0C" w:rsidP="007C334C">
      <w:pPr>
        <w:pStyle w:val="FootnoteText"/>
        <w:ind w:left="308" w:hanging="280"/>
        <w:jc w:val="both"/>
        <w:rPr>
          <w:rFonts w:eastAsiaTheme="minorEastAsia"/>
          <w:sz w:val="16"/>
          <w:szCs w:val="16"/>
        </w:rPr>
      </w:pPr>
      <w:r>
        <w:rPr>
          <w:rStyle w:val="FootnoteReference"/>
          <w:sz w:val="16"/>
          <w:szCs w:val="16"/>
        </w:rPr>
        <w:footnoteRef/>
      </w:r>
      <w:r>
        <w:rPr>
          <w:vertAlign w:val="superscript"/>
        </w:rPr>
        <w:t>)</w:t>
      </w:r>
      <w:r>
        <w:rPr>
          <w:rFonts w:asciiTheme="majorBidi" w:hAnsiTheme="majorBidi"/>
          <w:color w:val="000000"/>
        </w:rPr>
        <w:tab/>
        <w:t>Účelem tohoto zákona je uplatnění nařízení Evropského parlamentu a Rady (ES) č. 1223/2009 ze dne 30. listopadu 2009 o kosmetických přípravcích (přepracování) (Úř. věst. L 342, 22.12.2009, s. 59, Úř. věst. L 114, 25.4.2013, s. 1, Úř. věst. L 139, 25.5.2013, s. 8, Úř. věst. L 190, 11.7.2013, s. 38, Úř. věst. L 315, 26.11.2013, s. 34, Úř. věst. L 107, 10.4.2014, s. 5, Úř. věst. L 238, 9.8.2014, s. 3, Úř. věst. L 254, 28.8.2014, s. 39, Úř. věst. L 282, 26.9.2014, s. 1, Úř. věst. L 282, 26.9.2014, s. 5, Úř. věst. L 193, 21.7.2015, s. 115, Úř. věst. L 199, 29.7.2015, s. 22, Úř. věst. L 60, 5.3.2016, s. 59, Úř. věst. L 106, 22.4.2016, s. 4, Úř. věst. L 106, 22.4.2016, s. 7, Úř. věst. L 187, 12.7.2016, s. 1, Úř. věst. L 187, 12.7.2016, s. 4, Úř. věst. L 189, 14.7.2016, s. 40, Úř. věst. L 198, 23.7.2016, s. 10, Úř. věst. L 17, 21.1.2017, s. 52, Úř. věst. L 36, 11.2.2017, s. 12, Úř. věst. L 36, 11.2.2017, s. 37, Úř. věst. L 117, 5.5.2017, s. 1, Úř. věst. L 174, 7.7.2017, s. 16, Úř. věst. L 202, 3.8.2017, s. 1, Úř. věst. L 203, 4.8.2017, s. 1, Úř. věst. L 319, 5.12.2017, s. 2</w:t>
      </w:r>
      <w:r w:rsidR="00505C9F">
        <w:rPr>
          <w:rFonts w:asciiTheme="majorBidi" w:hAnsiTheme="majorBidi"/>
          <w:color w:val="000000"/>
        </w:rPr>
        <w:t>,</w:t>
      </w:r>
      <w:r>
        <w:rPr>
          <w:rFonts w:asciiTheme="majorBidi" w:hAnsiTheme="majorBidi"/>
          <w:color w:val="000000"/>
        </w:rPr>
        <w:t xml:space="preserve"> Úř. věst. L 326, 9.12.2017, s. 55, Úř. věst. L 158, 21.6.2018, s. 1, Úř. věst. L 158, 21.6.2018, s. 1 a Úř. věst. L 176, 12.7.2018, s. 3).</w:t>
      </w:r>
    </w:p>
  </w:footnote>
  <w:footnote w:id="3">
    <w:p w14:paraId="79A73995" w14:textId="77777777" w:rsidR="00247C0C" w:rsidRPr="00C42B42" w:rsidRDefault="00247C0C" w:rsidP="007C334C">
      <w:pPr>
        <w:pStyle w:val="FootnoteText"/>
        <w:ind w:left="308" w:hanging="280"/>
        <w:jc w:val="both"/>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szCs w:val="16"/>
          <w:vertAlign w:val="superscript"/>
        </w:rPr>
        <w:t>)</w:t>
      </w:r>
      <w:r>
        <w:rPr>
          <w:rFonts w:asciiTheme="majorBidi" w:hAnsiTheme="majorBidi"/>
          <w:color w:val="000000"/>
          <w:sz w:val="16"/>
          <w:szCs w:val="16"/>
        </w:rPr>
        <w:tab/>
        <w:t>Tento zákon:</w:t>
      </w:r>
    </w:p>
    <w:p w14:paraId="1F590A02" w14:textId="77777777" w:rsidR="00247C0C" w:rsidRPr="00C42B42" w:rsidRDefault="00247C0C" w:rsidP="007C334C">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szCs w:val="16"/>
        </w:rPr>
        <w:t>1)</w:t>
      </w:r>
      <w:r>
        <w:rPr>
          <w:rFonts w:asciiTheme="majorBidi" w:hAnsiTheme="majorBidi"/>
          <w:color w:val="000000"/>
          <w:sz w:val="16"/>
          <w:szCs w:val="16"/>
        </w:rPr>
        <w:tab/>
        <w:t>mění následující zákony: zákon ze dne 14. března 1985 o státní zdravotní inspekci; zákon ze dne 9. listopadu 1995 o ochraně zdraví před důsledky spotřeby tabáku a tabákových výrobků; zákon ze dne 4. září 1997 o úsecích orgánů státní správy; zákon ze dne 10. září 1999 - Fiskální trestní zákoník; zákon ze dne 29. listopadu 2000 - jaderný zákon; zákon ze dne 15. prosince 2000 o obchodní inspekci; zákon ze dne 22. června 2001 o mikroorganizmech a geneticky modifikovaných organizmech; zákon ze dne 6. září 2001 - zákon o léčivých přípravcích; zákon ze dne 19. března 2004 - celní zákon; zákon ze dne 25. srpna 2006 o bezpečnosti potravin a výživy; zákon ze dne 6. prosince 2008 o spotřební dani a zákon ze dne 25. února 2011 o chemických látkách a jejich směsích;</w:t>
      </w:r>
    </w:p>
    <w:p w14:paraId="35E1B263" w14:textId="77777777" w:rsidR="00247C0C" w:rsidRPr="00C42B42" w:rsidRDefault="00247C0C" w:rsidP="007C334C">
      <w:pPr>
        <w:ind w:left="576" w:right="216" w:hanging="288"/>
        <w:jc w:val="both"/>
        <w:textAlignment w:val="baseline"/>
        <w:rPr>
          <w:rFonts w:eastAsiaTheme="minorEastAsia"/>
          <w:sz w:val="16"/>
          <w:szCs w:val="16"/>
        </w:rPr>
      </w:pPr>
      <w:r>
        <w:rPr>
          <w:rFonts w:asciiTheme="majorBidi" w:hAnsiTheme="majorBidi"/>
          <w:color w:val="000000"/>
          <w:sz w:val="16"/>
          <w:szCs w:val="16"/>
        </w:rPr>
        <w:t>2)</w:t>
      </w:r>
      <w:r>
        <w:rPr>
          <w:rFonts w:asciiTheme="majorBidi" w:hAnsiTheme="majorBidi"/>
          <w:color w:val="000000"/>
          <w:sz w:val="16"/>
          <w:szCs w:val="16"/>
        </w:rPr>
        <w:tab/>
        <w:t>ruší zákon ze dne 30. března 2001 o kosmetice.</w:t>
      </w:r>
    </w:p>
  </w:footnote>
  <w:footnote w:id="4">
    <w:p w14:paraId="2E855AA1" w14:textId="77777777" w:rsidR="00247C0C" w:rsidRPr="00C42B42" w:rsidRDefault="00247C0C" w:rsidP="007C334C">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Změny tohoto nařízení byly oznámeny v Úř. věst. L 114, 25.4.2013, s. 1, Úř. věst. L 139, 25.5.2013, s. 8, Úř. věst. L 190, 11.7.2013, s. 38, Úř. věst. L 315, 26.11.2013, s. 34, Úř. věst. L 107, 10.4.2014, s. 5, Úř. věst. L 238, 9.8.2014, s. 3, Úř. věst. L 254, 28.8.2014, s. 39, Úř. věst. L 282, 26.9.2014, s. 1, Úř. věst. L 282, 26.9.2014, s. 5, Úř. věst. L 193, 21.7.2015, s. 115, Úř. věst. L 199, 29.7.2015, s. 22, Úř. věst. L 60, 5.3.2016, s. 59, Úř. věst. L 106, 22.4.2016, s. 4, Úř. věst. L 106, 22.4.2016, s. 7, Úř. věst. L 187. 12.7.2016, s. 1, Úř. věst. L 187, 12.7.2016, s. 4, Úř. věst. L 189, 14.7.2016, s. 40, Úř. věst. L 198, 23.7.2016, s. 10, Úř. věst. L 17, 21.1.2017, s. 52, Úř. věst. L 36, 11.2.2017, s. 12, Úř. věst. L 36, 11.2.2017, s. 37, Úř. věst. L 117, 5.5.2017, s. 1, Úř. věst. L 174, 7.7.2017, s. 16, Úř. věst. L 202, 3.8.2017, s. 1, Úř. věst. L 203, 4.8.2017, s. 1, Úř. věst. L 319, 5.12.2017, Úř. věst. 326, 9.12.2017, s. 55, Úř. věst. L 158, 21.6.2018, s. 1 a Úř. věst. L 176, 12.7.2018, s. 3.</w:t>
      </w:r>
    </w:p>
  </w:footnote>
  <w:footnote w:id="5">
    <w:p w14:paraId="4CF2A416" w14:textId="77777777" w:rsidR="00346C9E" w:rsidRPr="00C42B42" w:rsidRDefault="00346C9E" w:rsidP="007C334C">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Změny tohoto nařízení byly oznámeny v Úř. věst. L 114, 25.4.2013, s. 1, Úř. věst. L 139, 25.5.2013, s. 8, Úř. věst. L 190, 11.7.2013, s. 38, Úř. věst. L 315, 26.11.2013, s. 34, Úř. věst. L 107, 10.4.2014, s. 5, Úř. věst. L 238, 9.8.2014, s. 3, Úř. věst. L 254, 28.8.2014, s. 39, Úř. věst. L 282, 26.9.2014, s. 1, Úř. věst. L 282, 26.9.2014, s. 5, Úř. věst. L 193, 21.7.2015, s. 115, Úř. věst. L 199, 29.7.2015, s. 22, Úř. věst. L 60, 5.3.2016, s. 59, Úř. věst. L 106, 22.4.2016, s. 4, Úř. věst. L 106, 22.4.2016, s. 7, Úř. věst. L 187. 12.7.2016, s. 1, Úř. věst. L 187, 12.7.2016, s. 4, Úř. věst. L 189, 14.7.2016, s. 40, Úř. věst. L 198, 23.7.2016, s. 10, Úř. věst. L 17, 21.1.2017, s. 52, Úř. věst. L 36, 11.2.2017, s. 12, Úř. věst. L 36, 11.2.2017, s. 37, Úř. věst. L 117, 5.5.2017, s. 1, Úř. věst. L 174, 7.7.2017, s. 16, Úř. věst. L 202, 3.8.2017, s. 1, Úř. věst. L 203, 4.8.2017, s. 1, Úř. věst. L 319, 5.12.2017, Úř. věst. 326, 9.12.2017, s. 55, Úř. věst. L 158, 21.6.2018, s. 1 a Úř. věst. L 176, 12.7.2018, s. 3.</w:t>
      </w:r>
    </w:p>
  </w:footnote>
  <w:footnote w:id="6">
    <w:p w14:paraId="138DB26B" w14:textId="77777777" w:rsidR="00346C9E" w:rsidRPr="00C42B42" w:rsidRDefault="00346C9E" w:rsidP="007C334C">
      <w:pPr>
        <w:pStyle w:val="FootnoteText"/>
        <w:ind w:left="308" w:hanging="280"/>
        <w:jc w:val="both"/>
        <w:rPr>
          <w:rFonts w:eastAsiaTheme="minorEastAsia"/>
          <w:sz w:val="16"/>
          <w:szCs w:val="16"/>
        </w:rPr>
      </w:pPr>
      <w:r>
        <w:rPr>
          <w:rStyle w:val="FootnoteReference"/>
          <w:sz w:val="16"/>
          <w:szCs w:val="16"/>
        </w:rPr>
        <w:footnoteRef/>
      </w:r>
      <w:r>
        <w:rPr>
          <w:vertAlign w:val="superscript"/>
        </w:rPr>
        <w:t>)</w:t>
      </w:r>
      <w:r>
        <w:tab/>
        <w:t>Změny konsolidovaného znění uvedeného zákona byly oznámeny ve Sbírce zákonů z roku 2018, body 810, 1090, 1467, 1544, 1560, 1669 a 1693.</w:t>
      </w:r>
    </w:p>
  </w:footnote>
  <w:footnote w:id="7">
    <w:p w14:paraId="3E025EDB" w14:textId="612645C1" w:rsidR="00346C9E" w:rsidRPr="00C42B42" w:rsidRDefault="00346C9E" w:rsidP="007C334C">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t>Změny konsolidovaného znění uvedeného zákona byly oznámeny ve Sbírce zákonů z roku 2018, body 650, 697, 1039, 1375, 1515, 1544, 1629, 1637 a 1669.</w:t>
      </w:r>
    </w:p>
  </w:footnote>
  <w:footnote w:id="8">
    <w:p w14:paraId="7BFDC2EF" w14:textId="77777777" w:rsidR="00346C9E" w:rsidRPr="00C42B42" w:rsidRDefault="00346C9E" w:rsidP="007C334C">
      <w:pPr>
        <w:pStyle w:val="FootnoteText"/>
        <w:ind w:left="308" w:hanging="280"/>
        <w:jc w:val="both"/>
        <w:rPr>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Změny tohoto nařízení byly oznámeny v Úř. věst. L 114, 25.4.2013, s. 1, Úř. věst. L 139, 25.5.2013, s. 8, Úř. věst. L 190, 11.7.2013, s. 38, Úř. věst. L 315, 26.11.2013, s. 34, Úř. věst. L 107, 10.4.2014, s. 5, Úř. věst. L 238, 9.8.2014, s. 3, Úř. věst. L 254, 28.8.2014, s. 39, Úř. věst. L 282, 26.9.2014, s. 1, Úř. věst. L 282, 26.9.2014, s. 5, Úř. věst. L 193, 21.7.2015, s. 115, Úř. věst. L 199, 29.7.2015, s. 22, Úř. věst. L 60, 5.3.2016, s. 59, Úř. věst. L 106, 22.4.2016, s. 4, Úř. věst. L 106, 22.4.2016, s. 7, Úř. věst. L 187. 12.7.2016, s. 1, Úř. věst. L 187, 12.7.2016, s. 4, Úř. věst. L 189, 14.7.2016, s. 40, Úř. věst. L 198, 23.7.2016, s. 10, Úř. věst. L 17, 21.1.2017, s. 52, Úř. věst. L 36, 11.2.2017, s. 12, Úř. věst. L 36, 11.2.2017, s. 37, Úř. věst. L 117, 5.5.2017, s. 1, Úř. věst. L 174, 7.7.2017, s. 16, Úř. věst. L 202, 3.8.2017, s. 1, Úř. věst. L 203, 4.8.2017, s. 1, Úř. věst. L 319, 5.12.2017, Úř. věst. 326, 9.12.2017, s. 55, Úř. věst. L 158, 21.6.2018, s. 1 a Úř. věst. L 176, 12.7.2018, s.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14:paraId="55D3EB6E" w14:textId="77777777" w:rsidTr="00A120FC">
      <w:tc>
        <w:tcPr>
          <w:tcW w:w="3372" w:type="dxa"/>
        </w:tcPr>
        <w:p w14:paraId="210556F5" w14:textId="77777777" w:rsidR="008578F9" w:rsidRPr="00AD4835" w:rsidRDefault="008578F9" w:rsidP="00A120FC">
          <w:pPr>
            <w:spacing w:before="4" w:line="226" w:lineRule="exact"/>
            <w:textAlignment w:val="baseline"/>
            <w:rPr>
              <w:rFonts w:eastAsia="Times New Roman"/>
              <w:color w:val="000000"/>
              <w:sz w:val="20"/>
            </w:rPr>
          </w:pPr>
          <w:r>
            <w:rPr>
              <w:color w:val="000000"/>
              <w:sz w:val="20"/>
            </w:rPr>
            <w:t>Sbírka zákonů</w:t>
          </w:r>
        </w:p>
      </w:tc>
      <w:tc>
        <w:tcPr>
          <w:tcW w:w="3372" w:type="dxa"/>
        </w:tcPr>
        <w:p w14:paraId="64E5A7CE" w14:textId="77777777"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C135F2">
            <w:rPr>
              <w:rFonts w:eastAsiaTheme="minorEastAsia"/>
              <w:noProof/>
              <w:color w:val="000000"/>
              <w:sz w:val="20"/>
            </w:rPr>
            <w:t>7</w:t>
          </w:r>
          <w:r w:rsidRPr="003B087E">
            <w:rPr>
              <w:rFonts w:eastAsiaTheme="minorEastAsia"/>
              <w:color w:val="000000"/>
              <w:sz w:val="20"/>
            </w:rPr>
            <w:fldChar w:fldCharType="end"/>
          </w:r>
          <w:r>
            <w:rPr>
              <w:color w:val="000000"/>
              <w:sz w:val="20"/>
            </w:rPr>
            <w:t xml:space="preserve"> –</w:t>
          </w:r>
        </w:p>
      </w:tc>
      <w:tc>
        <w:tcPr>
          <w:tcW w:w="3372" w:type="dxa"/>
        </w:tcPr>
        <w:p w14:paraId="59636985" w14:textId="77777777"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Bod 2227</w:t>
          </w:r>
        </w:p>
      </w:tc>
    </w:tr>
  </w:tbl>
  <w:p w14:paraId="3DFBCC2E" w14:textId="77777777"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3"/>
      <w:gridCol w:w="1217"/>
    </w:tblGrid>
    <w:tr w:rsidR="008578F9" w:rsidRPr="00937A61" w14:paraId="71C7C52D" w14:textId="77777777" w:rsidTr="00A120FC">
      <w:tc>
        <w:tcPr>
          <w:tcW w:w="992" w:type="dxa"/>
        </w:tcPr>
        <w:p w14:paraId="20B4E8B8" w14:textId="77777777"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23C0A37" wp14:editId="4460A105">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14:paraId="5750AAF1" w14:textId="77777777" w:rsidR="008578F9" w:rsidRPr="0073741E" w:rsidRDefault="008578F9" w:rsidP="00A120FC">
          <w:pPr>
            <w:pStyle w:val="Header"/>
            <w:rPr>
              <w:rFonts w:eastAsiaTheme="minorEastAsia"/>
              <w:sz w:val="16"/>
              <w:szCs w:val="16"/>
            </w:rPr>
          </w:pPr>
          <w:r>
            <w:rPr>
              <w:sz w:val="16"/>
              <w:szCs w:val="16"/>
            </w:rPr>
            <w:t>Dokument</w:t>
          </w:r>
        </w:p>
        <w:p w14:paraId="4CBAC00F" w14:textId="77777777" w:rsidR="008578F9" w:rsidRPr="0073741E" w:rsidRDefault="008578F9" w:rsidP="00A120FC">
          <w:pPr>
            <w:pStyle w:val="Header"/>
            <w:rPr>
              <w:rFonts w:eastAsiaTheme="minorEastAsia"/>
              <w:sz w:val="16"/>
              <w:szCs w:val="16"/>
            </w:rPr>
          </w:pPr>
          <w:r>
            <w:rPr>
              <w:sz w:val="16"/>
              <w:szCs w:val="16"/>
            </w:rPr>
            <w:t>podpis</w:t>
          </w:r>
        </w:p>
        <w:p w14:paraId="3366D77E" w14:textId="77777777" w:rsidR="008578F9" w:rsidRPr="0073741E" w:rsidRDefault="008578F9" w:rsidP="00A120FC">
          <w:pPr>
            <w:pStyle w:val="Header"/>
            <w:rPr>
              <w:rFonts w:eastAsiaTheme="minorEastAsia"/>
              <w:sz w:val="16"/>
              <w:szCs w:val="16"/>
            </w:rPr>
          </w:pPr>
          <w:r>
            <w:rPr>
              <w:sz w:val="16"/>
              <w:szCs w:val="16"/>
            </w:rPr>
            <w:t>Marek Głuch</w:t>
          </w:r>
        </w:p>
        <w:p w14:paraId="0B65C0A9" w14:textId="10B029AA" w:rsidR="008578F9" w:rsidRPr="0073741E" w:rsidRDefault="008578F9" w:rsidP="00937A61">
          <w:pPr>
            <w:pStyle w:val="Header"/>
            <w:rPr>
              <w:rFonts w:eastAsiaTheme="minorEastAsia"/>
              <w:sz w:val="16"/>
              <w:szCs w:val="16"/>
            </w:rPr>
          </w:pPr>
          <w:r>
            <w:rPr>
              <w:sz w:val="16"/>
              <w:szCs w:val="16"/>
            </w:rPr>
            <w:t>Datum: 29.11.2018</w:t>
          </w:r>
        </w:p>
        <w:p w14:paraId="599CDC99" w14:textId="77777777" w:rsidR="008578F9" w:rsidRPr="0073741E" w:rsidRDefault="00937A61" w:rsidP="00A120FC">
          <w:pPr>
            <w:pStyle w:val="Header"/>
            <w:rPr>
              <w:rFonts w:eastAsiaTheme="minorEastAsia"/>
              <w:sz w:val="16"/>
              <w:szCs w:val="16"/>
            </w:rPr>
          </w:pPr>
          <w:r>
            <w:rPr>
              <w:sz w:val="16"/>
              <w:szCs w:val="16"/>
            </w:rPr>
            <w:t>15:24:59 CEST</w:t>
          </w:r>
        </w:p>
      </w:tc>
    </w:tr>
  </w:tbl>
  <w:p w14:paraId="17E44942" w14:textId="77777777" w:rsidR="008578F9" w:rsidRPr="007C334C" w:rsidRDefault="008578F9">
    <w:pPr>
      <w:pStyle w:val="Header"/>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12DB"/>
    <w:rsid w:val="000A62E1"/>
    <w:rsid w:val="000F6BB0"/>
    <w:rsid w:val="0013072C"/>
    <w:rsid w:val="00247C0C"/>
    <w:rsid w:val="002E5E0E"/>
    <w:rsid w:val="00346C9E"/>
    <w:rsid w:val="00457CA7"/>
    <w:rsid w:val="0049567D"/>
    <w:rsid w:val="004977DC"/>
    <w:rsid w:val="00505C9F"/>
    <w:rsid w:val="006B7437"/>
    <w:rsid w:val="007C334C"/>
    <w:rsid w:val="007F2AC3"/>
    <w:rsid w:val="00832480"/>
    <w:rsid w:val="0083361C"/>
    <w:rsid w:val="008578F9"/>
    <w:rsid w:val="008C64E5"/>
    <w:rsid w:val="008D7B8C"/>
    <w:rsid w:val="00911BBF"/>
    <w:rsid w:val="00937A61"/>
    <w:rsid w:val="009A576E"/>
    <w:rsid w:val="00A84446"/>
    <w:rsid w:val="00AA66E7"/>
    <w:rsid w:val="00AC5F6A"/>
    <w:rsid w:val="00C135F2"/>
    <w:rsid w:val="00C42B42"/>
    <w:rsid w:val="00CC159E"/>
    <w:rsid w:val="00D01294"/>
    <w:rsid w:val="00D91DA0"/>
    <w:rsid w:val="00ED6ABA"/>
    <w:rsid w:val="00F15CDF"/>
    <w:rsid w:val="00F56DCC"/>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66B54"/>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cs-CZ"/>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3.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F0D04E-D3AC-4F82-BCB0-C12B894E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4242</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5</cp:revision>
  <dcterms:created xsi:type="dcterms:W3CDTF">2020-09-23T11:15:00Z</dcterms:created>
  <dcterms:modified xsi:type="dcterms:W3CDTF">2020-09-24T13:24:00Z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