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9E7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NÁVRH ZÁKONA, KTERÝM SE MĚNÍ ZÁKON 8/2014 ZE DNE 1. SRPNA O HAZARDNÍCH HRÁCH A SÁZENÍ NA BALEÁRSKÝCH OSTROVECH</w:t>
      </w:r>
    </w:p>
    <w:p w14:paraId="59331A35" w14:textId="77777777" w:rsidR="001423CC" w:rsidRDefault="001423CC">
      <w:pPr>
        <w:spacing w:line="240" w:lineRule="auto"/>
        <w:rPr>
          <w:rFonts w:ascii="Noto Sans" w:eastAsia="LegacySanITCBoo" w:hAnsi="Noto Sans" w:cs="Noto Sans"/>
          <w:b/>
          <w:color w:val="000000"/>
          <w:lang w:val="es-ES"/>
        </w:rPr>
      </w:pPr>
    </w:p>
    <w:p w14:paraId="18815632"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OBSAH</w:t>
      </w:r>
    </w:p>
    <w:p w14:paraId="34D4881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DŮVODOVÁ ZPRÁVA</w:t>
      </w:r>
    </w:p>
    <w:p w14:paraId="5874CE1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JEDINÝ ČLÁNEK. Změna zákona 8/2014 ze dne 1. srpna o hazardních hrách a sázení na Baleárských ostrovech</w:t>
      </w:r>
    </w:p>
    <w:p w14:paraId="14132100"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JEDINÉ DODATEČNÉ USTANOVENÍ. Změna nařízení o hazardních hrách v kasinech na území autonomního společenství Baleárských ostrovů schválená výnosem 41/2017 ze dne 25. srpna</w:t>
      </w:r>
    </w:p>
    <w:p w14:paraId="3CE5ABE8"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PRVNÍ PŘECHODNÉ USTANOVENÍ. Značky a prvky pokrývající vnější přední plochy provozoven hazardních her</w:t>
      </w:r>
    </w:p>
    <w:p w14:paraId="5200B1E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DRUHÉ PŘECHODNÉ USTANOVENÍ. Přizpůsobení zpráv na obrazovce výherních hracích automatů typu B</w:t>
      </w:r>
    </w:p>
    <w:p w14:paraId="7FB4F354" w14:textId="77777777" w:rsidR="001423CC" w:rsidRDefault="0054044C">
      <w:pPr>
        <w:rPr>
          <w:rFonts w:ascii="Noto Sans" w:eastAsia="LegacySanITCBoo" w:hAnsi="Noto Sans" w:cs="Noto Sans"/>
          <w:b/>
          <w:color w:val="000000"/>
        </w:rPr>
      </w:pPr>
      <w:r>
        <w:rPr>
          <w:rFonts w:ascii="Noto Sans" w:hAnsi="Noto Sans"/>
          <w:b/>
          <w:color w:val="000000"/>
        </w:rPr>
        <w:t>JEDINÉ ZÁVĚREČNÉ USTANOVENÍ. Vstup v platnost</w:t>
      </w:r>
    </w:p>
    <w:p w14:paraId="5BE7E19D" w14:textId="77777777" w:rsidR="001423CC" w:rsidRDefault="001423CC">
      <w:pPr>
        <w:pageBreakBefore/>
        <w:rPr>
          <w:rFonts w:ascii="Noto Sans" w:eastAsia="LegacySanITCBoo" w:hAnsi="Noto Sans" w:cs="Noto Sans"/>
          <w:b/>
          <w:color w:val="000000"/>
          <w:lang w:val="es-ES"/>
        </w:rPr>
      </w:pPr>
    </w:p>
    <w:p w14:paraId="69C726DD" w14:textId="77777777" w:rsidR="001423CC" w:rsidRDefault="0054044C">
      <w:pPr>
        <w:rPr>
          <w:rFonts w:ascii="Noto Sans" w:eastAsia="LegacySanITCBoo" w:hAnsi="Noto Sans" w:cs="Noto Sans"/>
          <w:b/>
          <w:color w:val="000000"/>
        </w:rPr>
      </w:pPr>
      <w:r>
        <w:rPr>
          <w:rFonts w:ascii="Noto Sans" w:hAnsi="Noto Sans"/>
          <w:b/>
          <w:color w:val="000000"/>
        </w:rPr>
        <w:t>DŮVODOVÁ ZPRÁVA</w:t>
      </w:r>
    </w:p>
    <w:p w14:paraId="182ADC88" w14:textId="77777777" w:rsidR="001423CC" w:rsidRDefault="001423CC">
      <w:pPr>
        <w:rPr>
          <w:rFonts w:ascii="Noto Sans" w:eastAsia="LegacySanITCBoo" w:hAnsi="Noto Sans" w:cs="Noto Sans"/>
          <w:b/>
          <w:color w:val="000000"/>
          <w:lang w:val="es-ES"/>
        </w:rPr>
      </w:pPr>
    </w:p>
    <w:p w14:paraId="3F5B04A1" w14:textId="77777777" w:rsidR="001423CC" w:rsidRDefault="0054044C">
      <w:pPr>
        <w:spacing w:line="240" w:lineRule="auto"/>
        <w:jc w:val="center"/>
        <w:rPr>
          <w:rFonts w:ascii="Noto Sans" w:eastAsia="LegacySanITCBoo" w:hAnsi="Noto Sans" w:cs="Noto Sans"/>
          <w:color w:val="000000"/>
        </w:rPr>
      </w:pPr>
      <w:r>
        <w:rPr>
          <w:rFonts w:ascii="Noto Sans" w:hAnsi="Noto Sans"/>
          <w:color w:val="000000"/>
        </w:rPr>
        <w:t>I</w:t>
      </w:r>
    </w:p>
    <w:p w14:paraId="21CD694F" w14:textId="77777777" w:rsidR="001423CC" w:rsidRDefault="0054044C">
      <w:pPr>
        <w:spacing w:line="240" w:lineRule="auto"/>
        <w:rPr>
          <w:rFonts w:ascii="Noto Sans" w:eastAsia="LegacySanITCBoo" w:hAnsi="Noto Sans" w:cs="Noto Sans"/>
          <w:color w:val="000000"/>
        </w:rPr>
      </w:pPr>
      <w:bookmarkStart w:id="0" w:name="_Hlk96691239"/>
      <w:r>
        <w:rPr>
          <w:rFonts w:ascii="Noto Sans" w:hAnsi="Noto Sans"/>
          <w:color w:val="000000"/>
        </w:rPr>
        <w:t>Článek 30.29 Statutu autonomie Baleárských ostrovů svěřuje našemu autonomnímu společenství výlučnou pravomoc, pokud jde o kasina, hazardní hry a sázení, které nepřekračují územní působnost Baleárských ostrovů, s výjimkou vzájemných sportovních a charitativních sázek. Kromě toho článek 30.12 přiznává autonomnímu společenství Baleárských ostrovů pravomoci týkající se podpory sportovních aktivit a vhodného využívání volného času. Článek 4 výše uvedeného pravidla stanoví, že Správní rada má pravomoc mimo jiné schválit obecné plánování s ohledem na realitu a sociální dopad hazardních her a sázení, jejich hospodářské a daňové důsledky a potřebu diverzifikovat hazardní hry.</w:t>
      </w:r>
    </w:p>
    <w:p w14:paraId="604DC6DA"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Výnos prezidenta Baleárských ostrovů 11/2021, kterým se stanoví pravomoci a základní organizační struktura útvarů správy autonomního společenství Baleárských ostrovů, uděluje Generálnímu ředitelství pro obchod v rámci ministerstva pro transformaci energetiky, produktivní odvětví a demokratické dědictví pravomoci týkající se kasin, hazardních her a sázení.</w:t>
      </w:r>
      <w:bookmarkEnd w:id="0"/>
    </w:p>
    <w:p w14:paraId="22D27A28"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Za účelem uvedení zákona 8/2014 ze dne 1. srpna o hazardních hrách a sázení na Baleárských ostrovech v platnost a s hlavním cílem chránit nejzranitelnější skupiny obyvatel a zajistit občanům maximální bezpečnost a právní ochranu, jakož i s ohledem na nutnost plánovat umístění provozoven hazardních her a specifických sázkových zařízení s ohledem na vzdělávací zařízení, byl přijat výnos 42/2017 ze dne 25. srpna, kterým se schvaluje nařízení o sázkách v autonomním společenství Baleárských ostrovů, a výnos 42/2019 ze dne 24. května, kterým se schvaluje nařízení o provozovnách hazardních her v autonomním společenství Baleárských ostrovů, které vzhledem k oběma typům zařízení stanoví mimo jiné minimální vzdálenost takových provozoven od vstupu do zařízení, která poskytují vzdělávání nezletilým osobám, dětských volnočasových areálů a středisek stálé péče pro nezletilé. Současně zavazuje zákon 8/2014 ze dne 1. srpna o hazardních hrách a sázení na Baleárských ostrovech majitele takových provozoven k tomu, aby měli na ochranu výše uvedených nejzranitelnějších skupin u vstupů kontrolní a přijímací službu.</w:t>
      </w:r>
    </w:p>
    <w:p w14:paraId="7FA505A7" w14:textId="77777777" w:rsidR="001423CC" w:rsidRDefault="0054044C">
      <w:pPr>
        <w:spacing w:before="280" w:line="240" w:lineRule="auto"/>
        <w:rPr>
          <w:rFonts w:ascii="Noto Sans" w:eastAsia="LegacySanITCBoo" w:hAnsi="Noto Sans" w:cs="Noto Sans"/>
          <w:color w:val="000000"/>
        </w:rPr>
      </w:pPr>
      <w:bookmarkStart w:id="1" w:name="_Hlk89427603"/>
      <w:bookmarkStart w:id="2" w:name="_Hlk96682288"/>
      <w:r>
        <w:rPr>
          <w:rFonts w:ascii="Noto Sans" w:hAnsi="Noto Sans"/>
          <w:color w:val="000000"/>
        </w:rPr>
        <w:t xml:space="preserve">Podle zprávy o on-line hráčích z roku 2020, kterou vypracovalo generální ředitelství pro regulaci hazardních her ministerstva pro spotřebitelské záležitosti, spadají nejaktivnějších hráči on-line hazardních her do věkové skupiny od 18 do 35 let, což znamená, že vstup do světa hazardních her probíhá v období před </w:t>
      </w:r>
      <w:r>
        <w:rPr>
          <w:rFonts w:ascii="Noto Sans" w:hAnsi="Noto Sans"/>
          <w:color w:val="000000"/>
        </w:rPr>
        <w:lastRenderedPageBreak/>
        <w:t xml:space="preserve">dospíváním nebo během dospívání. </w:t>
      </w:r>
      <w:bookmarkEnd w:id="1"/>
      <w:r>
        <w:rPr>
          <w:rFonts w:ascii="Noto Sans" w:hAnsi="Noto Sans"/>
          <w:color w:val="000000"/>
        </w:rPr>
        <w:t>S ohledem na nejlepší zájmy nezletilých proto musí orgány veřejné správy klást na prvním místo ochranu mladých lidí, jak je zdůrazněno v preambuli organického zákona 8/2021 ze dne 4. června o komplexní ochraně dětí a dospívajících před násilím: „Ochrana nezletilých osob je prioritní povinností veřejných orgánů, uznanou v článku 39 španělské ústavy a v různých mezinárodních smlouvách, mezi nimiž je i výše uvedená Úmluva o právech dítěte přijatá Valným shromážděním Organizace spojených národů dne 20. listopadu 1989 a ratifikovaná Španělskem v roce 1990.</w:t>
      </w:r>
      <w:bookmarkEnd w:id="2"/>
      <w:r>
        <w:rPr>
          <w:rFonts w:ascii="Noto Sans" w:hAnsi="Noto Sans"/>
          <w:color w:val="000000"/>
        </w:rPr>
        <w:t>”.</w:t>
      </w:r>
    </w:p>
    <w:p w14:paraId="78D6CF8D" w14:textId="77777777" w:rsidR="001423CC" w:rsidRDefault="001423CC">
      <w:pPr>
        <w:spacing w:before="280" w:line="240" w:lineRule="auto"/>
        <w:rPr>
          <w:rFonts w:ascii="Noto Sans" w:eastAsia="LegacySanITCBoo" w:hAnsi="Noto Sans" w:cs="Noto Sans"/>
          <w:color w:val="000000"/>
          <w:lang w:val="es-ES"/>
        </w:rPr>
      </w:pPr>
    </w:p>
    <w:p w14:paraId="63E54609"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w:t>
      </w:r>
    </w:p>
    <w:p w14:paraId="6DBCC42C" w14:textId="77777777" w:rsidR="001423CC" w:rsidRDefault="0054044C">
      <w:pPr>
        <w:spacing w:before="280" w:line="240" w:lineRule="auto"/>
      </w:pPr>
      <w:r>
        <w:rPr>
          <w:rFonts w:ascii="Noto Sans" w:hAnsi="Noto Sans"/>
          <w:color w:val="000000"/>
        </w:rPr>
        <w:t>Článek 5 zákona 20/2013 ze dne 9. prosince o zajištění jednotnosti trhu stanoví, že příslušné orgány, které při výkonu svých pravomocí stanoví omezení přístupu k hospodářské činnosti nebo jejího výkonu v souladu s ustanoveními článku 17 téhož zákona, musí uvést důvody pro jejich potřebu chránit naléhavý důvod obecného zájmu z těch, na které se vztahuje článek 3.11 zákona 17/2009 ze dne 23. listopadu o volném přístupu ke službám a jejich výkonu, který definuje „naléhavý důvod obecného zájmu“ jako důvod definovaný a vykládaný judikaturou Soudního dvora Evropských společenství, který se omezuje mimo jiné na: veřejný pořádek, veřejnou bezpečnost, veřejné zdraví a zdraví spotřebitelů a boj proti podvodům.</w:t>
      </w:r>
    </w:p>
    <w:p w14:paraId="7DBEC451" w14:textId="77777777" w:rsidR="001423CC" w:rsidRDefault="0054044C">
      <w:pPr>
        <w:spacing w:before="280" w:line="240" w:lineRule="auto"/>
        <w:rPr>
          <w:rFonts w:ascii="Noto Sans" w:eastAsia="LegacySanITCBoo" w:hAnsi="Noto Sans" w:cs="Noto Sans"/>
          <w:color w:val="000000"/>
        </w:rPr>
      </w:pPr>
      <w:bookmarkStart w:id="3" w:name="_Hlk89427641"/>
      <w:r>
        <w:rPr>
          <w:rFonts w:ascii="Noto Sans" w:hAnsi="Noto Sans"/>
          <w:color w:val="000000"/>
        </w:rPr>
        <w:t>Administrativní zásahy v oblasti hazardních her jsou intenzivnější než v jiných hospodářských odvětvích, protože jsou založeny na naléhavých důvodech obecného zájmu, jako je veřejný pořádek, veřejné zdraví, bezpečnost a ochrana práv hráčů. Tyto důvody ospravedlňují zavedení omezení přijetím opatření k racionalizaci nabídky heren na našem území prostřednictvím jejich plánování.</w:t>
      </w:r>
      <w:bookmarkEnd w:id="3"/>
    </w:p>
    <w:p w14:paraId="1A7E4CD7" w14:textId="77777777" w:rsidR="001423CC" w:rsidRDefault="0054044C">
      <w:pPr>
        <w:spacing w:before="280" w:line="240" w:lineRule="auto"/>
        <w:rPr>
          <w:rFonts w:ascii="Noto Sans" w:eastAsia="LegacySanITCBoo" w:hAnsi="Noto Sans" w:cs="Noto Sans"/>
          <w:color w:val="000000"/>
        </w:rPr>
      </w:pPr>
      <w:bookmarkStart w:id="4" w:name="_Hlk96681923"/>
      <w:r>
        <w:rPr>
          <w:rFonts w:ascii="Noto Sans" w:hAnsi="Noto Sans"/>
          <w:color w:val="000000"/>
        </w:rPr>
        <w:t>Účelem tohoto plánování je regulovat hazardní hry v souladu s politikou, která zajišťuje bezpečnější prostředí pro hazardní hry a zvláštní ochranu nezletilým a nejzranitelnějším skupinám, aniž by se zapomínalo na dodržování platných obecných předpisů a zásady právní jistoty, aby se zabránilo negativním externalitám, k nimž by herní činnost mohla vést a došlo k napravení dysfunkcí způsobených nekontrolovatelným nárůstem počtu tohoto typu zařízení.</w:t>
      </w:r>
      <w:bookmarkEnd w:id="4"/>
    </w:p>
    <w:p w14:paraId="7A569FDB" w14:textId="77777777" w:rsidR="001423CC" w:rsidRDefault="0054044C">
      <w:pPr>
        <w:spacing w:before="280" w:line="240" w:lineRule="auto"/>
      </w:pPr>
      <w:bookmarkStart w:id="5" w:name="_Hlk96682362"/>
      <w:bookmarkStart w:id="6" w:name="_Hlk89427959"/>
      <w:r>
        <w:rPr>
          <w:rFonts w:ascii="Noto Sans" w:hAnsi="Noto Sans"/>
          <w:color w:val="000000"/>
        </w:rPr>
        <w:t>Vláda Baleárských ostrovů vynaložila v posledních letech mimořádnou snahu o posílení ochrany nezletilých osob v bezpečných a kvalitních prostorách vhodných k trávení volného času. Ve specifické oblasti hazardních her se řídí socio-sanitárními pravidly a záležitostmi jako je prevence závislostí a posílení ochrany nejzranitelnějších skupin, zejména v reakci na situaci související s onemocněním COVID-19 a jeho sociálními a hospodářskými dopady.</w:t>
      </w:r>
      <w:bookmarkEnd w:id="5"/>
      <w:bookmarkEnd w:id="6"/>
    </w:p>
    <w:p w14:paraId="683F86E6" w14:textId="77777777" w:rsidR="001423CC" w:rsidRDefault="0054044C">
      <w:pPr>
        <w:spacing w:before="280" w:line="240" w:lineRule="auto"/>
      </w:pPr>
      <w:r>
        <w:rPr>
          <w:rFonts w:ascii="Noto Sans" w:hAnsi="Noto Sans"/>
          <w:color w:val="000000"/>
        </w:rPr>
        <w:lastRenderedPageBreak/>
        <w:t xml:space="preserve">V roce 1992 uznala Světová zdravotnická organizace patologické hráčství (závislost na hazardních hrách) jako poruchu a zahrnula jej do své Mezinárodní klasifikace nemocí. O několik let později </w:t>
      </w:r>
      <w:r>
        <w:rPr>
          <w:rFonts w:ascii="Noto Sans" w:hAnsi="Noto Sans"/>
          <w:i/>
          <w:color w:val="000000"/>
        </w:rPr>
        <w:t>Diagnostický a statistický manuál duševních poruch (DSM),</w:t>
      </w:r>
      <w:r>
        <w:rPr>
          <w:rFonts w:ascii="Noto Sans" w:hAnsi="Noto Sans"/>
          <w:color w:val="000000"/>
        </w:rPr>
        <w:t xml:space="preserve"> celosvětově uznávaný systém klasifikace duševních poruch poskytující popis diagnostických kategorií, který publikovala Americká psychiatrická asociace, identifikoval závislost na hazardních hrách jako skutečnou nelátkovou závislost (tj. bez vlivu „chemické látky“). Dnes ukazuje mnoho klinických studií, že se jedná o stav, který vážně ovlivňuje nejen jednotlivce, ale celou jeho rodinu, práci a blízké okolí s ekonomickými a emocionálními důsledky, které přesahují rámec pouhé osoby s příznaky závislosti.</w:t>
      </w:r>
    </w:p>
    <w:p w14:paraId="68270696" w14:textId="77777777" w:rsidR="001423CC" w:rsidRDefault="0054044C">
      <w:pPr>
        <w:spacing w:before="280" w:line="240" w:lineRule="auto"/>
        <w:rPr>
          <w:rFonts w:ascii="Noto Sans" w:eastAsia="LegacySanITCBoo" w:hAnsi="Noto Sans" w:cs="Noto Sans"/>
          <w:color w:val="000000"/>
        </w:rPr>
      </w:pPr>
      <w:bookmarkStart w:id="7" w:name="_Hlk89427994"/>
      <w:bookmarkStart w:id="8" w:name="_Hlk97123127"/>
      <w:r>
        <w:rPr>
          <w:rFonts w:ascii="Noto Sans" w:hAnsi="Noto Sans"/>
          <w:color w:val="000000"/>
        </w:rPr>
        <w:t>Správa autonomního společenství Baleárských ostrovů považuje hazardní hry z komplexního hlediska sociální odpovědnosti za složitý jev, při jehož řešení je třeba kombinovat preventivní opatření, zvyšování povědomí, zásahy, kontrolu a nápravu negativních dopadů, které z něj mohou vyplynout.</w:t>
      </w:r>
      <w:bookmarkEnd w:id="7"/>
    </w:p>
    <w:p w14:paraId="3C348AF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Aby mohla vláda neprodleně reagovat na výše uvedené důvody obecného zájmu, momentální okolnosti a rostoucí sociální obavy ohledně možné návykovosti tohoto chování, využila preventivního mechanismu spočívajícího v pozastavení udělování nových povolení k otevření provozoven hazardních her (kasin, zařízení s bingem, heren, sázkových zařízení v hernách a specifických sázkových hal).</w:t>
      </w:r>
      <w:bookmarkEnd w:id="8"/>
    </w:p>
    <w:p w14:paraId="46C359AE" w14:textId="77777777" w:rsidR="001423CC" w:rsidRDefault="001423CC">
      <w:pPr>
        <w:spacing w:before="280" w:line="240" w:lineRule="auto"/>
        <w:rPr>
          <w:rFonts w:ascii="Noto Sans" w:eastAsia="LegacySanITCBoo" w:hAnsi="Noto Sans" w:cs="Noto Sans"/>
          <w:color w:val="000000"/>
          <w:lang w:val="es-ES"/>
        </w:rPr>
      </w:pPr>
    </w:p>
    <w:p w14:paraId="4F54340A"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III</w:t>
      </w:r>
    </w:p>
    <w:p w14:paraId="6C5D3693" w14:textId="77777777" w:rsidR="001423CC" w:rsidRDefault="0054044C">
      <w:pPr>
        <w:spacing w:before="280" w:line="240" w:lineRule="auto"/>
        <w:rPr>
          <w:rFonts w:ascii="Noto Sans" w:eastAsia="LegacySanITCBoo" w:hAnsi="Noto Sans" w:cs="Noto Sans"/>
          <w:color w:val="000000"/>
        </w:rPr>
      </w:pPr>
      <w:bookmarkStart w:id="9" w:name="_Hlk96682212"/>
      <w:r>
        <w:rPr>
          <w:rFonts w:ascii="Noto Sans" w:hAnsi="Noto Sans"/>
          <w:color w:val="000000"/>
        </w:rPr>
        <w:t>V posledních letech došlo v rámci aktivní reakce na rostoucí počet zařízení provozujících hazardní hry a sázení na Baleárských ostrovech a na možnosti hraní on-line hazardních her k mobilizaci různých sektorů občanské společnosti a ty vyzvaly regionální a státní orgány veřejné správy k vytvoření nových regulačních rámců, které by omezily další nárůst počtu těchto zařízení, aby lépe chránily nezletilé a obzvláště zranitelné skupiny obyvatelstva, jako jsou ty, které jsou postiženy problémy vyplývajícími z kompulzivního hraní hazardních her, které navíc souhlasily, že se zaregistrují do obecného rejstříku osob vyloučených z účasti na hazardních hrách na základě vlastního rozhodnutí. V tomto smyslu je cílem tohoto zákona, kterým se mění zákon o hazardních hrách a sázení, zahrnout všechny takové sociální a zdravotní aspekty a opatření do doplnění regulace hazardních zařízení a zmírnit jeho negativní externality.</w:t>
      </w:r>
      <w:bookmarkEnd w:id="9"/>
    </w:p>
    <w:p w14:paraId="4F03A887" w14:textId="77777777" w:rsidR="001423CC" w:rsidRDefault="0054044C">
      <w:pPr>
        <w:spacing w:before="280" w:line="240" w:lineRule="auto"/>
        <w:rPr>
          <w:rFonts w:ascii="Noto Sans" w:eastAsia="LegacySanITCBoo" w:hAnsi="Noto Sans" w:cs="Noto Sans"/>
          <w:color w:val="000000"/>
        </w:rPr>
      </w:pPr>
      <w:bookmarkStart w:id="10" w:name="_Hlk97123796"/>
      <w:r>
        <w:rPr>
          <w:rFonts w:ascii="Noto Sans" w:hAnsi="Noto Sans"/>
          <w:color w:val="000000"/>
        </w:rPr>
        <w:t>Tato právní reforma zahrnuje ustanovení, jejichž cílem je omezit udělování nových povolení pro provozovny hazardních her a/nebo sázková zařízení na území Baleárských ostrovů.</w:t>
      </w:r>
      <w:bookmarkEnd w:id="10"/>
    </w:p>
    <w:p w14:paraId="5A651816" w14:textId="77777777" w:rsidR="001423CC" w:rsidRDefault="0054044C">
      <w:pPr>
        <w:spacing w:before="280" w:line="240" w:lineRule="auto"/>
        <w:rPr>
          <w:rFonts w:ascii="Noto Sans" w:eastAsia="LegacySanITCBoo" w:hAnsi="Noto Sans" w:cs="Noto Sans"/>
          <w:color w:val="000000"/>
        </w:rPr>
      </w:pPr>
      <w:bookmarkStart w:id="11" w:name="_Hlk96682236"/>
      <w:bookmarkStart w:id="12" w:name="_Hlk89428051"/>
      <w:r>
        <w:rPr>
          <w:rFonts w:ascii="Noto Sans" w:hAnsi="Noto Sans"/>
          <w:color w:val="000000"/>
        </w:rPr>
        <w:lastRenderedPageBreak/>
        <w:t>V posledních letech byl zaznamenán mimořádný nárůst licencovaných zařízení provozujících hazardní hry a sázení. V některých oblastech se jich vyskytuje skutečně mnoho, a to i přes omezení vzdálenosti mezi těmito typy zařízení, která je regulovaná výše uvedenými výnosy.</w:t>
      </w:r>
      <w:bookmarkEnd w:id="11"/>
    </w:p>
    <w:p w14:paraId="7359E40C" w14:textId="77777777" w:rsidR="001423CC" w:rsidRDefault="0054044C">
      <w:pPr>
        <w:spacing w:before="280" w:line="240" w:lineRule="auto"/>
        <w:rPr>
          <w:rFonts w:ascii="Noto Sans" w:eastAsia="LegacySanITCBoo" w:hAnsi="Noto Sans" w:cs="Noto Sans"/>
          <w:color w:val="000000"/>
        </w:rPr>
      </w:pPr>
      <w:bookmarkStart w:id="13" w:name="_Hlk96682258"/>
      <w:bookmarkEnd w:id="12"/>
      <w:r>
        <w:rPr>
          <w:rFonts w:ascii="Noto Sans" w:hAnsi="Noto Sans"/>
          <w:color w:val="000000"/>
        </w:rPr>
        <w:t>Pokud jde o koncentraci tohoto typu zařízení v autonomním společenství Baleárských ostrovů, poměr je 116,07 zařízení na milion obyvatel, čímž se stává třetím regionálním územím s nejvyšší hustotou nabídky, kromě toho, že poměr je o 40 bodů vyšší než státní průměr jako celek. Mimo jiné je tedy cílem postupně omezit počet heren a specifických sázkových zařízení na takovou úroveň, která nepřekračuje průměrný počet těchto zařízení na obyvatele v celém Španělsku. Tento průměr, který lze každoročně vypočítat, bude vyplývat z oficiálních údajů o platných povoleních pro herny a specifická sázková zařízení podle sekcí autorizovaných heren a specifických autorizovaných sázkových zařízení v Obecném registru hazardních her a z počtu obyvatel podle oficiálních údajů o revidovaném sčítání lidu poskytnutém Národním statistickým institutem (INE) k 1. lednu daného roku.</w:t>
      </w:r>
    </w:p>
    <w:p w14:paraId="5A8E9B5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Je třeba poznamenat, že velké množství těchto zařízení bylo otevřeno v oblasti Palma, baleárské obci s mimořádným výskytem zranitelných čtvrtí, jak vyplývá ze zprávy ministerstva dopravy, mobility a městské agendy o vývoji zranitelnosti měst ve Španělsku v letech 2001–2011.</w:t>
      </w:r>
      <w:bookmarkEnd w:id="13"/>
    </w:p>
    <w:p w14:paraId="2BE94F1D" w14:textId="77777777" w:rsidR="001423CC" w:rsidRDefault="0054044C">
      <w:pPr>
        <w:spacing w:before="280" w:line="240" w:lineRule="auto"/>
        <w:rPr>
          <w:rFonts w:ascii="Noto Sans" w:eastAsia="LegacySanITCBoo" w:hAnsi="Noto Sans" w:cs="Noto Sans"/>
          <w:color w:val="000000"/>
        </w:rPr>
      </w:pPr>
      <w:bookmarkStart w:id="14" w:name="_Hlk97124095"/>
      <w:r>
        <w:rPr>
          <w:rFonts w:ascii="Noto Sans" w:hAnsi="Noto Sans"/>
          <w:color w:val="000000"/>
        </w:rPr>
        <w:t>V tomto ohledu doporučují sociální a zdravotnické orgány jako nejlepší strategii, která vede ke zmírnění návykového potenciálu dostupných možností, usměrnit vysokou hustotu výskytu těchto zařízení, která je doložená statistikami o počtu zařízení ve vztahu k obyvatelstvu Baleárských ostrovů.</w:t>
      </w:r>
    </w:p>
    <w:p w14:paraId="308CD976"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Také počet kasin zůstal v průběhu let stabilní, protože vláda Baleárských ostrovů nepovažovala za vhodné předložit nové veřejné nabídkové řízení, čímž zůstává počet kasin na čísle tři: jedno na Mallorce, jedno na ostrově Ibiza a jedno na Menorce.</w:t>
      </w:r>
    </w:p>
    <w:p w14:paraId="267F5A1D"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Co se týče provozoven binga, je třeba naopak poznamenat, že došlo k jejich snížení, přičemž momentálně jsou čtyři: tři na Mallorce a jedno na ostrově Ibiza.</w:t>
      </w:r>
    </w:p>
    <w:p w14:paraId="7EB0C0A1" w14:textId="77777777" w:rsidR="001423CC" w:rsidRDefault="0054044C">
      <w:pPr>
        <w:spacing w:before="280" w:line="240" w:lineRule="auto"/>
      </w:pPr>
      <w:r>
        <w:rPr>
          <w:rFonts w:ascii="Noto Sans" w:hAnsi="Noto Sans"/>
          <w:color w:val="000000"/>
        </w:rPr>
        <w:t xml:space="preserve">Stejně tak tato reforma rozšiřuje vzdálenosti mezi zařízeními provozujícími hazardní hry a sázení a některými středisky nebo prostory, které jsou primárně určeny pro vzdělávání a péči o nezletilé nebo zranitelné osoby. Opatření reaguje na rostoucí stížnosti sociálních skupin osob postižených patologickým hráčstvím a osob zapojených do boje proti němu, které poukazují na častou fyzickou blízkost zařízení provozujících hazardní hry a sázení a vzdělávacích středisek, sociálních a zdravotních zařízení, parků, hřišť pro děti a mládež a veřejných sportovních hal. </w:t>
      </w:r>
      <w:r>
        <w:rPr>
          <w:rFonts w:ascii="Noto Sans" w:hAnsi="Noto Sans"/>
          <w:color w:val="000000"/>
        </w:rPr>
        <w:lastRenderedPageBreak/>
        <w:t>Kvůli této skutečnosti jsou nezletilé a zranitelné osoby v rámci svých každodenních cest přímo vystaveny provozovnám hazardních her a sázek. Protože je navíc běžné, že herny mají prostor vyhrazený pro sportovní sázení, existuje riziko normalizace těchto zařízení jako míst volnočasových aktivit pro skupiny. Několik studií ukazuje multiplikační účinek na touhu hrát hazardní hry způsobený kombinací reklamních sdělení v médiích, na internetu a sportovních akcích a každodenního kontaktu s provozovnami hazardních her a jejich reklamou, což je situace, která je běžná zejména v hustě obydlených městských oblastech.</w:t>
      </w:r>
    </w:p>
    <w:p w14:paraId="5DDAE6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Reklamy a činnosti propagující hazardní hry a sázení jsou zároveň na celém území Baleárských ostrovů zakázány. V souladu se zásadami umírněnosti a poskytování bezpečnějších herních prostředí se má za to, že reklama ve snaze vyniknout v konkurenci podporuje hraní hazardních her, aniž by bylo možno kontrolovat, kdo má k obsahu reklam přístup nebo kdo se před nimi pohybuje na veřejných komunikacích.</w:t>
      </w:r>
    </w:p>
    <w:p w14:paraId="31BF6E7B" w14:textId="77777777" w:rsidR="001423CC" w:rsidRDefault="0054044C">
      <w:pPr>
        <w:spacing w:before="280" w:line="240" w:lineRule="auto"/>
      </w:pPr>
      <w:r>
        <w:rPr>
          <w:rFonts w:ascii="Noto Sans" w:hAnsi="Noto Sans"/>
          <w:color w:val="000000"/>
        </w:rPr>
        <w:t xml:space="preserve">V nejnovějších zjištěních zveřejněných dne 18. června 2021 </w:t>
      </w:r>
      <w:r>
        <w:rPr>
          <w:rFonts w:ascii="Noto Sans" w:hAnsi="Noto Sans"/>
          <w:i/>
          <w:color w:val="000000"/>
        </w:rPr>
        <w:t xml:space="preserve">Komise pro hazardní hry </w:t>
      </w:r>
      <w:r>
        <w:rPr>
          <w:rFonts w:ascii="Noto Sans" w:hAnsi="Noto Sans"/>
          <w:color w:val="000000"/>
        </w:rPr>
        <w:t xml:space="preserve"> vlády Spojeného království uvádí výsledky vlastního výzkumu zabývajícího se dopadem reklamy hazardních her a sázení v této zemi. Její zjištění zahrnují následující: „Reklama a sponzoring sázek mají široký a častý dopad na spotřebitele, a to do té míry, že šest z deseti lidí má možnost vidět reklamy nebo sponzorované příspěvky na sázky alespoň jednou týdně. Zatímco tradiční reklama sponzorská propagace mají dosah na všechny věkové skupiny, v případě on-line reklamy je pravděpodobnost dosahu na mladé dospělé vyšší. V souladu s příslušnou sociální a zdravotní zásadou, která upřednostňuje zmírnění návykového potenciálu nabídky hazardních her a sázení, jako je kontrola nebo zákaz reklamy na jiné uznané zdroje závislosti, například tabák nebo alkohol, byl proto i v tomto případě učiněn zákaz reklamy bez výjimek, a to i na fasádách zařízení provozujících hazardní hry a sázení, kde se často objevují plakáty a displeje s intenzivními a výraznými světly a barvami.</w:t>
      </w:r>
    </w:p>
    <w:p w14:paraId="17FE20A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Kromě výše uvedeného zavádí tato norma v barech a restauracích elektronickou kontrolu věku na obrazovce výherních hracích automatů typu B. Ačkoli dosud měla zařízení provozující hazardní hry a sázení zavedenu přísnou kontrolu věku, výherní hrací automaty typu B umístěné v pohostinských zařízeních takovou kontrolu postrádají.</w:t>
      </w:r>
      <w:bookmarkStart w:id="15" w:name="_Hlk97139911"/>
      <w:bookmarkEnd w:id="14"/>
    </w:p>
    <w:p w14:paraId="0B367FF5" w14:textId="2B8F2503" w:rsidR="001423CC" w:rsidRDefault="0054044C">
      <w:pPr>
        <w:spacing w:before="280" w:line="240" w:lineRule="auto"/>
      </w:pPr>
      <w:r>
        <w:rPr>
          <w:rFonts w:ascii="Noto Sans" w:hAnsi="Noto Sans"/>
          <w:color w:val="000000"/>
        </w:rPr>
        <w:t>A konečně, současná legislativní reforma reorganizuje články a případy velmi závažného, závažného a méně závažného porušení předpisů, přičemž zohledňuje nahromaděné zkušenosti a důkladněji se věnuje případům stanoveným v právním rámci a případům, které se skutečně vyskytují v oblasti hazardních her a sázení.</w:t>
      </w:r>
      <w:bookmarkEnd w:id="15"/>
      <w:r>
        <w:rPr>
          <w:rFonts w:ascii="Noto Sans" w:hAnsi="Noto Sans"/>
          <w:color w:val="000000"/>
        </w:rPr>
        <w:t xml:space="preserve"> Legislativní změna navíc slouží ke sladění článku 36 stávajícího zákona 8/2014 ze dne 1. srpna o hazardních hrách a sázení na Baleárských ostrovech s </w:t>
      </w:r>
      <w:r>
        <w:rPr>
          <w:rFonts w:ascii="Noto Sans" w:hAnsi="Noto Sans"/>
          <w:color w:val="000000"/>
        </w:rPr>
        <w:lastRenderedPageBreak/>
        <w:t xml:space="preserve">ustanoveními čl. 21.3. písm. </w:t>
      </w:r>
      <w:r>
        <w:rPr>
          <w:rFonts w:ascii="Noto Sans" w:hAnsi="Noto Sans"/>
          <w:i/>
          <w:color w:val="000000"/>
        </w:rPr>
        <w:t>a)</w:t>
      </w:r>
      <w:r>
        <w:rPr>
          <w:rFonts w:ascii="Noto Sans" w:hAnsi="Noto Sans"/>
          <w:color w:val="000000"/>
        </w:rPr>
        <w:t xml:space="preserve"> a zákona 39/2015 ze dne 1. října o společném správním postupu orgánů veřejné správy s cílem zajistit, aby v řízeních zahájených z moci úřední (stejně jako v případě sankcí) byl výpočet začátku promlčecí lhůty stanoven ode dne dohody o zahájení řízení.</w:t>
      </w:r>
    </w:p>
    <w:p w14:paraId="44D787B6" w14:textId="77777777" w:rsidR="001423CC" w:rsidRDefault="001423CC">
      <w:pPr>
        <w:spacing w:before="280" w:line="240" w:lineRule="auto"/>
        <w:rPr>
          <w:rFonts w:ascii="Noto Sans" w:eastAsia="LegacySanITCBoo" w:hAnsi="Noto Sans" w:cs="Noto Sans"/>
          <w:color w:val="000000"/>
          <w:lang w:val="es-ES"/>
        </w:rPr>
      </w:pPr>
    </w:p>
    <w:p w14:paraId="1B7E2351"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IV</w:t>
      </w:r>
    </w:p>
    <w:p w14:paraId="511D97DE" w14:textId="77777777" w:rsidR="001423CC" w:rsidRDefault="0054044C">
      <w:pPr>
        <w:spacing w:line="240" w:lineRule="auto"/>
        <w:rPr>
          <w:rFonts w:ascii="Noto Sans" w:eastAsia="LegacySanITCBoo" w:hAnsi="Noto Sans" w:cs="Noto Sans"/>
          <w:color w:val="000000"/>
        </w:rPr>
      </w:pPr>
      <w:r>
        <w:rPr>
          <w:rFonts w:ascii="Noto Sans" w:hAnsi="Noto Sans"/>
          <w:color w:val="000000"/>
        </w:rPr>
        <w:t>Tento zákon sestává z jediného článku, jediného dodatečného ustanovení, dvou přechodných ustanovení a jediného závěrečného ustanoven.</w:t>
      </w:r>
    </w:p>
    <w:p w14:paraId="7757F76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 xml:space="preserve">Ustanovení tohoto zákona jsou v souladu se zásadami řádné právní úpravy stanovenými v článku 139.1 zákona 39/2015 ze dne 1. října o společném správním postupu pro orgány veřejné správy. </w:t>
      </w:r>
      <w:bookmarkStart w:id="16" w:name="_Hlk97139562"/>
      <w:r>
        <w:rPr>
          <w:rFonts w:ascii="Noto Sans" w:hAnsi="Noto Sans"/>
          <w:color w:val="000000"/>
        </w:rPr>
        <w:t xml:space="preserve">Pokud jde o zásady nezbytnosti a účinnosti, norma řeší nedostatky stávajících předpisů, proto bude převažovat nad </w:t>
      </w:r>
      <w:bookmarkEnd w:id="16"/>
      <w:r>
        <w:rPr>
          <w:rFonts w:ascii="Noto Sans" w:hAnsi="Noto Sans"/>
          <w:color w:val="000000"/>
        </w:rPr>
        <w:t>předpisy schválenými podle zákona.</w:t>
      </w:r>
    </w:p>
    <w:p w14:paraId="04BA85B5" w14:textId="77777777" w:rsidR="001423CC" w:rsidRDefault="0054044C">
      <w:pPr>
        <w:spacing w:before="280" w:line="240" w:lineRule="auto"/>
      </w:pPr>
      <w:r>
        <w:rPr>
          <w:rFonts w:ascii="Noto Sans" w:hAnsi="Noto Sans"/>
          <w:color w:val="000000"/>
        </w:rPr>
        <w:t xml:space="preserve">Pokud jde o zásadu právní jistoty, tento zákon upravuje a uplatňuje základy dříve definované v zákoně 8/2014 ze dne 1. srpna o hazardních hrách a sázení na Baleárských ostrovech. Následně </w:t>
      </w:r>
      <w:bookmarkStart w:id="17" w:name="_Hlk97139688"/>
      <w:r>
        <w:rPr>
          <w:rFonts w:ascii="Noto Sans" w:hAnsi="Noto Sans"/>
          <w:color w:val="000000"/>
        </w:rPr>
        <w:t>je tato norma v souladu se zásadou efektivity, protože administrativní zátěž uložená provozovatelům v tomto odvětví není vyšší než ta předchozí.</w:t>
      </w:r>
      <w:bookmarkEnd w:id="17"/>
      <w:r>
        <w:rPr>
          <w:rFonts w:ascii="Noto Sans" w:hAnsi="Noto Sans"/>
          <w:color w:val="000000"/>
        </w:rPr>
        <w:t xml:space="preserve"> Při uplatňování zásad kvality a zjednodušení, které nejsou stanoveny ve výše uvedeném článku zákona 39/2015 ze dne 1. října o společném správním postupu orgánů veřejné správy, ale v zákoně 4/2011 ze dne 31. března o řádné správě a řádném řízení Baleárských ostrovů a v článku 49.1 zákona 1/2019 ze dne 31. ledna vlády Baleárských ostrovů, je třeba poznamenat, že byly dodrženy legislativní pokyny vlády Baleárských ostrovů schválené Radou guvernérů dne 29. prosince 2000, kterými se schvalují pokyny týkající se formy a struktury návrhů zákonů. A konečně, pokud jde o zásadu proporcionality, norma je úměrná složitosti věci, vždy se snaží dosáhnout rovnováhy mezi zájmy a sociálními požadavky, souběžně s nejběžnějšími právními předpisy na územích kolem Baleárských ostrovů.</w:t>
      </w:r>
    </w:p>
    <w:p w14:paraId="02A824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Toto zákonné ustanovení podléhalo postupu stanovenému směrnicí Evropského parlamentu a Rady (EU) 2015/1535 ze dne 9. září 2015 o postupu při poskytování informací v oblasti technických předpisů a předpisů pro služby informační společnosti, jakož i ustanovení královského výnosu 1337/1999 ze dne 31. července, kterým se řídí poskytování informací v oblasti technických předpisů a předpisů týkajících se služeb informační společnosti.</w:t>
      </w:r>
    </w:p>
    <w:p w14:paraId="0782BD1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 xml:space="preserve">Na tento královský výnos se rovněž vztahuje postup pro poskytování informací o technických normách a předpisech a pravidlech pro informační společnosti upravený královským výnosem 1337/1999 ze dne 31. července za účelem dosažení </w:t>
      </w:r>
      <w:r>
        <w:rPr>
          <w:rFonts w:ascii="Noto Sans" w:hAnsi="Noto Sans"/>
          <w:color w:val="000000"/>
        </w:rPr>
        <w:lastRenderedPageBreak/>
        <w:t>souladu se směrnicí Evropského parlamentu a Rady (EU) 2015/1535 ze dne 9. září 2015 o postupu při poskytování informací v oblasti technických předpisů a předpisů pro služby informační společnosti.</w:t>
      </w:r>
    </w:p>
    <w:p w14:paraId="3D9D8E33" w14:textId="77777777" w:rsidR="001423CC" w:rsidRDefault="001423CC">
      <w:pPr>
        <w:spacing w:before="280" w:line="240" w:lineRule="auto"/>
        <w:rPr>
          <w:rFonts w:ascii="Noto Sans" w:eastAsia="LegacySanITCBoo" w:hAnsi="Noto Sans" w:cs="Noto Sans"/>
          <w:color w:val="000000"/>
          <w:lang w:val="es-ES"/>
        </w:rPr>
      </w:pPr>
    </w:p>
    <w:p w14:paraId="1961EEE0" w14:textId="77777777" w:rsidR="001423CC" w:rsidRDefault="0054044C">
      <w:pPr>
        <w:spacing w:line="240" w:lineRule="auto"/>
      </w:pPr>
      <w:r>
        <w:rPr>
          <w:rFonts w:ascii="Noto Sans" w:hAnsi="Noto Sans"/>
          <w:b/>
          <w:color w:val="000000"/>
        </w:rPr>
        <w:t>Jediný článek. Změna zákona 8/2014 ze dne 1. srpna o hazardních hrách a sázení na Baleárských ostrovech</w:t>
      </w:r>
    </w:p>
    <w:p w14:paraId="5D15BE85" w14:textId="77777777" w:rsidR="001423CC" w:rsidRDefault="001423CC">
      <w:pPr>
        <w:spacing w:line="240" w:lineRule="auto"/>
        <w:rPr>
          <w:rFonts w:ascii="Noto Sans" w:eastAsia="LegacySanITCBoo" w:hAnsi="Noto Sans" w:cs="Noto Sans"/>
          <w:color w:val="000000"/>
          <w:lang w:val="es-ES"/>
        </w:rPr>
      </w:pPr>
    </w:p>
    <w:p w14:paraId="263AE888" w14:textId="77777777" w:rsidR="001423CC" w:rsidRDefault="0054044C">
      <w:pPr>
        <w:pStyle w:val="ListParagraph"/>
        <w:numPr>
          <w:ilvl w:val="0"/>
          <w:numId w:val="1"/>
        </w:numPr>
        <w:spacing w:line="240" w:lineRule="auto"/>
        <w:ind w:left="426" w:hanging="426"/>
      </w:pPr>
      <w:r>
        <w:rPr>
          <w:rFonts w:ascii="Noto Sans" w:hAnsi="Noto Sans"/>
          <w:b/>
          <w:color w:val="000000"/>
        </w:rPr>
        <w:t>Článek 3 odst. 1 o „povoleních“ se mění, jeho znění je následující:</w:t>
      </w:r>
    </w:p>
    <w:p w14:paraId="3CF778AE" w14:textId="77777777" w:rsidR="001423CC" w:rsidRDefault="0054044C">
      <w:pPr>
        <w:spacing w:line="240" w:lineRule="auto"/>
        <w:ind w:left="426"/>
      </w:pPr>
      <w:r>
        <w:rPr>
          <w:rFonts w:ascii="Noto Sans" w:hAnsi="Noto Sans"/>
          <w:color w:val="000000"/>
        </w:rPr>
        <w:t>„1. Výkon jakékoli činnosti v rámci působnosti tohoto zákona vyžaduje předchozí správní povolení.</w:t>
      </w:r>
    </w:p>
    <w:p w14:paraId="7CDD8BCA" w14:textId="77777777" w:rsidR="001423CC" w:rsidRDefault="0054044C">
      <w:pPr>
        <w:spacing w:line="240" w:lineRule="auto"/>
        <w:ind w:left="426"/>
      </w:pPr>
      <w:r>
        <w:rPr>
          <w:rFonts w:ascii="Noto Sans" w:hAnsi="Noto Sans"/>
          <w:color w:val="000000"/>
        </w:rPr>
        <w:t>V žádném případě nesmí být udělena nová povolení k zavedení určitých zařízení provozujících hazardní hry (herních hal, zvláštních sázkových hal, kasin, zařízení na bingo)</w:t>
      </w:r>
      <w:r>
        <w:rPr>
          <w:rFonts w:ascii="Noto Sans" w:hAnsi="Noto Sans"/>
          <w:i/>
          <w:color w:val="000000"/>
        </w:rPr>
        <w:t xml:space="preserve"> </w:t>
      </w:r>
      <w:r>
        <w:rPr>
          <w:rFonts w:ascii="Noto Sans" w:hAnsi="Noto Sans"/>
          <w:color w:val="000000"/>
        </w:rPr>
        <w:t>v oblasti, která je ve vzdálenosti menší než 500 metrů,</w:t>
      </w:r>
      <w:bookmarkStart w:id="18" w:name="_Hlk103679879"/>
      <w:r>
        <w:rPr>
          <w:rFonts w:ascii="Noto Sans" w:hAnsi="Noto Sans"/>
          <w:color w:val="000000"/>
        </w:rPr>
        <w:t xml:space="preserve">měřeno radiálně od nejbližšího bodu, od </w:t>
      </w:r>
      <w:bookmarkStart w:id="19" w:name="_Hlk103172571"/>
      <w:r>
        <w:rPr>
          <w:rFonts w:ascii="Noto Sans" w:hAnsi="Noto Sans"/>
          <w:color w:val="000000"/>
        </w:rPr>
        <w:t>jakékoli budovy sloužící jako centrum pro léčbu osob se závislostí na hazardních hrách, vzdělávací centrum pro nezletilé, volnočasové prostory pro nezletilé a středisko stálé péče pro nezletilé</w:t>
      </w:r>
      <w:bookmarkEnd w:id="18"/>
      <w:bookmarkEnd w:id="19"/>
      <w:r>
        <w:rPr>
          <w:rFonts w:ascii="Noto Sans" w:hAnsi="Noto Sans"/>
          <w:color w:val="000000"/>
        </w:rPr>
        <w:t>. Zřízení provozoven hazardních her nesmí být povoleno ani tehdy, existuje-li v obci Palma nějaké další takové povolené zařízení ve vzdálenosti menší než 500 metrů a v ostatních obcích autonomního společenství Baleárských ostrovů ve vzdálenosti menší než dvě stě padesát metrů. Tato omezení platí jak s ohledem na zařízení v téže obci, kde o něj bylo požádáno, tak s ohledem na stávající zařízení v sousedících obcích.</w:t>
      </w:r>
    </w:p>
    <w:p w14:paraId="5A48C9C1"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Pro účely tohoto zákona jsou za vzdělávací centra pro nezletilé považována všechna autorizovaná vzdělávací zařízení pro nezletilé osoby v souladu s odvětvovými vzdělávacími předpisy a pečovatelská střediska pro nezletilé ve věku od nuly do tří let.</w:t>
      </w:r>
    </w:p>
    <w:p w14:paraId="3570D73E"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Pro účely tohoto zákona jsou za volnočasové prostory pro nezletilé považovány všechny dětské volnočasové prostory ve veřejných parcích a všechny sportovní areály pro děti a mládež zahrnuté do městského plánování.</w:t>
      </w:r>
    </w:p>
    <w:p w14:paraId="44FE2F1A"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Pro účely tohoto zákona jsou za stálá pečovatelská střediska pro nezletilé osoby považována všechna centra zahrnutá v zákoně 9/2019 ze dne 19. února o péči o děti a mladistvé a jejich právech na Baleárských ostrovech.</w:t>
      </w:r>
    </w:p>
    <w:p w14:paraId="6661E085" w14:textId="77777777" w:rsidR="001423CC" w:rsidRDefault="0054044C">
      <w:pPr>
        <w:spacing w:line="240" w:lineRule="auto"/>
        <w:ind w:left="426"/>
      </w:pPr>
      <w:r>
        <w:rPr>
          <w:rFonts w:ascii="Noto Sans" w:hAnsi="Noto Sans"/>
          <w:color w:val="000000"/>
        </w:rPr>
        <w:t>Pro účely tohoto zákona budou střediska pro osoby, které byly nebo jsou léčeny z důvodu závislosti na hazardních hrách, považována centra, jejichž účelem je rehabilitace uživatelů“.</w:t>
      </w:r>
    </w:p>
    <w:p w14:paraId="53EF339E" w14:textId="77777777" w:rsidR="001423CC" w:rsidRDefault="001423CC">
      <w:pPr>
        <w:spacing w:line="240" w:lineRule="auto"/>
        <w:rPr>
          <w:rFonts w:ascii="Noto Sans" w:eastAsia="LegacySanITCBoo" w:hAnsi="Noto Sans" w:cs="Noto Sans"/>
          <w:iCs/>
          <w:color w:val="000000"/>
          <w:lang w:val="es-ES"/>
        </w:rPr>
      </w:pPr>
    </w:p>
    <w:p w14:paraId="1A9C246B" w14:textId="77777777" w:rsidR="001423CC" w:rsidRDefault="0054044C">
      <w:pPr>
        <w:pStyle w:val="ListParagraph"/>
        <w:numPr>
          <w:ilvl w:val="0"/>
          <w:numId w:val="1"/>
        </w:numPr>
        <w:spacing w:line="240" w:lineRule="auto"/>
        <w:ind w:left="426" w:hanging="426"/>
      </w:pPr>
      <w:r>
        <w:rPr>
          <w:rFonts w:ascii="Noto Sans" w:hAnsi="Noto Sans"/>
          <w:b/>
          <w:color w:val="000000"/>
        </w:rPr>
        <w:t>Článek 7 „Reklama a propagace“ se mění takto, jeho znění je následující:</w:t>
      </w:r>
    </w:p>
    <w:p w14:paraId="732DE58C" w14:textId="77777777" w:rsidR="001423CC" w:rsidRDefault="0054044C">
      <w:pPr>
        <w:spacing w:line="240" w:lineRule="auto"/>
        <w:ind w:left="426"/>
        <w:rPr>
          <w:rFonts w:ascii="Noto Sans" w:eastAsia="LegacySanITCBoo" w:hAnsi="Noto Sans" w:cs="Noto Sans"/>
          <w:iCs/>
          <w:color w:val="000000"/>
        </w:rPr>
      </w:pPr>
      <w:bookmarkStart w:id="20" w:name="_Hlk104459918"/>
      <w:r>
        <w:rPr>
          <w:rFonts w:ascii="Noto Sans" w:hAnsi="Noto Sans"/>
          <w:color w:val="000000"/>
        </w:rPr>
        <w:t>„1. Jakékoli druhy reklamy, propagace, sponzorství a jakékoli formy obchodní komunikace, včetně těch, které jsou prováděny prostřednictvím komunikačních sítí sociálních médií a odkazují na hazardní činnosti v autonomním společenství Baleárských ostrovů, jsou zakázány.</w:t>
      </w:r>
      <w:bookmarkEnd w:id="20"/>
    </w:p>
    <w:p w14:paraId="42CC3368" w14:textId="77777777" w:rsidR="001423CC" w:rsidRDefault="0054044C">
      <w:pPr>
        <w:spacing w:line="240" w:lineRule="auto"/>
        <w:ind w:left="426"/>
      </w:pPr>
      <w:bookmarkStart w:id="21" w:name="_Hlk104459669"/>
      <w:r>
        <w:rPr>
          <w:rFonts w:ascii="Noto Sans" w:hAnsi="Noto Sans"/>
          <w:color w:val="000000"/>
        </w:rPr>
        <w:t xml:space="preserve">2. Zakázány jsou propagační akce, dary a pozvánky peněžní povahy nebo ve formě slevových poukazů nebo </w:t>
      </w:r>
      <w:r>
        <w:rPr>
          <w:rFonts w:ascii="Noto Sans" w:hAnsi="Noto Sans"/>
          <w:i/>
          <w:color w:val="000000"/>
        </w:rPr>
        <w:t>žetonů</w:t>
      </w:r>
      <w:r>
        <w:rPr>
          <w:rFonts w:ascii="Noto Sans" w:hAnsi="Noto Sans"/>
          <w:color w:val="000000"/>
        </w:rPr>
        <w:t xml:space="preserve"> a sázkových žetonů s hodnotou vyměnitelnou za zákonné platidlo v jakékoli výši, a to jak uvnitř, tak mimo konkrétní prostory a sázková zařízení, herny, kasina a zařízení na bingo, jejichž účelem je nabídnou hráčům hru zdarma nebo propagace hazardních her a sázení.</w:t>
      </w:r>
      <w:bookmarkEnd w:id="21"/>
    </w:p>
    <w:p w14:paraId="2EDCE6E3"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3. Pro účely stanovené v tomto zákoně se za reklamu na hazardní hry nebude považovat jakákoli reklama, která poskytuje pouze následující informace:</w:t>
      </w:r>
    </w:p>
    <w:p w14:paraId="6B925E97" w14:textId="77777777" w:rsidR="001423CC" w:rsidRDefault="0054044C">
      <w:pPr>
        <w:spacing w:line="240" w:lineRule="auto"/>
        <w:ind w:left="426"/>
      </w:pPr>
      <w:r>
        <w:rPr>
          <w:rFonts w:ascii="Noto Sans" w:hAnsi="Noto Sans"/>
          <w:i/>
          <w:color w:val="000000"/>
        </w:rPr>
        <w:t>a)</w:t>
      </w:r>
      <w:r>
        <w:rPr>
          <w:rFonts w:ascii="Noto Sans" w:hAnsi="Noto Sans"/>
          <w:color w:val="000000"/>
        </w:rPr>
        <w:t xml:space="preserve"> Jméno, název společnosti, adresa, telefonní číslo, webové stránky, e-mailová adresa společnosti nebo provozovny hazardních her.</w:t>
      </w:r>
    </w:p>
    <w:p w14:paraId="6943B5AC" w14:textId="77777777" w:rsidR="001423CC" w:rsidRDefault="0054044C">
      <w:pPr>
        <w:spacing w:line="240" w:lineRule="auto"/>
        <w:ind w:left="426"/>
      </w:pPr>
      <w:r>
        <w:rPr>
          <w:rFonts w:ascii="Noto Sans" w:hAnsi="Noto Sans"/>
          <w:i/>
          <w:color w:val="000000"/>
        </w:rPr>
        <w:t>b)</w:t>
      </w:r>
      <w:r>
        <w:rPr>
          <w:rFonts w:ascii="Noto Sans" w:hAnsi="Noto Sans"/>
          <w:color w:val="000000"/>
        </w:rPr>
        <w:t xml:space="preserve"> Otevírací doba.</w:t>
      </w:r>
    </w:p>
    <w:p w14:paraId="659D7A33" w14:textId="77777777" w:rsidR="001423CC" w:rsidRDefault="0054044C">
      <w:pPr>
        <w:spacing w:line="240" w:lineRule="auto"/>
        <w:ind w:left="426"/>
      </w:pPr>
      <w:r>
        <w:rPr>
          <w:rFonts w:ascii="Noto Sans" w:hAnsi="Noto Sans"/>
          <w:i/>
          <w:color w:val="000000"/>
        </w:rPr>
        <w:t>c)</w:t>
      </w:r>
      <w:r>
        <w:rPr>
          <w:rFonts w:ascii="Noto Sans" w:hAnsi="Noto Sans"/>
          <w:color w:val="000000"/>
        </w:rPr>
        <w:t xml:space="preserve"> Doplňkové služby poskytované provozovnou během otevírací doby.</w:t>
      </w:r>
    </w:p>
    <w:p w14:paraId="6565D3E3" w14:textId="77777777" w:rsidR="001423CC" w:rsidRDefault="0054044C">
      <w:pPr>
        <w:spacing w:line="240" w:lineRule="auto"/>
        <w:ind w:left="426"/>
      </w:pPr>
      <w:r>
        <w:rPr>
          <w:rFonts w:ascii="Noto Sans" w:hAnsi="Noto Sans"/>
          <w:color w:val="000000"/>
        </w:rPr>
        <w:t>4. Na fasádu provozoven hazardních her, včetně skleněných oken a dveří bez jakéhokoli jiného označení nebo vyobrazení odkazujících na daný typ zařízení, lze umístit pouze reklamu nebo výraz „gambling hall“, „specific betting establishment“, „gambling area“, „bingo“ nebo „casino“.</w:t>
      </w:r>
    </w:p>
    <w:p w14:paraId="0E7E91BF"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5. Je zakázáno umísťovat obrázky, které motivují k hazardním hrám nebo jiné prvky hazardních her na fasády zařízení provozujících hazardní hry a sázení, včetně oken a dveří; jsou zakázány jiné světelné prvky, než jsou vstupní nebo výstupní signalizace a takové, které v tomto ohledu nejsou v souladu s povinnými obecními předpisy.“</w:t>
      </w:r>
    </w:p>
    <w:p w14:paraId="28A9FD8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b/>
          <w:color w:val="000000"/>
          <w:lang w:val="es-ES"/>
        </w:rPr>
      </w:pPr>
    </w:p>
    <w:p w14:paraId="1C7076F8"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Článek 13 odst. 5 o „výherních hracích automatech“ se mění, jeho znění je následující:</w:t>
      </w:r>
    </w:p>
    <w:p w14:paraId="2190C7C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rPr>
          <w:rFonts w:ascii="Noto Sans" w:eastAsia="LegacySanITCBoo" w:hAnsi="Noto Sans" w:cs="Noto Sans"/>
          <w:iCs/>
          <w:color w:val="000000"/>
        </w:rPr>
      </w:pPr>
      <w:r>
        <w:rPr>
          <w:rFonts w:ascii="Noto Sans" w:hAnsi="Noto Sans"/>
          <w:color w:val="000000"/>
        </w:rPr>
        <w:t xml:space="preserve">„5. </w:t>
      </w:r>
      <w:bookmarkStart w:id="22" w:name="_Hlk87434168"/>
      <w:r>
        <w:rPr>
          <w:rFonts w:ascii="Noto Sans" w:hAnsi="Noto Sans"/>
          <w:color w:val="000000"/>
        </w:rPr>
        <w:t>Automaty, na které se vztahuje tento zákon, nesmějí být umístěny:</w:t>
      </w:r>
    </w:p>
    <w:p w14:paraId="4A4D2CA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t>Do barů v nákupních centrech nebo prostorech, na stanicích veřejné dopravy, pokud zařízení není dokonale izolováno od tranzitního prostoru.</w:t>
      </w:r>
    </w:p>
    <w:p w14:paraId="0DB608B0"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lastRenderedPageBreak/>
        <w:t>Do barů, které jsou doplňkovým zařízením jiných prostor a zařízení určených pro veřejná představení nebo jiné sportovní nebo volnočasové aktivity.</w:t>
      </w:r>
    </w:p>
    <w:p w14:paraId="1B78068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rPr>
      </w:pPr>
      <w:r>
        <w:rPr>
          <w:rFonts w:ascii="Noto Sans" w:hAnsi="Noto Sans"/>
        </w:rPr>
        <w:t>Do stravovacích zařízení ve školách pro nezletilé, dětských volnočasových prostor a středisek stálé péče pro nezletilé.</w:t>
      </w:r>
    </w:p>
    <w:p w14:paraId="669E500A"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pPr>
      <w:r>
        <w:rPr>
          <w:rFonts w:ascii="Noto Sans" w:hAnsi="Noto Sans"/>
        </w:rPr>
        <w:t>Na veřejné a soukromé terasy a do dalších prostor na veřejných komunikacích.</w:t>
      </w:r>
      <w:r>
        <w:rPr>
          <w:rFonts w:ascii="Noto Sans" w:hAnsi="Noto Sans"/>
          <w:color w:val="000000"/>
        </w:rPr>
        <w:t>»</w:t>
      </w:r>
      <w:bookmarkEnd w:id="22"/>
    </w:p>
    <w:p w14:paraId="62716CE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i/>
          <w:color w:val="000000"/>
          <w:lang w:val="es-ES"/>
        </w:rPr>
      </w:pPr>
    </w:p>
    <w:p w14:paraId="346C52AE"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V článku 13 se doplňují odstavce 6 a 7 týkající se „výherních hracích automatů“, jejichž znění je následující:</w:t>
      </w:r>
    </w:p>
    <w:p w14:paraId="3AACB8D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pPr>
      <w:bookmarkStart w:id="23" w:name="_Hlk104459146"/>
      <w:r>
        <w:rPr>
          <w:rFonts w:ascii="Noto Sans" w:hAnsi="Noto Sans"/>
          <w:color w:val="000000"/>
        </w:rPr>
        <w:t>„6. Na obrazovkách hracích automatů typu B a dalších výherních hracích zařízení nainstalovaných v pohostinstvích a podobných provozovnách se před jejich použitím zobrazí dotazník, ve kterém musí uživatel odpovědět na řadu otázek souvisejících s věkem a odpovědností za hraní hazardní hry. Po zodpovězení povinných otázek se hazardní hra automaticky zahájí, nebo bude přístup odepřen. Pokud zrovna nebude výherní hrací automat typu B využívat žádný zákazník, zůstane bez jakýchkoliv zvukových nebo světelných podnětů, s výjimkou zprávy informující o bezpečném prostředí pro hazardní hry a sázení.</w:t>
      </w:r>
    </w:p>
    <w:p w14:paraId="0F3C3C4B" w14:textId="77777777" w:rsidR="001423CC" w:rsidRDefault="0054044C">
      <w:pPr>
        <w:spacing w:line="240" w:lineRule="auto"/>
        <w:ind w:left="426"/>
      </w:pPr>
      <w:r>
        <w:rPr>
          <w:rFonts w:ascii="Noto Sans" w:hAnsi="Noto Sans"/>
          <w:color w:val="000000"/>
        </w:rPr>
        <w:t>7. Modely výherních hracích automatů typu B, jejichž použití zahrnuje obrázky, zprávy nebo předměty, které mohou být škodlivé pro děti a mládež, které jsou přímo nebo nepřímo v rozporu se stávajícím právním řádem, zejména ty, které podněcují k násilí a trestné činnosti nebo jakékoli formě diskriminace, a ty, které obsahují rasistické, sexistické nebo pornografické prvky, nemusí být schváleny. Za rasistické, sexistické nebo pornografické prvky se pro účely tohoto zákona považují takové prvky, které urážlivě zobrazují rasy, barvy pleti nebo etnický či národnostní původ, ženská těla a těla nezletilých nebo jakýkoli jiný grafický, typografický nebo zvukový prvek, který vyzývá k násilí a trestné činnosti nebo jakékoli formě diskriminace.</w:t>
      </w:r>
      <w:bookmarkEnd w:id="23"/>
      <w:r>
        <w:rPr>
          <w:rFonts w:ascii="Noto Sans" w:hAnsi="Noto Sans"/>
          <w:color w:val="000000"/>
        </w:rPr>
        <w:t>»</w:t>
      </w:r>
    </w:p>
    <w:p w14:paraId="14E1CC76"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356D7BB9"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Článek 28 o „velmi závažných porušeních“ se mění a přeformuluje takto:</w:t>
      </w:r>
    </w:p>
    <w:p w14:paraId="44302C2B" w14:textId="77777777" w:rsidR="001423CC" w:rsidRDefault="0054044C">
      <w:pPr>
        <w:spacing w:line="240" w:lineRule="auto"/>
        <w:ind w:left="426"/>
      </w:pPr>
      <w:r>
        <w:rPr>
          <w:rFonts w:ascii="Noto Sans" w:hAnsi="Noto Sans"/>
          <w:color w:val="000000"/>
        </w:rPr>
        <w:t>„Článek 28. Velmi závažná porušení.</w:t>
      </w:r>
    </w:p>
    <w:p w14:paraId="071B3DCC" w14:textId="77777777" w:rsidR="001423CC" w:rsidRDefault="0054044C">
      <w:pPr>
        <w:spacing w:line="240" w:lineRule="auto"/>
        <w:ind w:left="426"/>
        <w:rPr>
          <w:rFonts w:ascii="Noto Sans" w:hAnsi="Noto Sans" w:cs="Noto Sans"/>
          <w:iCs/>
          <w:color w:val="000000"/>
        </w:rPr>
      </w:pPr>
      <w:r>
        <w:rPr>
          <w:rFonts w:ascii="Noto Sans" w:hAnsi="Noto Sans"/>
          <w:color w:val="000000"/>
        </w:rPr>
        <w:t>Za velmi závažná porušení se považuje následující:</w:t>
      </w:r>
    </w:p>
    <w:p w14:paraId="3B1E7C39" w14:textId="77777777" w:rsidR="001423CC" w:rsidRDefault="0054044C">
      <w:pPr>
        <w:spacing w:line="240" w:lineRule="auto"/>
        <w:ind w:left="426"/>
        <w:rPr>
          <w:rFonts w:ascii="Noto Sans" w:hAnsi="Noto Sans" w:cs="Noto Sans"/>
          <w:iCs/>
          <w:color w:val="000000"/>
        </w:rPr>
      </w:pPr>
      <w:r>
        <w:rPr>
          <w:rFonts w:ascii="Noto Sans" w:hAnsi="Noto Sans"/>
          <w:color w:val="000000"/>
        </w:rPr>
        <w:t xml:space="preserve">1. Organizování, instalace, řízení, provozování hazardních her a sázek a umožnění těchto činností bez odpovídajícího správního povolení, provozování </w:t>
      </w:r>
      <w:r>
        <w:rPr>
          <w:rFonts w:ascii="Noto Sans" w:hAnsi="Noto Sans"/>
          <w:color w:val="000000"/>
        </w:rPr>
        <w:lastRenderedPageBreak/>
        <w:t>těchto činností mimo dané provozovny nebo povolené prostory nebo za jiných než povolených podmínek, za použití prostředků, způsobů nebo forem, které nejsou povoleny nebo které jsou zakázány zvláštními předpisy pro různé aktivity hazardních her.</w:t>
      </w:r>
    </w:p>
    <w:p w14:paraId="1B906AA1" w14:textId="77777777" w:rsidR="001423CC" w:rsidRDefault="0054044C">
      <w:pPr>
        <w:spacing w:line="240" w:lineRule="auto"/>
        <w:ind w:left="426"/>
        <w:rPr>
          <w:rFonts w:ascii="Noto Sans" w:hAnsi="Noto Sans" w:cs="Noto Sans"/>
          <w:iCs/>
          <w:color w:val="000000"/>
        </w:rPr>
      </w:pPr>
      <w:r>
        <w:rPr>
          <w:rFonts w:ascii="Noto Sans" w:hAnsi="Noto Sans"/>
          <w:color w:val="000000"/>
        </w:rPr>
        <w:t>2. Výroba, uvádění na trh nebo provozování herních prvků v rozporu s platnými předpisy a používání neschválených herních materiálů nebo výslovně zakázaných prvků, zpráv nebo obsahu a podvodná výměna nebo manipulace s herním materiálem.</w:t>
      </w:r>
    </w:p>
    <w:p w14:paraId="0E5766C0" w14:textId="77777777" w:rsidR="001423CC" w:rsidRDefault="0054044C">
      <w:pPr>
        <w:spacing w:line="240" w:lineRule="auto"/>
        <w:ind w:left="426"/>
        <w:rPr>
          <w:rFonts w:ascii="Noto Sans" w:hAnsi="Noto Sans" w:cs="Noto Sans"/>
          <w:iCs/>
          <w:color w:val="000000"/>
        </w:rPr>
      </w:pPr>
      <w:r>
        <w:rPr>
          <w:rFonts w:ascii="Noto Sans" w:hAnsi="Noto Sans"/>
          <w:color w:val="000000"/>
        </w:rPr>
        <w:t>3. Využívání nebo poskytování údajů, které jsou nepravdivé nebo falešných nebo padělaných dokumentů za účelem získání povolení a registrace nebo ke splnění požadavků příslušných orgánů týkajících se hazardních her.</w:t>
      </w:r>
    </w:p>
    <w:p w14:paraId="4A0D996F" w14:textId="77777777" w:rsidR="001423CC" w:rsidRDefault="0054044C">
      <w:pPr>
        <w:spacing w:line="240" w:lineRule="auto"/>
        <w:ind w:left="426"/>
        <w:rPr>
          <w:rFonts w:ascii="Noto Sans" w:hAnsi="Noto Sans" w:cs="Noto Sans"/>
          <w:iCs/>
          <w:color w:val="000000"/>
        </w:rPr>
      </w:pPr>
      <w:r>
        <w:rPr>
          <w:rFonts w:ascii="Noto Sans" w:hAnsi="Noto Sans"/>
          <w:color w:val="000000"/>
        </w:rPr>
        <w:t>4. Převod nebo přenesení vydaných licencí v rozporu s podmínkami nebo požadavky stanovenými v tomto zákoně a v jiných prováděcích nebo doplňkových předpisech.</w:t>
      </w:r>
    </w:p>
    <w:p w14:paraId="06C40E52" w14:textId="77777777" w:rsidR="001423CC" w:rsidRDefault="0054044C">
      <w:pPr>
        <w:spacing w:line="240" w:lineRule="auto"/>
        <w:ind w:left="426"/>
        <w:rPr>
          <w:rFonts w:ascii="Noto Sans" w:hAnsi="Noto Sans" w:cs="Noto Sans"/>
          <w:iCs/>
          <w:color w:val="000000"/>
        </w:rPr>
      </w:pPr>
      <w:r>
        <w:rPr>
          <w:rFonts w:ascii="Noto Sans" w:hAnsi="Noto Sans"/>
          <w:color w:val="000000"/>
        </w:rPr>
        <w:t>5. Účastnit se přímo jako hráč nebo prostřednictvím třetích stran, jako jsou zaměstnanci, vlastníci, manažeři, akcionáři nebo účastníci společností zabývajících se řízením, organizací a využíváním aktivit hazardních her, jakož i jejich manželé, potomci až do prvního stupně příbuznosti, hazardních her spravovaných nebo provozovaných těmito společnostmi.</w:t>
      </w:r>
    </w:p>
    <w:p w14:paraId="2A660ED8" w14:textId="77777777" w:rsidR="001423CC" w:rsidRDefault="0054044C">
      <w:pPr>
        <w:spacing w:line="240" w:lineRule="auto"/>
        <w:ind w:left="426"/>
        <w:rPr>
          <w:rFonts w:ascii="Noto Sans" w:hAnsi="Noto Sans" w:cs="Noto Sans"/>
          <w:iCs/>
          <w:color w:val="000000"/>
        </w:rPr>
      </w:pPr>
      <w:r>
        <w:rPr>
          <w:rFonts w:ascii="Noto Sans" w:hAnsi="Noto Sans"/>
          <w:color w:val="000000"/>
        </w:rPr>
        <w:t>6. Přijímání sázek nebo udělování výher, které přesahují povolené maximum pro danou herní činnost.</w:t>
      </w:r>
    </w:p>
    <w:p w14:paraId="28545102" w14:textId="77777777" w:rsidR="001423CC" w:rsidRDefault="0054044C">
      <w:pPr>
        <w:spacing w:line="240" w:lineRule="auto"/>
        <w:ind w:left="426"/>
        <w:rPr>
          <w:rFonts w:ascii="Noto Sans" w:hAnsi="Noto Sans" w:cs="Noto Sans"/>
          <w:iCs/>
          <w:color w:val="000000"/>
        </w:rPr>
      </w:pPr>
      <w:r>
        <w:rPr>
          <w:rFonts w:ascii="Noto Sans" w:hAnsi="Noto Sans"/>
          <w:color w:val="000000"/>
        </w:rPr>
        <w:t>7. Celkové nebo částečné neuhrazení částky, kterou hráči či sázkaři vyhráli.</w:t>
      </w:r>
    </w:p>
    <w:p w14:paraId="45B479B7" w14:textId="77777777" w:rsidR="001423CC" w:rsidRDefault="0054044C">
      <w:pPr>
        <w:spacing w:line="240" w:lineRule="auto"/>
        <w:ind w:left="426"/>
        <w:rPr>
          <w:rFonts w:ascii="Noto Sans" w:hAnsi="Noto Sans" w:cs="Noto Sans"/>
          <w:iCs/>
          <w:color w:val="000000"/>
        </w:rPr>
      </w:pPr>
      <w:r>
        <w:rPr>
          <w:rFonts w:ascii="Noto Sans" w:hAnsi="Noto Sans"/>
          <w:color w:val="000000"/>
        </w:rPr>
        <w:t>8. Použití falešných žetonů, karet, vstupenek nebo jiných předmětů hazardních her.</w:t>
      </w:r>
    </w:p>
    <w:p w14:paraId="37AE3FF7" w14:textId="77777777" w:rsidR="001423CC" w:rsidRDefault="0054044C">
      <w:pPr>
        <w:spacing w:line="240" w:lineRule="auto"/>
        <w:ind w:left="426"/>
        <w:rPr>
          <w:rFonts w:ascii="Noto Sans" w:hAnsi="Noto Sans" w:cs="Noto Sans"/>
          <w:iCs/>
          <w:color w:val="000000"/>
        </w:rPr>
      </w:pPr>
      <w:r>
        <w:rPr>
          <w:rFonts w:ascii="Noto Sans" w:hAnsi="Noto Sans"/>
          <w:color w:val="000000"/>
        </w:rPr>
        <w:t>9. Prodej bingo karet, herních vstupenek nebo karet, sázek, karet loterie nebo tomboly za jinou než autorizovanou cenu.</w:t>
      </w:r>
    </w:p>
    <w:p w14:paraId="32D8C272" w14:textId="77777777" w:rsidR="001423CC" w:rsidRDefault="0054044C">
      <w:pPr>
        <w:spacing w:line="240" w:lineRule="auto"/>
        <w:ind w:left="426"/>
        <w:rPr>
          <w:rFonts w:ascii="Noto Sans" w:hAnsi="Noto Sans" w:cs="Noto Sans"/>
          <w:iCs/>
          <w:color w:val="000000"/>
        </w:rPr>
      </w:pPr>
      <w:r>
        <w:rPr>
          <w:rFonts w:ascii="Noto Sans" w:hAnsi="Noto Sans"/>
          <w:color w:val="000000"/>
        </w:rPr>
        <w:t>10. Nefunkční nebo špatně fungující přijímací a kontrolní systém, absence personálu kontrolujícího osoby u vstupu a neaktualizování registru osob, které se vyloučily z účasti na hazardních hrách na základě vlastního rozhodnutí, za podmínek stanovených v tomto zákoně a prováděcích předpisech.</w:t>
      </w:r>
    </w:p>
    <w:p w14:paraId="40A84F7A" w14:textId="77777777" w:rsidR="001423CC" w:rsidRDefault="0054044C">
      <w:pPr>
        <w:spacing w:line="240" w:lineRule="auto"/>
        <w:ind w:left="426"/>
        <w:rPr>
          <w:rFonts w:ascii="Noto Sans" w:hAnsi="Noto Sans" w:cs="Noto Sans"/>
          <w:iCs/>
          <w:color w:val="000000"/>
        </w:rPr>
      </w:pPr>
      <w:r>
        <w:rPr>
          <w:rFonts w:ascii="Noto Sans" w:hAnsi="Noto Sans"/>
          <w:color w:val="000000"/>
        </w:rPr>
        <w:t>11. Umožnění hraní hazardních her a vstupu do autorizovaných provozoven hazardních her osobám, které nemají povolený přístup podle tohoto zákona a jeho prováděcích předpisů.</w:t>
      </w:r>
    </w:p>
    <w:p w14:paraId="13FDE0C7" w14:textId="77777777" w:rsidR="001423CC" w:rsidRDefault="0054044C">
      <w:pPr>
        <w:spacing w:line="240" w:lineRule="auto"/>
        <w:ind w:left="426"/>
        <w:rPr>
          <w:rFonts w:ascii="Noto Sans" w:hAnsi="Noto Sans" w:cs="Noto Sans"/>
          <w:iCs/>
          <w:color w:val="000000"/>
        </w:rPr>
      </w:pPr>
      <w:r>
        <w:rPr>
          <w:rFonts w:ascii="Noto Sans" w:hAnsi="Noto Sans"/>
          <w:color w:val="000000"/>
        </w:rPr>
        <w:t xml:space="preserve">12. Chybějící zvláštní kontrolní a dohledový systém pro kontrolu přístupu do jakéhokoli zařízení nebo míst s hazardními hrami a ke kanálům hazardních </w:t>
      </w:r>
      <w:r>
        <w:rPr>
          <w:rFonts w:ascii="Noto Sans" w:hAnsi="Noto Sans"/>
          <w:color w:val="000000"/>
        </w:rPr>
        <w:lastRenderedPageBreak/>
        <w:t>her využívajících elektronické, počítačové, telematické nebo interaktivní prostředky, jak vyžaduje tento zákon nebo prováděcí předpisy.</w:t>
      </w:r>
    </w:p>
    <w:p w14:paraId="0DA4E386" w14:textId="77777777" w:rsidR="001423CC" w:rsidRDefault="0054044C">
      <w:pPr>
        <w:spacing w:line="240" w:lineRule="auto"/>
        <w:ind w:left="426"/>
        <w:rPr>
          <w:rFonts w:ascii="Noto Sans" w:hAnsi="Noto Sans" w:cs="Noto Sans"/>
          <w:iCs/>
          <w:color w:val="000000"/>
        </w:rPr>
      </w:pPr>
      <w:r>
        <w:rPr>
          <w:rFonts w:ascii="Noto Sans" w:hAnsi="Noto Sans"/>
          <w:color w:val="000000"/>
        </w:rPr>
        <w:t>13. Jednostranná změna některé ze základních podmínek, na jejichž základě byla požadovaná povolení udělena, případně změna obsahu odpovědného nebo čestného prohlášení.</w:t>
      </w:r>
    </w:p>
    <w:p w14:paraId="09B94C1F" w14:textId="77777777" w:rsidR="001423CC" w:rsidRDefault="0054044C">
      <w:pPr>
        <w:spacing w:line="240" w:lineRule="auto"/>
        <w:ind w:left="426"/>
        <w:rPr>
          <w:rFonts w:ascii="Noto Sans" w:hAnsi="Noto Sans" w:cs="Noto Sans"/>
          <w:iCs/>
          <w:color w:val="000000"/>
        </w:rPr>
      </w:pPr>
      <w:r>
        <w:rPr>
          <w:rFonts w:ascii="Noto Sans" w:hAnsi="Noto Sans"/>
          <w:color w:val="000000"/>
        </w:rPr>
        <w:t>14. Porušení podmínek požadovaných platnými právními předpisy, podle nichž byla povinná povolení udělena.</w:t>
      </w:r>
    </w:p>
    <w:p w14:paraId="24A9FCD5" w14:textId="77777777" w:rsidR="001423CC" w:rsidRDefault="0054044C">
      <w:pPr>
        <w:spacing w:line="240" w:lineRule="auto"/>
        <w:ind w:left="426"/>
        <w:rPr>
          <w:rFonts w:ascii="Noto Sans" w:hAnsi="Noto Sans" w:cs="Noto Sans"/>
          <w:iCs/>
          <w:color w:val="000000"/>
        </w:rPr>
      </w:pPr>
      <w:r>
        <w:rPr>
          <w:rFonts w:ascii="Noto Sans" w:hAnsi="Noto Sans"/>
          <w:color w:val="000000"/>
        </w:rPr>
        <w:t>15. Poskytování půjček nebo úvěrů, přímo nebo prostřednictvím třetích stran, hráčům nebo sázkařům v místech, kde dochází k hraní hazardních her, vlastníky nebo zaměstnanci společností, které hazardní hry organizují nebo provozují a jejich manželek, potomků a příbuzných do první úrovně příbuznosti.</w:t>
      </w:r>
    </w:p>
    <w:p w14:paraId="28553A5E" w14:textId="77777777" w:rsidR="001423CC" w:rsidRDefault="0054044C">
      <w:pPr>
        <w:spacing w:line="240" w:lineRule="auto"/>
        <w:ind w:left="426"/>
        <w:rPr>
          <w:rFonts w:ascii="Noto Sans" w:hAnsi="Noto Sans" w:cs="Noto Sans"/>
          <w:iCs/>
          <w:color w:val="000000"/>
        </w:rPr>
      </w:pPr>
      <w:r>
        <w:rPr>
          <w:rFonts w:ascii="Noto Sans" w:hAnsi="Noto Sans"/>
          <w:color w:val="000000"/>
        </w:rPr>
        <w:t>16. Bránění nebo zamezování kontrolním a dohledovým úkonům v případě inspekce.</w:t>
      </w:r>
    </w:p>
    <w:p w14:paraId="68ACEA75" w14:textId="77777777" w:rsidR="001423CC" w:rsidRDefault="0054044C">
      <w:pPr>
        <w:spacing w:line="240" w:lineRule="auto"/>
        <w:ind w:left="426"/>
        <w:rPr>
          <w:rFonts w:ascii="Noto Sans" w:hAnsi="Noto Sans" w:cs="Noto Sans"/>
          <w:iCs/>
          <w:color w:val="000000"/>
        </w:rPr>
      </w:pPr>
      <w:r>
        <w:rPr>
          <w:rFonts w:ascii="Noto Sans" w:hAnsi="Noto Sans"/>
          <w:color w:val="000000"/>
        </w:rPr>
        <w:t>17. Propagace hazardních her a sázení nebo takových zařízení, kde jsou tyto činnosti provozovány, bez příslušného povolení, v rozporu s platnými předpisy nebo mimo stanovené limity.</w:t>
      </w:r>
    </w:p>
    <w:p w14:paraId="4CAB8131" w14:textId="77777777" w:rsidR="001423CC" w:rsidRDefault="0054044C">
      <w:pPr>
        <w:spacing w:line="240" w:lineRule="auto"/>
        <w:ind w:left="426"/>
        <w:rPr>
          <w:rFonts w:ascii="Noto Sans" w:hAnsi="Noto Sans" w:cs="Noto Sans"/>
          <w:iCs/>
          <w:color w:val="000000"/>
        </w:rPr>
      </w:pPr>
      <w:r>
        <w:rPr>
          <w:rFonts w:ascii="Noto Sans" w:hAnsi="Noto Sans"/>
          <w:color w:val="000000"/>
        </w:rPr>
        <w:t>18. Použití nátlaku nebo zastrašování hráčů v případě vznesení stížnosti nebo nároku.</w:t>
      </w:r>
    </w:p>
    <w:p w14:paraId="6A8803D9" w14:textId="77777777" w:rsidR="001423CC" w:rsidRDefault="0054044C">
      <w:pPr>
        <w:spacing w:line="240" w:lineRule="auto"/>
        <w:ind w:left="426"/>
        <w:rPr>
          <w:rFonts w:ascii="Noto Sans" w:hAnsi="Noto Sans" w:cs="Noto Sans"/>
          <w:iCs/>
          <w:color w:val="000000"/>
        </w:rPr>
      </w:pPr>
      <w:r>
        <w:rPr>
          <w:rFonts w:ascii="Noto Sans" w:hAnsi="Noto Sans"/>
          <w:color w:val="000000"/>
        </w:rPr>
        <w:t>19. Provádění renovačních prací v různých provozovnách hazardních her bez předchozího získání správního povolení, je-li toto získání povinné podle platných předpisů.</w:t>
      </w:r>
    </w:p>
    <w:p w14:paraId="7F088DDF" w14:textId="77777777" w:rsidR="001423CC" w:rsidRDefault="0054044C">
      <w:pPr>
        <w:spacing w:line="240" w:lineRule="auto"/>
        <w:ind w:left="426"/>
      </w:pPr>
      <w:r>
        <w:rPr>
          <w:rFonts w:ascii="Noto Sans" w:hAnsi="Noto Sans"/>
          <w:color w:val="000000"/>
        </w:rPr>
        <w:t>20. Instalace a obsluha výherních hracích automatů typu B a C nebo pomocných sázkových automatů bez platného provozního povolení nebo bez řádně registrovaného dokumentu sdělení o jejich umístění, jejich nepovolené propojení nebo provozování několika jiných než povolených automatů.“</w:t>
      </w:r>
    </w:p>
    <w:p w14:paraId="06378F63" w14:textId="77777777" w:rsidR="001423CC" w:rsidRDefault="001423CC">
      <w:pPr>
        <w:spacing w:line="240" w:lineRule="auto"/>
        <w:rPr>
          <w:rFonts w:ascii="Noto Sans" w:hAnsi="Noto Sans" w:cs="Noto Sans"/>
          <w:iCs/>
          <w:color w:val="000000"/>
          <w:lang w:val="es-ES"/>
        </w:rPr>
      </w:pPr>
    </w:p>
    <w:p w14:paraId="1C8487AF" w14:textId="77777777" w:rsidR="001423CC" w:rsidRDefault="0054044C">
      <w:pPr>
        <w:pStyle w:val="ListParagraph"/>
        <w:numPr>
          <w:ilvl w:val="0"/>
          <w:numId w:val="1"/>
        </w:numPr>
        <w:spacing w:line="240" w:lineRule="auto"/>
        <w:ind w:left="426" w:hanging="426"/>
      </w:pPr>
      <w:r>
        <w:rPr>
          <w:rFonts w:ascii="Noto Sans" w:hAnsi="Noto Sans"/>
          <w:b/>
          <w:color w:val="000000"/>
        </w:rPr>
        <w:t>Článek 29 o „závažných porušeních“ se mění a přeformuluje takto:</w:t>
      </w:r>
    </w:p>
    <w:p w14:paraId="2355F953" w14:textId="77777777" w:rsidR="001423CC" w:rsidRDefault="0054044C">
      <w:pPr>
        <w:spacing w:line="240" w:lineRule="auto"/>
        <w:ind w:left="426"/>
      </w:pPr>
      <w:r>
        <w:rPr>
          <w:rFonts w:ascii="Noto Sans" w:hAnsi="Noto Sans"/>
          <w:color w:val="000000"/>
        </w:rPr>
        <w:t>„Článek 29. Závažná porušení předpisů.</w:t>
      </w:r>
    </w:p>
    <w:p w14:paraId="344ABA32" w14:textId="77777777" w:rsidR="001423CC" w:rsidRDefault="0054044C">
      <w:pPr>
        <w:spacing w:line="240" w:lineRule="auto"/>
        <w:ind w:left="426"/>
        <w:rPr>
          <w:rFonts w:ascii="Noto Sans" w:hAnsi="Noto Sans" w:cs="Noto Sans"/>
          <w:iCs/>
          <w:color w:val="000000"/>
        </w:rPr>
      </w:pPr>
      <w:r>
        <w:rPr>
          <w:rFonts w:ascii="Noto Sans" w:hAnsi="Noto Sans"/>
          <w:color w:val="000000"/>
        </w:rPr>
        <w:t>Závažným porušením se rozumí:</w:t>
      </w:r>
    </w:p>
    <w:p w14:paraId="31D5F039" w14:textId="77777777" w:rsidR="001423CC" w:rsidRDefault="0054044C">
      <w:pPr>
        <w:spacing w:line="240" w:lineRule="auto"/>
        <w:ind w:left="426"/>
        <w:rPr>
          <w:rFonts w:ascii="Noto Sans" w:hAnsi="Noto Sans" w:cs="Noto Sans"/>
          <w:iCs/>
          <w:color w:val="000000"/>
        </w:rPr>
      </w:pPr>
      <w:r>
        <w:rPr>
          <w:rFonts w:ascii="Noto Sans" w:hAnsi="Noto Sans"/>
          <w:color w:val="000000"/>
        </w:rPr>
        <w:t>1. Neuvedení dokladu o oprávnění stanoveném tímto zákonem, jakož i jakéhokoli dokumentu požadovaného podle prováděcích předpisů a ustanovení, v provozovnách hazardních her, jakož i na autorizovaných automatech.</w:t>
      </w:r>
    </w:p>
    <w:p w14:paraId="776D8F4C"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2. Neuvedení viditelného označení zakazujícího vstup nezletilým a uvádějícího omezení a podmínky přístupu u veřejných vstupů do provozoven hazardních her nebo na domovských stránkách on-line kanálů hazardních her.</w:t>
      </w:r>
    </w:p>
    <w:p w14:paraId="411F5996" w14:textId="77777777" w:rsidR="001423CC" w:rsidRDefault="0054044C">
      <w:pPr>
        <w:spacing w:line="240" w:lineRule="auto"/>
        <w:ind w:left="426"/>
        <w:rPr>
          <w:rFonts w:ascii="Noto Sans" w:hAnsi="Noto Sans" w:cs="Noto Sans"/>
          <w:iCs/>
          <w:color w:val="000000"/>
        </w:rPr>
      </w:pPr>
      <w:r>
        <w:rPr>
          <w:rFonts w:ascii="Noto Sans" w:hAnsi="Noto Sans"/>
          <w:color w:val="000000"/>
        </w:rPr>
        <w:t>3. Nepřítomnost formulářů pro stížnosti, elektronických souborů nebo účetních záznamů požadovaných dle příslušných předpisů o provozovnách hazardních her nebo jejich nesprávné uchovávání.</w:t>
      </w:r>
    </w:p>
    <w:p w14:paraId="6ABC9672" w14:textId="77777777" w:rsidR="001423CC" w:rsidRDefault="0054044C">
      <w:pPr>
        <w:spacing w:line="240" w:lineRule="auto"/>
        <w:ind w:left="426"/>
        <w:rPr>
          <w:rFonts w:ascii="Noto Sans" w:hAnsi="Noto Sans" w:cs="Noto Sans"/>
          <w:iCs/>
          <w:color w:val="000000"/>
        </w:rPr>
      </w:pPr>
      <w:r>
        <w:rPr>
          <w:rFonts w:ascii="Noto Sans" w:hAnsi="Noto Sans"/>
          <w:color w:val="000000"/>
        </w:rPr>
        <w:t>4. Nezasílání informací a údajů požadovaných podle platných předpisů nebo jejich neoznamování v zákonné lhůtě příslušným orgánům pro hazardní hry.</w:t>
      </w:r>
    </w:p>
    <w:p w14:paraId="5FE49424" w14:textId="77777777" w:rsidR="001423CC" w:rsidRDefault="0054044C">
      <w:pPr>
        <w:spacing w:line="240" w:lineRule="auto"/>
        <w:ind w:left="426"/>
        <w:rPr>
          <w:rFonts w:ascii="Noto Sans" w:hAnsi="Noto Sans" w:cs="Noto Sans"/>
          <w:iCs/>
          <w:color w:val="000000"/>
        </w:rPr>
      </w:pPr>
      <w:r>
        <w:rPr>
          <w:rFonts w:ascii="Noto Sans" w:hAnsi="Noto Sans"/>
          <w:color w:val="000000"/>
        </w:rPr>
        <w:t>5. Provozování výherních hracích automatů typu B ve veřejných pohostinských zařízeních a podobně bez systémů dálkové aktivace a deaktivace, aby se zabránilo jejich používání nezletilými osobami a aby se tyto automaty v případě, že nejsou využívány, udržely v režimu deaktivace, aniž by vyzařovaly zvukové, vizuální nebo světelné podněty.</w:t>
      </w:r>
    </w:p>
    <w:p w14:paraId="5F14052A" w14:textId="77777777" w:rsidR="001423CC" w:rsidRDefault="0054044C">
      <w:pPr>
        <w:spacing w:line="240" w:lineRule="auto"/>
        <w:ind w:left="426"/>
        <w:rPr>
          <w:rFonts w:ascii="Noto Sans" w:hAnsi="Noto Sans" w:cs="Noto Sans"/>
          <w:iCs/>
          <w:color w:val="000000"/>
        </w:rPr>
      </w:pPr>
      <w:r>
        <w:rPr>
          <w:rFonts w:ascii="Noto Sans" w:hAnsi="Noto Sans"/>
          <w:color w:val="000000"/>
        </w:rPr>
        <w:t>6. Chybějící fyzické vymezení baru a prostoru pro hazardní hry v zařízeních, kde je takové vymezení povinné, v souladu s prováděcími předpisy k tomuto zákonu; jakož i provedení změny bez předchozího správního povolení.</w:t>
      </w:r>
    </w:p>
    <w:p w14:paraId="1E16FF2A" w14:textId="77777777" w:rsidR="001423CC" w:rsidRDefault="0054044C">
      <w:pPr>
        <w:spacing w:line="240" w:lineRule="auto"/>
        <w:ind w:left="426"/>
        <w:rPr>
          <w:rFonts w:ascii="Noto Sans" w:hAnsi="Noto Sans" w:cs="Noto Sans"/>
          <w:iCs/>
          <w:color w:val="000000"/>
        </w:rPr>
      </w:pPr>
      <w:r>
        <w:rPr>
          <w:rFonts w:ascii="Noto Sans" w:hAnsi="Noto Sans"/>
          <w:color w:val="000000"/>
        </w:rPr>
        <w:t>7. Ponechání funkčních výherních hracích automatů a pomocných sázkových automatů během povolené otevírací doby mimo provoz. Toto neplatí v případě automatů instalovaných v pohostinských zařízeních.</w:t>
      </w:r>
    </w:p>
    <w:p w14:paraId="7347BF1A" w14:textId="77777777" w:rsidR="001423CC" w:rsidRDefault="0054044C">
      <w:pPr>
        <w:spacing w:line="240" w:lineRule="auto"/>
        <w:ind w:left="426"/>
        <w:rPr>
          <w:rFonts w:ascii="Noto Sans" w:hAnsi="Noto Sans" w:cs="Noto Sans"/>
          <w:iCs/>
          <w:color w:val="000000"/>
        </w:rPr>
      </w:pPr>
      <w:r>
        <w:rPr>
          <w:rFonts w:ascii="Noto Sans" w:hAnsi="Noto Sans"/>
          <w:color w:val="000000"/>
        </w:rPr>
        <w:t>8. Instalace výherních hracích automatů nebo pomocných sázkových automatů v jakékoli provozovně hazardních her takovým způsobem, který brání průchodnosti a blokuje únikové cesty.</w:t>
      </w:r>
    </w:p>
    <w:p w14:paraId="227B4846" w14:textId="77777777" w:rsidR="001423CC" w:rsidRDefault="0054044C">
      <w:pPr>
        <w:spacing w:line="240" w:lineRule="auto"/>
        <w:ind w:left="426"/>
        <w:rPr>
          <w:rFonts w:ascii="Noto Sans" w:hAnsi="Noto Sans" w:cs="Noto Sans"/>
          <w:iCs/>
          <w:color w:val="000000"/>
        </w:rPr>
      </w:pPr>
      <w:r>
        <w:rPr>
          <w:rFonts w:ascii="Noto Sans" w:hAnsi="Noto Sans"/>
          <w:color w:val="000000"/>
        </w:rPr>
        <w:t>9. Odstraňování výherních hracích automatů a pomocných sázkových automatů bez předchozího povolení příslušného orgánu, který se zabývá provozovnami hazardních her.</w:t>
      </w:r>
    </w:p>
    <w:p w14:paraId="6E907AC5" w14:textId="77777777" w:rsidR="001423CC" w:rsidRDefault="0054044C">
      <w:pPr>
        <w:spacing w:line="240" w:lineRule="auto"/>
        <w:ind w:left="426"/>
        <w:rPr>
          <w:rFonts w:ascii="Noto Sans" w:hAnsi="Noto Sans" w:cs="Noto Sans"/>
          <w:iCs/>
          <w:color w:val="000000"/>
        </w:rPr>
      </w:pPr>
      <w:r>
        <w:rPr>
          <w:rFonts w:ascii="Noto Sans" w:hAnsi="Noto Sans"/>
          <w:color w:val="000000"/>
        </w:rPr>
        <w:t>10. Narušení pořádku v hernách nebo obecně jakékoli nesrovnalosti spáchané hráči nebo spolupracovníky během herní aktivity.</w:t>
      </w:r>
    </w:p>
    <w:p w14:paraId="37C2D380" w14:textId="77777777" w:rsidR="001423CC" w:rsidRDefault="0054044C">
      <w:pPr>
        <w:spacing w:line="240" w:lineRule="auto"/>
        <w:ind w:left="426"/>
      </w:pPr>
      <w:r>
        <w:rPr>
          <w:rFonts w:ascii="Noto Sans" w:hAnsi="Noto Sans"/>
          <w:color w:val="000000"/>
        </w:rPr>
        <w:t>11. Obecně jakékoli nedodržení požadavků a podmínek stanovených v tomto zákoně a v prováděcích předpisech za předpokladu, že se nejedná o velmi závažné porušení předpisů a nedošlo k újmě uživatele, nepřináší prospěch porušovateli práv nebo nepoškozuje zájmy autonomního společenství Baleárských ostrovů.“</w:t>
      </w:r>
    </w:p>
    <w:p w14:paraId="483899C2" w14:textId="77777777" w:rsidR="001423CC" w:rsidRDefault="001423CC">
      <w:pPr>
        <w:spacing w:line="240" w:lineRule="auto"/>
        <w:rPr>
          <w:rFonts w:ascii="Noto Sans" w:hAnsi="Noto Sans" w:cs="Noto Sans"/>
          <w:iCs/>
          <w:color w:val="000000"/>
          <w:lang w:val="es-ES"/>
        </w:rPr>
      </w:pPr>
    </w:p>
    <w:p w14:paraId="3E6F9386" w14:textId="77777777" w:rsidR="001423CC" w:rsidRDefault="0054044C" w:rsidP="002370D8">
      <w:pPr>
        <w:pStyle w:val="ListParagraph"/>
        <w:keepNext/>
        <w:numPr>
          <w:ilvl w:val="0"/>
          <w:numId w:val="1"/>
        </w:numPr>
        <w:spacing w:line="240" w:lineRule="auto"/>
        <w:ind w:left="425" w:hanging="357"/>
      </w:pPr>
      <w:r>
        <w:rPr>
          <w:rFonts w:ascii="Noto Sans" w:hAnsi="Noto Sans"/>
          <w:b/>
          <w:color w:val="000000"/>
        </w:rPr>
        <w:lastRenderedPageBreak/>
        <w:t>Článek 30 týkající se „méně závažných porušení“ se mění a přeformuluje takto:</w:t>
      </w:r>
    </w:p>
    <w:p w14:paraId="597B52AC" w14:textId="77777777" w:rsidR="001423CC" w:rsidRDefault="0054044C">
      <w:pPr>
        <w:spacing w:line="240" w:lineRule="auto"/>
        <w:ind w:left="426"/>
      </w:pPr>
      <w:r>
        <w:rPr>
          <w:rFonts w:ascii="Noto Sans" w:hAnsi="Noto Sans"/>
          <w:color w:val="000000"/>
        </w:rPr>
        <w:t>„Článek 30. Méně závažná porušení předpisů</w:t>
      </w:r>
    </w:p>
    <w:p w14:paraId="6B1F65E6" w14:textId="77777777" w:rsidR="001423CC" w:rsidRDefault="0054044C">
      <w:pPr>
        <w:spacing w:line="240" w:lineRule="auto"/>
        <w:ind w:left="426"/>
        <w:rPr>
          <w:rFonts w:ascii="Noto Sans" w:hAnsi="Noto Sans" w:cs="Noto Sans"/>
          <w:iCs/>
          <w:color w:val="000000"/>
        </w:rPr>
      </w:pPr>
      <w:r>
        <w:rPr>
          <w:rFonts w:ascii="Noto Sans" w:hAnsi="Noto Sans"/>
          <w:color w:val="000000"/>
        </w:rPr>
        <w:t>Méně závažným porušením předpisů se rozumí následující:</w:t>
      </w:r>
    </w:p>
    <w:p w14:paraId="2E952B75" w14:textId="77777777" w:rsidR="001423CC" w:rsidRDefault="0054044C">
      <w:pPr>
        <w:spacing w:line="240" w:lineRule="auto"/>
        <w:ind w:left="426"/>
        <w:rPr>
          <w:rFonts w:ascii="Noto Sans" w:hAnsi="Noto Sans" w:cs="Noto Sans"/>
          <w:iCs/>
          <w:color w:val="000000"/>
        </w:rPr>
      </w:pPr>
      <w:r>
        <w:rPr>
          <w:rFonts w:ascii="Noto Sans" w:hAnsi="Noto Sans"/>
          <w:color w:val="000000"/>
        </w:rPr>
        <w:t>1. Připevnění povinné dokumentace na automat tak, že je znemožněna její viditelnost, nebo nepřijetí opatření nutných k tomu, aby se zabránilo jejímu zničení nebo manipulaci s touto povinnou dokumentací.</w:t>
      </w:r>
    </w:p>
    <w:p w14:paraId="2BB0E792" w14:textId="77777777" w:rsidR="001423CC" w:rsidRDefault="0054044C">
      <w:pPr>
        <w:spacing w:line="240" w:lineRule="auto"/>
        <w:ind w:left="426"/>
      </w:pPr>
      <w:r>
        <w:rPr>
          <w:rFonts w:ascii="Noto Sans" w:hAnsi="Noto Sans"/>
          <w:color w:val="000000"/>
        </w:rPr>
        <w:t>2. Jakékoli bezohledné chování vůči hráčům nebo sázkařům, a to jak během hazardních her nebo sázek, tak v případě, že přednesou jakýkoli nárok nebo stížnost.“</w:t>
      </w:r>
    </w:p>
    <w:p w14:paraId="3CB08B21" w14:textId="77777777" w:rsidR="001423CC" w:rsidRDefault="001423CC">
      <w:pPr>
        <w:spacing w:line="240" w:lineRule="auto"/>
        <w:rPr>
          <w:rFonts w:ascii="Noto Sans" w:hAnsi="Noto Sans" w:cs="Noto Sans"/>
          <w:iCs/>
          <w:color w:val="000000"/>
          <w:lang w:val="es-ES"/>
        </w:rPr>
      </w:pPr>
    </w:p>
    <w:p w14:paraId="5BD64894" w14:textId="77777777" w:rsidR="001423CC" w:rsidRDefault="0054044C">
      <w:pPr>
        <w:pStyle w:val="ListParagraph"/>
        <w:numPr>
          <w:ilvl w:val="0"/>
          <w:numId w:val="1"/>
        </w:numPr>
        <w:spacing w:line="240" w:lineRule="auto"/>
        <w:ind w:left="426" w:hanging="426"/>
      </w:pPr>
      <w:r>
        <w:rPr>
          <w:rFonts w:ascii="Noto Sans" w:hAnsi="Noto Sans"/>
          <w:b/>
          <w:color w:val="000000"/>
        </w:rPr>
        <w:t>Článek 36 o „vypršení platnosti“ se mění takto:</w:t>
      </w:r>
    </w:p>
    <w:p w14:paraId="46AB3C91" w14:textId="77777777" w:rsidR="001423CC" w:rsidRDefault="0054044C">
      <w:pPr>
        <w:spacing w:line="240" w:lineRule="auto"/>
        <w:ind w:left="426"/>
      </w:pPr>
      <w:r>
        <w:rPr>
          <w:rFonts w:ascii="Noto Sans" w:hAnsi="Noto Sans"/>
          <w:color w:val="000000"/>
        </w:rPr>
        <w:t>„Článek 36. Vypršení platnosti</w:t>
      </w:r>
    </w:p>
    <w:p w14:paraId="323F689C" w14:textId="77777777" w:rsidR="001423CC" w:rsidRDefault="0054044C">
      <w:pPr>
        <w:spacing w:line="240" w:lineRule="auto"/>
        <w:ind w:left="426"/>
      </w:pPr>
      <w:r>
        <w:rPr>
          <w:rFonts w:ascii="Noto Sans" w:hAnsi="Noto Sans"/>
          <w:color w:val="000000"/>
        </w:rPr>
        <w:t>Maximální lhůta pro schválení a oznámení zahájení sankčního řízení je jeden rok ode dne uzavření dohody o zahájení řízení. Uplynutí předcházejícího období bez výslovného rozhodnutí a oznámení má za následek ukončení řízení, není-li toto prodlení přímo nebo nepřímo způsobeno jednáním nebo opomenutím přičitatelným dotčeným osobám; to vše probíhá, aniž je dotčena pravomoc administrativy sankcionovat jakékoli takové jednání, není-li dané porušení předepsáno.“</w:t>
      </w:r>
    </w:p>
    <w:p w14:paraId="459CEBA8"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i/>
          <w:color w:val="000000"/>
          <w:lang w:val="es-ES"/>
        </w:rPr>
      </w:pPr>
    </w:p>
    <w:p w14:paraId="300974B5"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Doplňuje se sedmé dodatečné ustanovení o „plánování počtu provozoven hazardních her a zvláštních sázkových zařízení“, jehož znění je následující:</w:t>
      </w:r>
    </w:p>
    <w:p w14:paraId="75CF1413"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„Sedmé dodatečné ustanovení. Plánování počtu provozoven hazardních her a zvláštních sázkových zařízení</w:t>
      </w:r>
    </w:p>
    <w:p w14:paraId="24421251"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 xml:space="preserve">1. </w:t>
      </w:r>
      <w:bookmarkStart w:id="24" w:name="_Hlk87434544"/>
      <w:r>
        <w:rPr>
          <w:rFonts w:ascii="Noto Sans" w:hAnsi="Noto Sans"/>
          <w:color w:val="000000"/>
        </w:rPr>
        <w:t>Počet kasin je omezen na tři</w:t>
      </w:r>
      <w:bookmarkEnd w:id="24"/>
      <w:r>
        <w:rPr>
          <w:rFonts w:ascii="Noto Sans" w:hAnsi="Noto Sans"/>
          <w:color w:val="000000"/>
        </w:rPr>
        <w:t xml:space="preserve"> v autonomním společenství Baleárských ostrovů. Žádná </w:t>
      </w:r>
      <w:bookmarkStart w:id="25" w:name="_Hlk87434563"/>
      <w:r>
        <w:rPr>
          <w:rFonts w:ascii="Noto Sans" w:hAnsi="Noto Sans"/>
          <w:color w:val="000000"/>
        </w:rPr>
        <w:t>nová povolení nebudou udělena kasinům</w:t>
      </w:r>
      <w:bookmarkEnd w:id="25"/>
      <w:r>
        <w:rPr>
          <w:rFonts w:ascii="Noto Sans" w:hAnsi="Noto Sans"/>
          <w:color w:val="000000"/>
        </w:rPr>
        <w:t xml:space="preserve"> na Baleárských ostrovech.</w:t>
      </w:r>
    </w:p>
    <w:p w14:paraId="15C5792E"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 xml:space="preserve">2. Počet platných povolení k zavedení heren nebo zvláštních sázkových zařízení na území Baleárských ostrovů je omezen na 75 na milion obyvatel registrovaných v autonomním společenství, a to podle oficiálních údajů poskytnutých Národním statistickým úřadem k 1. lednu současného roku a </w:t>
      </w:r>
      <w:r>
        <w:rPr>
          <w:rFonts w:ascii="Noto Sans" w:hAnsi="Noto Sans"/>
          <w:color w:val="000000"/>
        </w:rPr>
        <w:lastRenderedPageBreak/>
        <w:t>regionálního seznamu platných povolení pro herny a zvláštní sázková zařízení. V případě, že v době vstupu této reformy v platnost je stávající poměr povolení vyšší, bude automaticky probíhat moratorium na udělování nových povolení k otevření heren nebo zvláštních sázkových zařízení, dokud v důsledku zániku nebo vzdání se stávajících povolení nebude jejich počet překračovat 75 licencí na milion obyvatel registrovaných v autonomním společenství.</w:t>
      </w:r>
    </w:p>
    <w:p w14:paraId="53C6A5B0"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 xml:space="preserve">3. </w:t>
      </w:r>
      <w:bookmarkStart w:id="26" w:name="_Hlk87434699"/>
      <w:r>
        <w:rPr>
          <w:rFonts w:ascii="Noto Sans" w:hAnsi="Noto Sans"/>
          <w:color w:val="000000"/>
        </w:rPr>
        <w:t>Počet provozoven na bingo je omezen na čtyři</w:t>
      </w:r>
      <w:bookmarkEnd w:id="26"/>
      <w:r>
        <w:rPr>
          <w:rFonts w:ascii="Noto Sans" w:hAnsi="Noto Sans"/>
          <w:color w:val="000000"/>
        </w:rPr>
        <w:t xml:space="preserve"> v územním rozsahu autonomního společenství Baleárských ostrovů.”</w:t>
      </w:r>
    </w:p>
    <w:p w14:paraId="06CF31D3"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55B719CF"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Druhé přechodné ustanovení o „přechodných opatřeních pro povolení udělené podle předchozích nařízení“ bylo změněno takto:</w:t>
      </w:r>
    </w:p>
    <w:p w14:paraId="6C65EFD7"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bookmarkStart w:id="27" w:name="_Hlk103690090"/>
      <w:r>
        <w:rPr>
          <w:rFonts w:ascii="Noto Sans" w:hAnsi="Noto Sans"/>
          <w:color w:val="000000"/>
        </w:rPr>
        <w:t>„Povolení udělená podle předchozích nařízení zůstávají v platnosti po dobu, po kterou byla udělena, jejich následné obnovení podléhá splnění požadavků stanovených tímto zákonem a prováděcími předpisy k němu.</w:t>
      </w:r>
    </w:p>
    <w:p w14:paraId="1DAEFC8D"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Omezení stanovená v článku 3.1 tohoto zákona se nevztahují na obnovení povolení udělených před vstupem tohoto zákona v platnost, u nichž nebylo vyžadováno dodržování těchto omezení.“</w:t>
      </w:r>
    </w:p>
    <w:bookmarkEnd w:id="27"/>
    <w:p w14:paraId="5D1B60FF" w14:textId="77777777" w:rsidR="001423CC" w:rsidRDefault="001423CC">
      <w:pPr>
        <w:spacing w:line="240" w:lineRule="auto"/>
        <w:rPr>
          <w:rFonts w:ascii="Noto Sans" w:eastAsia="LegacySanITCBoo" w:hAnsi="Noto Sans" w:cs="Noto Sans"/>
          <w:b/>
          <w:color w:val="000000"/>
          <w:lang w:val="es-ES"/>
        </w:rPr>
      </w:pPr>
    </w:p>
    <w:p w14:paraId="7E65042E"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Jediné dodatečné ustanovení. Změna nařízení o hazardních hrách v kasinech na území autonomního společenství Baleárských ostrovů schválená výnosem 41/2017 ze dne 25. srpna</w:t>
      </w:r>
    </w:p>
    <w:p w14:paraId="045E47FC" w14:textId="77777777" w:rsidR="001423CC" w:rsidRDefault="001423CC">
      <w:pPr>
        <w:spacing w:line="240" w:lineRule="auto"/>
        <w:rPr>
          <w:rFonts w:ascii="Noto Sans" w:eastAsia="LegacySanITCBoo" w:hAnsi="Noto Sans" w:cs="Noto Sans"/>
          <w:b/>
          <w:color w:val="000000"/>
          <w:lang w:val="es-ES"/>
        </w:rPr>
      </w:pPr>
    </w:p>
    <w:p w14:paraId="2FFC37FC" w14:textId="77777777" w:rsidR="001423CC" w:rsidRDefault="0054044C">
      <w:pPr>
        <w:spacing w:line="240" w:lineRule="auto"/>
      </w:pPr>
      <w:r>
        <w:rPr>
          <w:rFonts w:ascii="Noto Sans" w:hAnsi="Noto Sans"/>
          <w:b/>
          <w:color w:val="000000"/>
        </w:rPr>
        <w:t>Zaprvé. Článek 22 odst. 1 o „vedlejších sálech“ se mění takto:</w:t>
      </w:r>
    </w:p>
    <w:p w14:paraId="79FC832E" w14:textId="77777777" w:rsidR="001423CC" w:rsidRDefault="0054044C">
      <w:pPr>
        <w:spacing w:line="240" w:lineRule="auto"/>
      </w:pPr>
      <w:bookmarkStart w:id="28" w:name="_Hlk104460847"/>
      <w:r>
        <w:rPr>
          <w:rFonts w:ascii="Noto Sans" w:hAnsi="Noto Sans"/>
          <w:color w:val="000000"/>
        </w:rPr>
        <w:t>„Článek 22</w:t>
      </w:r>
    </w:p>
    <w:p w14:paraId="6741643C"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Vedlejší sály</w:t>
      </w:r>
    </w:p>
    <w:p w14:paraId="52AF3A9F"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 xml:space="preserve">1. Vedlejší sály v kasinech jsou herny, které jsou provozními jednotkami, jež jsou jejich součástí a nacházejí se mimo prostory nebo komplex kasina, v územním rozsahu každého ostrova. Takové herny fungují jako doplněk hlavní licencované herny a mají minimální provozní dobu šest měsíců ročně na Mallorce a tři měsíce ročně v Menorce, Ibize a Formenteře. Přilehlé herny mohou mít kromě hlavního sálu ještě soukromé salonky a vstupní halu, v souladu s požadavky stanovenými v tomto předpise. Vedlejší sály podléhají pravidlům stanoveným v tomto nařízení, </w:t>
      </w:r>
      <w:r>
        <w:rPr>
          <w:rFonts w:ascii="Noto Sans" w:hAnsi="Noto Sans"/>
          <w:color w:val="000000"/>
        </w:rPr>
        <w:lastRenderedPageBreak/>
        <w:t>která platí pro jejich mateřská kasina, ačkoli nejsou povinny poskytovat doplňkové služby uvedené v článku 23.1, které mohou být poskytovány dobrovolně.</w:t>
      </w:r>
    </w:p>
    <w:p w14:paraId="2768C406" w14:textId="77777777" w:rsidR="001423CC" w:rsidRDefault="0054044C">
      <w:pPr>
        <w:spacing w:line="240" w:lineRule="auto"/>
      </w:pPr>
      <w:r>
        <w:rPr>
          <w:rFonts w:ascii="Noto Sans" w:hAnsi="Noto Sans"/>
          <w:color w:val="000000"/>
        </w:rPr>
        <w:t>Pokud celková plocha určená k hraní hazardních her v hlavním kasinu překročí minimální limity stanovené v článku 9 tohoto nařízení, nesmí celková plocha licencovaných prostor k hazardním hrám ve vedlejším sále přesáhnout 60 % celkové plochy takových prostor v hlavním kasinu.</w:t>
      </w:r>
      <w:bookmarkEnd w:id="28"/>
      <w:r>
        <w:rPr>
          <w:rFonts w:ascii="Noto Sans" w:hAnsi="Noto Sans"/>
          <w:color w:val="000000"/>
        </w:rPr>
        <w:t>»</w:t>
      </w:r>
    </w:p>
    <w:p w14:paraId="7934E0FC" w14:textId="77777777" w:rsidR="001423CC" w:rsidRDefault="001423CC">
      <w:pPr>
        <w:spacing w:line="240" w:lineRule="auto"/>
        <w:rPr>
          <w:rFonts w:ascii="Noto Sans" w:eastAsia="LegacySanITCBoo" w:hAnsi="Noto Sans" w:cs="Noto Sans"/>
          <w:bCs/>
          <w:color w:val="000000"/>
          <w:lang w:val="es-ES"/>
        </w:rPr>
      </w:pPr>
    </w:p>
    <w:p w14:paraId="7CA81655"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 xml:space="preserve">První přechodné ustanovení. </w:t>
      </w:r>
      <w:bookmarkStart w:id="29" w:name="_Hlk87394221"/>
      <w:r>
        <w:rPr>
          <w:rFonts w:ascii="Noto Sans" w:hAnsi="Noto Sans"/>
          <w:b/>
          <w:color w:val="000000"/>
        </w:rPr>
        <w:t>Značky a prvky pokrývající vnější přední plochy provozoven hazardních her</w:t>
      </w:r>
      <w:bookmarkEnd w:id="29"/>
      <w:r>
        <w:rPr>
          <w:rFonts w:ascii="Noto Sans" w:hAnsi="Noto Sans"/>
          <w:b/>
          <w:color w:val="000000"/>
        </w:rPr>
        <w:t xml:space="preserve"> </w:t>
      </w:r>
    </w:p>
    <w:p w14:paraId="576DC592" w14:textId="77777777" w:rsidR="001423CC" w:rsidRDefault="0054044C">
      <w:pPr>
        <w:spacing w:line="240" w:lineRule="auto"/>
        <w:rPr>
          <w:rFonts w:ascii="Noto Sans" w:eastAsia="LegacySanITCBoo" w:hAnsi="Noto Sans" w:cs="Noto Sans"/>
          <w:iCs/>
          <w:color w:val="000000"/>
        </w:rPr>
      </w:pPr>
      <w:r>
        <w:rPr>
          <w:rFonts w:ascii="Noto Sans" w:hAnsi="Noto Sans"/>
          <w:color w:val="000000"/>
        </w:rPr>
        <w:t>Společnosti, které vlastní provozovny hazardních her, na něž se vztahuje tato norma, mají lhůtu nejvýše 18 měsíců od jejího vstupu v platnost, aby přizpůsobily fasády a exteriéry provozoven požadavkům této normy.</w:t>
      </w:r>
    </w:p>
    <w:p w14:paraId="29415446" w14:textId="77777777" w:rsidR="001423CC" w:rsidRDefault="001423CC">
      <w:pPr>
        <w:spacing w:line="240" w:lineRule="auto"/>
        <w:rPr>
          <w:rFonts w:ascii="Noto Sans" w:eastAsia="LegacySanITCBoo" w:hAnsi="Noto Sans" w:cs="Noto Sans"/>
          <w:b/>
          <w:color w:val="000000"/>
          <w:lang w:val="es-ES"/>
        </w:rPr>
      </w:pPr>
    </w:p>
    <w:p w14:paraId="4A4AB9ED"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 xml:space="preserve">Druhé přechodné ustanovení. </w:t>
      </w:r>
      <w:bookmarkStart w:id="30" w:name="_Hlk103948419"/>
      <w:r>
        <w:rPr>
          <w:rFonts w:ascii="Noto Sans" w:hAnsi="Noto Sans"/>
          <w:b/>
          <w:color w:val="000000"/>
        </w:rPr>
        <w:t>Přizpůsobení zpráv na obrazovce výherních hracích automatů typu B</w:t>
      </w:r>
      <w:bookmarkEnd w:id="30"/>
    </w:p>
    <w:p w14:paraId="2FCB914A" w14:textId="77777777" w:rsidR="001423CC" w:rsidRDefault="0054044C">
      <w:pPr>
        <w:spacing w:line="240" w:lineRule="auto"/>
      </w:pPr>
      <w:r>
        <w:rPr>
          <w:rFonts w:ascii="Noto Sans" w:hAnsi="Noto Sans"/>
          <w:color w:val="000000"/>
        </w:rPr>
        <w:t>Provozovatelé hazardních her budou mít 18 měsíců od vstupu tohoto nařízení v platnost, aby vyhověli ustanovením článku 13.6 pozměněného v zákonu 8/2014 ze dne 1. srpna o hazardních hrách a sázení na Baleárských ostrovech, který se týká dotazníku zaměřeného na věk a odpovědnost a vytištěné zprávy o bezpečném prostředí zařízení provozujících hazardní hry a sázení.</w:t>
      </w:r>
    </w:p>
    <w:p w14:paraId="2F9195B5" w14:textId="77777777" w:rsidR="001423CC" w:rsidRDefault="001423CC">
      <w:pPr>
        <w:spacing w:line="240" w:lineRule="auto"/>
        <w:rPr>
          <w:rFonts w:ascii="Noto Sans" w:eastAsia="LegacySanITCBoo" w:hAnsi="Noto Sans" w:cs="Noto Sans"/>
          <w:color w:val="000000"/>
          <w:lang w:val="es-ES"/>
        </w:rPr>
      </w:pPr>
    </w:p>
    <w:p w14:paraId="7F2901B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Jediné závěrečné ustanovení. Vstup v platnost</w:t>
      </w:r>
    </w:p>
    <w:p w14:paraId="6333B5D3" w14:textId="77777777" w:rsidR="001423CC" w:rsidRDefault="0054044C">
      <w:pPr>
        <w:spacing w:line="240" w:lineRule="auto"/>
      </w:pPr>
      <w:r>
        <w:rPr>
          <w:rFonts w:ascii="Noto Sans" w:hAnsi="Noto Sans"/>
          <w:color w:val="000000"/>
        </w:rPr>
        <w:t xml:space="preserve">Toto nařízení vstoupí v platnost v den následující po dni uveřejnění v </w:t>
      </w:r>
      <w:r>
        <w:rPr>
          <w:rFonts w:ascii="Noto Sans" w:hAnsi="Noto Sans"/>
          <w:i/>
          <w:color w:val="000000"/>
        </w:rPr>
        <w:t>Úředním věstníku Baleárských ostrovů</w:t>
      </w:r>
      <w:r>
        <w:rPr>
          <w:rFonts w:ascii="Noto Sans" w:hAnsi="Noto Sans"/>
          <w:color w:val="000000"/>
        </w:rPr>
        <w:t>.</w:t>
      </w:r>
    </w:p>
    <w:sectPr w:rsidR="001423CC">
      <w:headerReference w:type="default" r:id="rId7"/>
      <w:footerReference w:type="default" r:id="rId8"/>
      <w:headerReference w:type="first" r:id="rId9"/>
      <w:footerReference w:type="first" r:id="rId10"/>
      <w:pgSz w:w="11906" w:h="16838"/>
      <w:pgMar w:top="1276" w:right="851" w:bottom="1701" w:left="255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216A" w14:textId="77777777" w:rsidR="00D3047C" w:rsidRDefault="00D3047C">
      <w:pPr>
        <w:spacing w:after="0" w:line="240" w:lineRule="auto"/>
      </w:pPr>
      <w:r>
        <w:separator/>
      </w:r>
    </w:p>
  </w:endnote>
  <w:endnote w:type="continuationSeparator" w:id="0">
    <w:p w14:paraId="13A1BD87" w14:textId="77777777" w:rsidR="00D3047C" w:rsidRDefault="00D3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font>
  <w:font w:name="Tahoma">
    <w:panose1 w:val="020B0604030504040204"/>
    <w:charset w:val="00"/>
    <w:family w:val="swiss"/>
    <w:pitch w:val="variable"/>
    <w:sig w:usb0="E1002EFF" w:usb1="C000605B" w:usb2="00000029" w:usb3="00000000" w:csb0="000101FF" w:csb1="00000000"/>
  </w:font>
  <w:font w:name="Bariol Regular">
    <w:charset w:val="00"/>
    <w:family w:val="modern"/>
    <w:pitch w:val="variable"/>
  </w:font>
  <w:font w:name="LegacySanITCBoo">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7640C8B1" w14:textId="77777777">
      <w:trPr>
        <w:trHeight w:val="1140"/>
      </w:trPr>
      <w:tc>
        <w:tcPr>
          <w:tcW w:w="2915" w:type="dxa"/>
          <w:shd w:val="clear" w:color="auto" w:fill="auto"/>
          <w:tcMar>
            <w:top w:w="240" w:type="dxa"/>
            <w:left w:w="108" w:type="dxa"/>
            <w:bottom w:w="0" w:type="dxa"/>
            <w:right w:w="108" w:type="dxa"/>
          </w:tcMar>
        </w:tcPr>
        <w:p w14:paraId="140D4B95" w14:textId="77777777" w:rsidR="00422B6B" w:rsidRDefault="0054044C">
          <w:pPr>
            <w:pStyle w:val="Peudepgina"/>
            <w:spacing w:after="0" w:line="240" w:lineRule="auto"/>
            <w:rPr>
              <w:rFonts w:ascii="Noto Sans" w:hAnsi="Noto Sans" w:cs="Noto Sans"/>
            </w:rPr>
          </w:pPr>
          <w:r>
            <w:rPr>
              <w:rFonts w:ascii="Noto Sans" w:hAnsi="Noto Sans"/>
            </w:rPr>
            <w:t>Plaça de Son Castelló, 1</w:t>
          </w:r>
        </w:p>
        <w:p w14:paraId="5D19572A"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3031BD67"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7F3BD568" w14:textId="77777777" w:rsidR="00422B6B" w:rsidRDefault="0054044C">
          <w:pPr>
            <w:pStyle w:val="Peudepgina"/>
            <w:jc w:val="both"/>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3576F171" w14:textId="77777777" w:rsidR="00422B6B" w:rsidRDefault="002370D8">
          <w:pPr>
            <w:pStyle w:val="Peudepgina"/>
            <w:jc w:val="center"/>
          </w:pPr>
        </w:p>
      </w:tc>
      <w:tc>
        <w:tcPr>
          <w:tcW w:w="2723" w:type="dxa"/>
          <w:shd w:val="clear" w:color="auto" w:fill="auto"/>
          <w:tcMar>
            <w:top w:w="240" w:type="dxa"/>
            <w:left w:w="108" w:type="dxa"/>
            <w:bottom w:w="0" w:type="dxa"/>
            <w:right w:w="108" w:type="dxa"/>
          </w:tcMar>
          <w:vAlign w:val="bottom"/>
        </w:tcPr>
        <w:p w14:paraId="2F193CDD" w14:textId="77777777" w:rsidR="00422B6B" w:rsidRDefault="0054044C">
          <w:pPr>
            <w:pStyle w:val="Nmerodepgina"/>
          </w:pPr>
          <w:r>
            <w:fldChar w:fldCharType="begin"/>
          </w:r>
          <w:r>
            <w:instrText xml:space="preserve"> PAGE </w:instrText>
          </w:r>
          <w:r>
            <w:fldChar w:fldCharType="separate"/>
          </w:r>
          <w:r>
            <w:t>2</w:t>
          </w:r>
          <w:r>
            <w:fldChar w:fldCharType="end"/>
          </w:r>
        </w:p>
      </w:tc>
    </w:tr>
  </w:tbl>
  <w:p w14:paraId="2E602969" w14:textId="77777777" w:rsidR="00422B6B" w:rsidRDefault="002370D8">
    <w:pPr>
      <w:pStyle w:val="Footer"/>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4821" w14:textId="77777777" w:rsidR="00422B6B" w:rsidRDefault="002370D8"/>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0BF7CE6E" w14:textId="77777777">
      <w:trPr>
        <w:trHeight w:val="1140"/>
      </w:trPr>
      <w:tc>
        <w:tcPr>
          <w:tcW w:w="2915" w:type="dxa"/>
          <w:shd w:val="clear" w:color="auto" w:fill="auto"/>
          <w:tcMar>
            <w:top w:w="240" w:type="dxa"/>
            <w:left w:w="108" w:type="dxa"/>
            <w:bottom w:w="0" w:type="dxa"/>
            <w:right w:w="108" w:type="dxa"/>
          </w:tcMar>
        </w:tcPr>
        <w:p w14:paraId="16B2D02A" w14:textId="77777777" w:rsidR="00422B6B" w:rsidRDefault="0054044C">
          <w:pPr>
            <w:pStyle w:val="Peudepgina"/>
            <w:spacing w:after="0" w:line="240" w:lineRule="auto"/>
            <w:rPr>
              <w:rFonts w:ascii="Noto Sans" w:hAnsi="Noto Sans" w:cs="Noto Sans"/>
            </w:rPr>
          </w:pPr>
          <w:r>
            <w:rPr>
              <w:rFonts w:ascii="Noto Sans" w:hAnsi="Noto Sans"/>
            </w:rPr>
            <w:t xml:space="preserve">Plaça </w:t>
          </w:r>
          <w:r>
            <w:rPr>
              <w:rFonts w:ascii="Noto Sans" w:hAnsi="Noto Sans"/>
            </w:rPr>
            <w:t>de Son Castelló, 1</w:t>
          </w:r>
        </w:p>
        <w:p w14:paraId="64E89B3F"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4A989E5F"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5C007E39" w14:textId="77777777" w:rsidR="00422B6B" w:rsidRDefault="0054044C">
          <w:pPr>
            <w:pStyle w:val="Peudepgina"/>
            <w:spacing w:after="0" w:line="240" w:lineRule="auto"/>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19F73723" w14:textId="77777777" w:rsidR="00422B6B" w:rsidRDefault="002370D8">
          <w:pPr>
            <w:pStyle w:val="Peudepgina"/>
            <w:jc w:val="center"/>
          </w:pPr>
        </w:p>
      </w:tc>
      <w:tc>
        <w:tcPr>
          <w:tcW w:w="2723" w:type="dxa"/>
          <w:shd w:val="clear" w:color="auto" w:fill="auto"/>
          <w:tcMar>
            <w:top w:w="240" w:type="dxa"/>
            <w:left w:w="108" w:type="dxa"/>
            <w:bottom w:w="0" w:type="dxa"/>
            <w:right w:w="108" w:type="dxa"/>
          </w:tcMar>
        </w:tcPr>
        <w:p w14:paraId="3C0AF8CE" w14:textId="77777777" w:rsidR="00422B6B" w:rsidRDefault="002370D8">
          <w:pPr>
            <w:pStyle w:val="Peudepgina"/>
          </w:pPr>
        </w:p>
      </w:tc>
    </w:tr>
  </w:tbl>
  <w:p w14:paraId="3CB71266" w14:textId="77777777" w:rsidR="00422B6B" w:rsidRDefault="002370D8">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838E" w14:textId="77777777" w:rsidR="00D3047C" w:rsidRDefault="00D3047C">
      <w:pPr>
        <w:spacing w:after="0" w:line="240" w:lineRule="auto"/>
      </w:pPr>
      <w:r>
        <w:rPr>
          <w:color w:val="000000"/>
        </w:rPr>
        <w:separator/>
      </w:r>
    </w:p>
  </w:footnote>
  <w:footnote w:type="continuationSeparator" w:id="0">
    <w:p w14:paraId="35C0E882" w14:textId="77777777" w:rsidR="00D3047C" w:rsidRDefault="00D3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8BC" w14:textId="77777777" w:rsidR="00422B6B" w:rsidRDefault="0054044C">
    <w:pPr>
      <w:pStyle w:val="Header"/>
    </w:pPr>
    <w:r>
      <w:rPr>
        <w:noProof/>
      </w:rPr>
      <w:drawing>
        <wp:anchor distT="0" distB="0" distL="114300" distR="114300" simplePos="0" relativeHeight="251659264" behindDoc="0" locked="0" layoutInCell="1" allowOverlap="1" wp14:anchorId="77E209DD" wp14:editId="35A159F9">
          <wp:simplePos x="0" y="0"/>
          <wp:positionH relativeFrom="column">
            <wp:posOffset>-1153799</wp:posOffset>
          </wp:positionH>
          <wp:positionV relativeFrom="paragraph">
            <wp:posOffset>-135888</wp:posOffset>
          </wp:positionV>
          <wp:extent cx="542925" cy="1590671"/>
          <wp:effectExtent l="0" t="0" r="0" b="0"/>
          <wp:wrapNone/>
          <wp:docPr id="1" name="2 Imagen" descr="Govern_simplifica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925" cy="1590671"/>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C77" w14:textId="77777777" w:rsidR="00422B6B" w:rsidRDefault="0054044C">
    <w:pPr>
      <w:pStyle w:val="Header"/>
      <w:spacing w:after="2700"/>
      <w:ind w:left="-1843"/>
    </w:pPr>
    <w:r>
      <w:rPr>
        <w:noProof/>
      </w:rPr>
      <w:drawing>
        <wp:inline distT="0" distB="0" distL="0" distR="0" wp14:anchorId="0A057483" wp14:editId="0E536AE8">
          <wp:extent cx="2494163" cy="1845826"/>
          <wp:effectExtent l="0" t="0" r="1387" b="2024"/>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4163" cy="184582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473B"/>
    <w:multiLevelType w:val="multilevel"/>
    <w:tmpl w:val="DE4EFA50"/>
    <w:lvl w:ilvl="0">
      <w:start w:val="1"/>
      <w:numFmt w:val="lowerLetter"/>
      <w:lvlText w:val="%1)"/>
      <w:lvlJc w:val="left"/>
      <w:pPr>
        <w:ind w:left="360" w:hanging="360"/>
      </w:pPr>
      <w:rPr>
        <w: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0B10717"/>
    <w:multiLevelType w:val="multilevel"/>
    <w:tmpl w:val="35F8B2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124544">
    <w:abstractNumId w:val="1"/>
  </w:num>
  <w:num w:numId="2" w16cid:durableId="49796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CC"/>
    <w:rsid w:val="001257A1"/>
    <w:rsid w:val="001423CC"/>
    <w:rsid w:val="002370D8"/>
    <w:rsid w:val="0054044C"/>
    <w:rsid w:val="00660960"/>
    <w:rsid w:val="00CD0482"/>
    <w:rsid w:val="00D30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FAE2"/>
  <w15:docId w15:val="{38D3907C-5E92-4C4E-8421-DAD1C17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character" w:customStyle="1" w:styleId="EncabezadoCar">
    <w:name w:val="Encabezado Car"/>
    <w:basedOn w:val="DefaultParagraphFont"/>
    <w:rPr>
      <w:rFonts w:ascii="Noto Sans" w:hAnsi="Noto Sans"/>
    </w:rPr>
  </w:style>
  <w:style w:type="paragraph" w:styleId="Footer">
    <w:name w:val="footer"/>
    <w:basedOn w:val="Normal"/>
    <w:pPr>
      <w:tabs>
        <w:tab w:val="center" w:pos="4252"/>
        <w:tab w:val="right" w:pos="8504"/>
      </w:tabs>
    </w:pPr>
  </w:style>
  <w:style w:type="character" w:customStyle="1" w:styleId="PiedepginaCar">
    <w:name w:val="Pie de página Car"/>
    <w:basedOn w:val="DefaultParagraphFont"/>
    <w:rPr>
      <w:rFonts w:ascii="Noto Sans" w:hAnsi="Noto Sans"/>
    </w:rPr>
  </w:style>
  <w:style w:type="paragraph" w:styleId="BalloonText">
    <w:name w:val="Balloon Text"/>
    <w:basedOn w:val="Normal"/>
    <w:rPr>
      <w:rFonts w:ascii="Tahoma" w:hAnsi="Tahoma" w:cs="Tahoma"/>
      <w:sz w:val="16"/>
      <w:szCs w:val="16"/>
    </w:rPr>
  </w:style>
  <w:style w:type="character" w:customStyle="1" w:styleId="TextodegloboCar">
    <w:name w:val="Texto de globo Car"/>
    <w:basedOn w:val="DefaultParagraphFont"/>
    <w:rPr>
      <w:rFonts w:ascii="Tahoma" w:hAnsi="Tahoma" w:cs="Tahoma"/>
      <w:sz w:val="16"/>
      <w:szCs w:val="16"/>
    </w:rPr>
  </w:style>
  <w:style w:type="paragraph" w:customStyle="1" w:styleId="Peudepgina">
    <w:name w:val="Peu de pàgina"/>
    <w:basedOn w:val="Normal"/>
    <w:pPr>
      <w:widowControl w:val="0"/>
      <w:autoSpaceDE w:val="0"/>
      <w:spacing w:line="220" w:lineRule="atLeast"/>
    </w:pPr>
    <w:rPr>
      <w:rFonts w:eastAsia="Times New Roman" w:cs="Bariol Regular"/>
      <w:sz w:val="15"/>
      <w:szCs w:val="15"/>
      <w:lang w:eastAsia="es-ES"/>
    </w:rPr>
  </w:style>
  <w:style w:type="character" w:styleId="Hyperlink">
    <w:name w:val="Hyperlink"/>
    <w:basedOn w:val="DefaultParagraphFont"/>
    <w:rPr>
      <w:color w:val="0000FF"/>
      <w:u w:val="single"/>
    </w:rPr>
  </w:style>
  <w:style w:type="paragraph" w:customStyle="1" w:styleId="Nmerodepgina">
    <w:name w:val="Número de pàgina"/>
    <w:basedOn w:val="Peudepgina"/>
    <w:pPr>
      <w:jc w:val="right"/>
    </w:pPr>
    <w:rPr>
      <w:sz w:val="18"/>
      <w:szCs w:val="1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xtocomentarioCar">
    <w:name w:val="Texto comentario Car"/>
    <w:basedOn w:val="DefaultParagraphFont"/>
    <w:rPr>
      <w:rFonts w:cs="Arial"/>
      <w:lang w:val="cs-CZ" w:eastAsia="en-US"/>
    </w:rPr>
  </w:style>
  <w:style w:type="paragraph" w:styleId="CommentSubject">
    <w:name w:val="annotation subject"/>
    <w:basedOn w:val="CommentText"/>
    <w:next w:val="CommentText"/>
    <w:rPr>
      <w:b/>
      <w:bCs/>
    </w:rPr>
  </w:style>
  <w:style w:type="character" w:customStyle="1" w:styleId="AsuntodelcomentarioCar">
    <w:name w:val="Asunto del comentario Car"/>
    <w:basedOn w:val="TextocomentarioCar"/>
    <w:rPr>
      <w:rFonts w:cs="Arial"/>
      <w:b/>
      <w:bCs/>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5037</Words>
  <Characters>28717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u107343</dc:creator>
  <cp:lastModifiedBy>Liana Brili</cp:lastModifiedBy>
  <cp:revision>6</cp:revision>
  <dcterms:created xsi:type="dcterms:W3CDTF">2022-09-16T09:45:00Z</dcterms:created>
  <dcterms:modified xsi:type="dcterms:W3CDTF">2022-10-01T14:30:00Z</dcterms:modified>
</cp:coreProperties>
</file>