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CC3C5A" w14:textId="1FA4CD5E" w:rsidR="007A362B" w:rsidRDefault="007A362B" w:rsidP="007A362B">
      <w:pPr>
        <w:pStyle w:val="Header"/>
      </w:pPr>
      <w:r>
        <w:rPr>
          <w:szCs w:val="20"/>
          <w:rFonts w:ascii="Courier New" w:hAnsi="Courier New"/>
        </w:rPr>
        <w:t xml:space="preserve">1.</w:t>
      </w:r>
      <w:r>
        <w:rPr>
          <w:szCs w:val="20"/>
          <w:rFonts w:ascii="Courier New" w:hAnsi="Courier New"/>
        </w:rPr>
        <w:t xml:space="preserve"> </w:t>
      </w:r>
      <w:r>
        <w:rPr>
          <w:szCs w:val="20"/>
          <w:rFonts w:ascii="Courier New" w:hAnsi="Courier New"/>
        </w:rPr>
        <w:t xml:space="preserve">------IND- 2020 0401 F-- SL- ------ 202000706 --- --- OSNUTEK</w:t>
      </w:r>
    </w:p>
    <w:p w14:paraId="01AA790E" w14:textId="25E09F94" w:rsidR="00C43AFA" w:rsidRDefault="00C43AFA">
      <w:pPr>
        <w:rPr>
          <w:rFonts w:ascii="Times New Roman" w:eastAsia="Lucida Sans Unicode" w:hAnsi="Times New Roman" w:cs="Times New Roman"/>
          <w:b/>
          <w:bCs/>
          <w:sz w:val="24"/>
          <w:szCs w:val="24"/>
          <w:lang w:eastAsia="fr-FR"/>
        </w:rPr>
      </w:pPr>
    </w:p>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527"/>
        <w:gridCol w:w="968"/>
        <w:gridCol w:w="1487"/>
      </w:tblGrid>
      <w:tr w:rsidR="00C43AFA" w:rsidRPr="00C32FE3" w14:paraId="17D2C247" w14:textId="77777777" w:rsidTr="00F21523">
        <w:trPr>
          <w:cantSplit/>
        </w:trPr>
        <w:tc>
          <w:tcPr>
            <w:tcW w:w="3982" w:type="dxa"/>
            <w:gridSpan w:val="3"/>
          </w:tcPr>
          <w:p w14:paraId="164608F8" w14:textId="77777777" w:rsidR="00C43AFA" w:rsidRPr="00C32FE3" w:rsidRDefault="00C43AFA" w:rsidP="00F21523">
            <w:pPr>
              <w:pStyle w:val="SNREPUBLIQUE"/>
              <w:jc w:val="left"/>
            </w:pPr>
            <w:r>
              <w:t xml:space="preserve">FRANCOSKA REPUBLIKA</w:t>
            </w:r>
          </w:p>
        </w:tc>
      </w:tr>
      <w:tr w:rsidR="00C43AFA" w:rsidRPr="00C32FE3" w14:paraId="688054A8" w14:textId="77777777" w:rsidTr="00F21523">
        <w:trPr>
          <w:cantSplit/>
          <w:trHeight w:hRule="exact" w:val="113"/>
        </w:trPr>
        <w:tc>
          <w:tcPr>
            <w:tcW w:w="1527" w:type="dxa"/>
          </w:tcPr>
          <w:p w14:paraId="0B73C968" w14:textId="77777777" w:rsidR="00C43AFA" w:rsidRPr="00C32FE3" w:rsidRDefault="00C43AFA" w:rsidP="00F21523">
            <w:pPr>
              <w:spacing w:after="0" w:line="240" w:lineRule="auto"/>
            </w:pPr>
          </w:p>
        </w:tc>
        <w:tc>
          <w:tcPr>
            <w:tcW w:w="968" w:type="dxa"/>
            <w:tcBorders>
              <w:bottom w:val="single" w:sz="1" w:space="0" w:color="000000"/>
            </w:tcBorders>
          </w:tcPr>
          <w:p w14:paraId="74024351" w14:textId="77777777" w:rsidR="00C43AFA" w:rsidRPr="00C32FE3" w:rsidRDefault="00C43AFA" w:rsidP="00F21523">
            <w:pPr>
              <w:spacing w:after="0" w:line="240" w:lineRule="auto"/>
            </w:pPr>
          </w:p>
        </w:tc>
        <w:tc>
          <w:tcPr>
            <w:tcW w:w="1487" w:type="dxa"/>
          </w:tcPr>
          <w:p w14:paraId="15DD5E88" w14:textId="77777777" w:rsidR="00C43AFA" w:rsidRPr="00C32FE3" w:rsidRDefault="00C43AFA" w:rsidP="00F21523">
            <w:pPr>
              <w:spacing w:after="0" w:line="240" w:lineRule="auto"/>
            </w:pPr>
          </w:p>
        </w:tc>
      </w:tr>
      <w:tr w:rsidR="00C43AFA" w:rsidRPr="00C32FE3" w14:paraId="1537ECB6" w14:textId="77777777" w:rsidTr="00F21523">
        <w:trPr>
          <w:cantSplit/>
        </w:trPr>
        <w:tc>
          <w:tcPr>
            <w:tcW w:w="3982" w:type="dxa"/>
            <w:gridSpan w:val="3"/>
          </w:tcPr>
          <w:p w14:paraId="1E3C954A" w14:textId="77777777" w:rsidR="00C43AFA" w:rsidRPr="00C32FE3" w:rsidRDefault="00C43AFA" w:rsidP="00F21523">
            <w:pPr>
              <w:pStyle w:val="SNTimbre"/>
              <w:spacing w:before="0"/>
            </w:pPr>
            <w:r>
              <w:t xml:space="preserve">Ministrstvo za ekološko in solidarnostno preoblikovanje</w:t>
            </w:r>
          </w:p>
        </w:tc>
      </w:tr>
      <w:tr w:rsidR="00C43AFA" w:rsidRPr="00C32FE3" w14:paraId="237C9D9A" w14:textId="77777777" w:rsidTr="00F21523">
        <w:trPr>
          <w:cantSplit/>
          <w:trHeight w:hRule="exact" w:val="227"/>
        </w:trPr>
        <w:tc>
          <w:tcPr>
            <w:tcW w:w="1527" w:type="dxa"/>
          </w:tcPr>
          <w:p w14:paraId="1D80B7C5" w14:textId="77777777" w:rsidR="00C43AFA" w:rsidRPr="00C32FE3" w:rsidRDefault="00C43AFA" w:rsidP="00F21523">
            <w:pPr>
              <w:spacing w:after="0" w:line="240" w:lineRule="auto"/>
            </w:pPr>
          </w:p>
        </w:tc>
        <w:tc>
          <w:tcPr>
            <w:tcW w:w="968" w:type="dxa"/>
            <w:tcBorders>
              <w:bottom w:val="single" w:sz="1" w:space="0" w:color="000000"/>
            </w:tcBorders>
          </w:tcPr>
          <w:p w14:paraId="6E16B623" w14:textId="77777777" w:rsidR="00C43AFA" w:rsidRPr="00C32FE3" w:rsidRDefault="00C43AFA" w:rsidP="00F21523">
            <w:pPr>
              <w:spacing w:after="0" w:line="240" w:lineRule="auto"/>
            </w:pPr>
          </w:p>
        </w:tc>
        <w:tc>
          <w:tcPr>
            <w:tcW w:w="1487" w:type="dxa"/>
          </w:tcPr>
          <w:p w14:paraId="7856580B" w14:textId="77777777" w:rsidR="00C43AFA" w:rsidRPr="00C32FE3" w:rsidRDefault="00C43AFA" w:rsidP="00F21523">
            <w:pPr>
              <w:spacing w:after="0" w:line="240" w:lineRule="auto"/>
            </w:pPr>
          </w:p>
        </w:tc>
      </w:tr>
      <w:tr w:rsidR="00C43AFA" w:rsidRPr="00C32FE3" w14:paraId="32E35054" w14:textId="77777777" w:rsidTr="00F21523">
        <w:trPr>
          <w:cantSplit/>
          <w:trHeight w:hRule="exact" w:val="227"/>
        </w:trPr>
        <w:tc>
          <w:tcPr>
            <w:tcW w:w="1527" w:type="dxa"/>
          </w:tcPr>
          <w:p w14:paraId="7EB6DD4E" w14:textId="77777777" w:rsidR="00C43AFA" w:rsidRPr="00C32FE3" w:rsidRDefault="00C43AFA" w:rsidP="00F21523">
            <w:pPr>
              <w:spacing w:after="0" w:line="240" w:lineRule="auto"/>
            </w:pPr>
          </w:p>
        </w:tc>
        <w:tc>
          <w:tcPr>
            <w:tcW w:w="968" w:type="dxa"/>
          </w:tcPr>
          <w:p w14:paraId="4854FAA9" w14:textId="77777777" w:rsidR="00C43AFA" w:rsidRPr="00C32FE3" w:rsidRDefault="00C43AFA" w:rsidP="00F21523">
            <w:pPr>
              <w:spacing w:after="0" w:line="240" w:lineRule="auto"/>
            </w:pPr>
          </w:p>
        </w:tc>
        <w:tc>
          <w:tcPr>
            <w:tcW w:w="1487" w:type="dxa"/>
          </w:tcPr>
          <w:p w14:paraId="7F211303" w14:textId="77777777" w:rsidR="00C43AFA" w:rsidRPr="00C32FE3" w:rsidRDefault="00C43AFA" w:rsidP="00F21523">
            <w:pPr>
              <w:spacing w:after="0" w:line="240" w:lineRule="auto"/>
            </w:pPr>
          </w:p>
        </w:tc>
      </w:tr>
    </w:tbl>
    <w:p w14:paraId="042EE64F" w14:textId="77777777" w:rsidR="00C43AFA" w:rsidRDefault="00C43AFA" w:rsidP="00AB34D5">
      <w:pPr>
        <w:pStyle w:val="SNNature"/>
        <w:spacing w:before="0" w:after="0"/>
      </w:pPr>
    </w:p>
    <w:p w14:paraId="090C7E55" w14:textId="22893124" w:rsidR="00BF56AE" w:rsidRPr="00C32FE3" w:rsidRDefault="00BF56AE" w:rsidP="00AB34D5">
      <w:pPr>
        <w:pStyle w:val="SNNature"/>
        <w:spacing w:before="0" w:after="0"/>
      </w:pPr>
      <w:r>
        <w:t xml:space="preserve">Uredba št.                          z dne</w:t>
      </w:r>
    </w:p>
    <w:p w14:paraId="3F5745A4" w14:textId="60E11919" w:rsidR="00BF56AE" w:rsidRDefault="00BF56AE" w:rsidP="00AB34D5">
      <w:pPr>
        <w:pStyle w:val="SNtitre"/>
        <w:spacing w:after="0"/>
      </w:pPr>
      <w:r>
        <w:t xml:space="preserve">o prepovedi določenih plastičnih proizvodov za enkratno uporabo</w:t>
      </w:r>
    </w:p>
    <w:p w14:paraId="368CD14A" w14:textId="77777777" w:rsidR="00AB34D5" w:rsidRPr="00AB34D5" w:rsidRDefault="00AB34D5" w:rsidP="00AB34D5">
      <w:pPr>
        <w:pStyle w:val="SNNORCentr"/>
      </w:pPr>
    </w:p>
    <w:p w14:paraId="1217785A" w14:textId="77777777" w:rsidR="00BF56AE" w:rsidRPr="00C32FE3" w:rsidRDefault="00BF56AE" w:rsidP="00AB34D5">
      <w:pPr>
        <w:pStyle w:val="SNNORCentr"/>
      </w:pPr>
      <w:r>
        <w:t xml:space="preserve">NOR:</w:t>
      </w:r>
      <w:r>
        <w:t xml:space="preserve"> </w:t>
      </w:r>
      <w:r>
        <w:t xml:space="preserve">[</w:t>
      </w:r>
      <w:r>
        <w:rPr>
          <w:highlight w:val="yellow"/>
        </w:rPr>
        <w:t xml:space="preserve">…</w:t>
      </w:r>
      <w:r>
        <w:t xml:space="preserve">]</w:t>
      </w:r>
    </w:p>
    <w:p w14:paraId="6B78614D" w14:textId="77777777" w:rsidR="00AB34D5" w:rsidRDefault="00AB34D5" w:rsidP="00AB34D5">
      <w:pPr>
        <w:pStyle w:val="SNAutorit"/>
        <w:spacing w:before="0" w:after="0"/>
        <w:jc w:val="both"/>
        <w:rPr>
          <w:i/>
        </w:rPr>
      </w:pPr>
    </w:p>
    <w:p w14:paraId="2970CB05" w14:textId="6596F66B" w:rsidR="00BF56AE" w:rsidRPr="007F6479" w:rsidRDefault="00BF56AE" w:rsidP="00AB34D5">
      <w:pPr>
        <w:pStyle w:val="SNAutorit"/>
        <w:spacing w:before="0" w:after="0"/>
        <w:jc w:val="both"/>
        <w:rPr>
          <w:b w:val="0"/>
          <w:i/>
        </w:rPr>
      </w:pPr>
      <w:r>
        <w:rPr>
          <w:i/>
        </w:rPr>
        <w:t xml:space="preserve">Zadevna javnost: </w:t>
      </w:r>
      <w:r>
        <w:rPr>
          <w:i/>
          <w:b w:val="0"/>
        </w:rPr>
        <w:t xml:space="preserve">fizične ali pravne osebe, ki dostavljajo, uporabljajo, distribuirajo ali dajejo na razpolago določene plastične proizvode za enkratno uporabo, bodisi za plačilo ali brezplačno, za potrebe njihove gospodarske dejavnosti.</w:t>
      </w:r>
    </w:p>
    <w:p w14:paraId="3675A849" w14:textId="2C019237" w:rsidR="00AB34D5" w:rsidRDefault="00FA00F0" w:rsidP="00FA00F0">
      <w:pPr>
        <w:pStyle w:val="SNAutorit"/>
        <w:tabs>
          <w:tab w:val="left" w:pos="4280"/>
        </w:tabs>
        <w:spacing w:before="0" w:after="0"/>
        <w:jc w:val="both"/>
        <w:rPr>
          <w:i/>
        </w:rPr>
      </w:pPr>
      <w:r>
        <w:rPr>
          <w:i/>
        </w:rPr>
        <w:tab/>
      </w:r>
    </w:p>
    <w:p w14:paraId="67294CBD" w14:textId="0439BF89" w:rsidR="00BF56AE" w:rsidRPr="00F5602D" w:rsidRDefault="00BF56AE" w:rsidP="00AB34D5">
      <w:pPr>
        <w:pStyle w:val="SNAutorit"/>
        <w:spacing w:before="0" w:after="0"/>
        <w:jc w:val="both"/>
        <w:rPr>
          <w:b w:val="0"/>
          <w:i/>
        </w:rPr>
      </w:pPr>
      <w:r>
        <w:rPr>
          <w:i/>
        </w:rPr>
        <w:t xml:space="preserve">Zadeva: </w:t>
      </w:r>
      <w:r>
        <w:rPr>
          <w:i/>
          <w:b w:val="0"/>
        </w:rPr>
        <w:t xml:space="preserve">pogoji za uporabo prepovedi dajanja na razpolago določenih plastičnih proizvodov za enkratno uporabo.</w:t>
      </w:r>
    </w:p>
    <w:p w14:paraId="72DEBCAF" w14:textId="77777777" w:rsidR="00AB34D5" w:rsidRDefault="00AB34D5" w:rsidP="00AB34D5">
      <w:pPr>
        <w:pStyle w:val="SNAutorit"/>
        <w:spacing w:before="0" w:after="0"/>
        <w:jc w:val="both"/>
        <w:rPr>
          <w:i/>
        </w:rPr>
      </w:pPr>
    </w:p>
    <w:p w14:paraId="3671EB44" w14:textId="49607CF8" w:rsidR="00BF56AE" w:rsidRPr="00C975AF" w:rsidRDefault="00BF56AE" w:rsidP="00AB34D5">
      <w:pPr>
        <w:pStyle w:val="SNAutorit"/>
        <w:spacing w:before="0" w:after="0"/>
        <w:jc w:val="both"/>
        <w:rPr>
          <w:b w:val="0"/>
          <w:i/>
        </w:rPr>
      </w:pPr>
      <w:r>
        <w:rPr>
          <w:i/>
        </w:rPr>
        <w:t xml:space="preserve">Začetek veljavnosti: </w:t>
      </w:r>
      <w:r>
        <w:rPr>
          <w:i/>
          <w:b w:val="0"/>
        </w:rPr>
        <w:t xml:space="preserve">uredba začne veljati dan po objavi, z izjemo določenih določb člena 3, ki začnejo veljati 1. januarja in 3. julija 2021.</w:t>
      </w:r>
      <w:r>
        <w:rPr>
          <w:i/>
          <w:b w:val="0"/>
        </w:rPr>
        <w:t xml:space="preserve"> </w:t>
      </w:r>
    </w:p>
    <w:p w14:paraId="309694BA" w14:textId="77777777" w:rsidR="00AB34D5" w:rsidRDefault="00AB34D5" w:rsidP="00AB34D5">
      <w:pPr>
        <w:pStyle w:val="SNAutorit"/>
        <w:spacing w:before="0" w:after="0"/>
        <w:jc w:val="both"/>
        <w:rPr>
          <w:i/>
        </w:rPr>
      </w:pPr>
    </w:p>
    <w:p w14:paraId="4B5B6C2A" w14:textId="65F98600" w:rsidR="00BF56AE" w:rsidRPr="00214C72" w:rsidRDefault="00BF56AE" w:rsidP="00AB34D5">
      <w:pPr>
        <w:pStyle w:val="SNAutorit"/>
        <w:spacing w:before="0" w:after="0"/>
        <w:jc w:val="both"/>
        <w:rPr>
          <w:b w:val="0"/>
          <w:i/>
        </w:rPr>
      </w:pPr>
      <w:r>
        <w:rPr>
          <w:i/>
        </w:rPr>
        <w:t xml:space="preserve">Obvestilo: </w:t>
      </w:r>
      <w:r>
        <w:rPr>
          <w:i/>
          <w:b w:val="0"/>
        </w:rPr>
        <w:t xml:space="preserve">uredba določa pogoje za uporabo določenih določb Zakona z dne 10. februarja 2020 o preprečevanju nastajanja odpadkov in krožnem gospodarstvu, katerih namen je prepoved dajanja na razpolago določenih plastičnih proizvodov za enkratno uporabo.</w:t>
      </w:r>
    </w:p>
    <w:p w14:paraId="06DB8430" w14:textId="2DD84F42" w:rsidR="00BF56AE" w:rsidRPr="00214C72" w:rsidRDefault="00BF56AE" w:rsidP="00AB34D5">
      <w:pPr>
        <w:pStyle w:val="SNAutorit"/>
        <w:spacing w:before="0" w:after="0"/>
        <w:jc w:val="both"/>
        <w:rPr>
          <w:b w:val="0"/>
          <w:i/>
        </w:rPr>
      </w:pPr>
      <w:r>
        <w:rPr>
          <w:b w:val="0"/>
          <w:i/>
        </w:rPr>
        <w:t xml:space="preserve">Pojasnjuje prepovedi, ki se nanašajo na določene plastične proizvode za enkratno uporabo v skladu z novimi prepovedmi, ki so sprejete v okviru zakona.</w:t>
      </w:r>
      <w:r>
        <w:rPr>
          <w:b w:val="0"/>
          <w:i/>
        </w:rPr>
        <w:t xml:space="preserve"> </w:t>
      </w:r>
      <w:r>
        <w:rPr>
          <w:b w:val="0"/>
          <w:i/>
        </w:rPr>
        <w:t xml:space="preserve">Dajanje na razpolago plastičnih proizvodov za enkratno uporabo, kot določa zakon, se prepove postopoma po odstranitvi zalog in najpozneje 1. julija 2021.</w:t>
      </w:r>
    </w:p>
    <w:p w14:paraId="420714E0" w14:textId="77777777" w:rsidR="00AB34D5" w:rsidRDefault="00AB34D5" w:rsidP="00AB34D5">
      <w:pPr>
        <w:pStyle w:val="SNAutorit"/>
        <w:spacing w:before="0" w:after="0"/>
        <w:jc w:val="both"/>
        <w:rPr>
          <w:i/>
        </w:rPr>
      </w:pPr>
    </w:p>
    <w:p w14:paraId="5449D818" w14:textId="1BD47E89" w:rsidR="00BF56AE" w:rsidRPr="000D7A23" w:rsidRDefault="00BF56AE" w:rsidP="00AB34D5">
      <w:pPr>
        <w:pStyle w:val="SNAutorit"/>
        <w:spacing w:before="0" w:after="0"/>
        <w:jc w:val="both"/>
        <w:rPr>
          <w:b w:val="0"/>
          <w:i/>
        </w:rPr>
      </w:pPr>
      <w:r>
        <w:rPr>
          <w:i/>
        </w:rPr>
        <w:t xml:space="preserve">Referenčno besedilo: </w:t>
      </w:r>
      <w:r>
        <w:rPr>
          <w:i/>
          <w:b w:val="0"/>
        </w:rPr>
        <w:t xml:space="preserve">Okoljski zakonik, spremenjen s to uredbo, je na voljo v ubeseditvi, ki izhaja iz te spremembe, na spletni strani Légifrance (</w:t>
      </w:r>
      <w:hyperlink r:id="rId8" w:history="1">
        <w:r>
          <w:rPr>
            <w:rStyle w:val="Hyperlink"/>
            <w:b w:val="0"/>
            <w:i/>
          </w:rPr>
          <w:t xml:space="preserve">https://www.legifrance.gouv.fr</w:t>
        </w:r>
      </w:hyperlink>
      <w:r>
        <w:rPr>
          <w:b w:val="0"/>
          <w:i/>
        </w:rPr>
        <w:t xml:space="preserve">).</w:t>
      </w:r>
      <w:r>
        <w:rPr>
          <w:b w:val="0"/>
          <w:i/>
        </w:rPr>
        <w:t xml:space="preserve"> </w:t>
      </w:r>
    </w:p>
    <w:p w14:paraId="5BEE5288" w14:textId="77777777" w:rsidR="00AB34D5" w:rsidRDefault="00AB34D5" w:rsidP="00AB34D5">
      <w:pPr>
        <w:pStyle w:val="SNAutorit"/>
        <w:spacing w:before="0" w:after="0"/>
      </w:pPr>
    </w:p>
    <w:p w14:paraId="3A8E8C3A" w14:textId="12D04B88" w:rsidR="00BF56AE" w:rsidRPr="00C32FE3" w:rsidRDefault="00BF56AE" w:rsidP="00AB34D5">
      <w:pPr>
        <w:pStyle w:val="SNAutorit"/>
        <w:spacing w:before="0" w:after="0"/>
      </w:pPr>
      <w:r>
        <w:t xml:space="preserve">Predsednik vlade –</w:t>
      </w:r>
    </w:p>
    <w:p w14:paraId="3E140B21" w14:textId="77777777" w:rsidR="00AB34D5" w:rsidRDefault="00AB34D5" w:rsidP="00AB34D5">
      <w:pPr>
        <w:pStyle w:val="SNRapport"/>
        <w:spacing w:before="0" w:after="0"/>
        <w:jc w:val="both"/>
      </w:pPr>
    </w:p>
    <w:p w14:paraId="09A65F1F" w14:textId="527C39A9" w:rsidR="00BF56AE" w:rsidRPr="00C32FE3" w:rsidRDefault="00BF56AE" w:rsidP="00AB34D5">
      <w:pPr>
        <w:pStyle w:val="SNRapport"/>
        <w:spacing w:before="0" w:after="0"/>
        <w:jc w:val="both"/>
      </w:pPr>
      <w:r>
        <w:t xml:space="preserve">na podlagi poročila ministra za ekološko in solidarnostno preoblikovanje;</w:t>
      </w:r>
    </w:p>
    <w:p w14:paraId="52C96263" w14:textId="77777777" w:rsidR="00AB34D5" w:rsidRDefault="00AB34D5" w:rsidP="00AB34D5">
      <w:pPr>
        <w:pStyle w:val="SNVisa"/>
        <w:spacing w:before="0" w:after="0"/>
      </w:pPr>
    </w:p>
    <w:p w14:paraId="471CCDAC" w14:textId="77777777" w:rsidR="00AB34D5" w:rsidRDefault="00AB34D5" w:rsidP="00AB34D5">
      <w:pPr>
        <w:pStyle w:val="SNVisa"/>
        <w:spacing w:before="0" w:after="0"/>
      </w:pPr>
    </w:p>
    <w:p w14:paraId="1ED39580" w14:textId="77777777" w:rsidR="00AB34D5" w:rsidRDefault="00AB34D5" w:rsidP="00AB34D5">
      <w:pPr>
        <w:pStyle w:val="SNVisa"/>
        <w:spacing w:before="0" w:after="0"/>
      </w:pPr>
    </w:p>
    <w:p w14:paraId="2E031BA4" w14:textId="2A15BBD5" w:rsidR="002F2D08" w:rsidRPr="002F2D08" w:rsidRDefault="002F2D08" w:rsidP="00AB34D5">
      <w:pPr>
        <w:pStyle w:val="SNVisa"/>
        <w:spacing w:before="0" w:after="0"/>
      </w:pPr>
      <w:r>
        <w:t xml:space="preserve">ob upoštevanju Direktive Sveta 90/385/EGS o približevanju zakonodaje držav članic o aktivnih medicinskih pripomočkih za vsaditev;</w:t>
      </w:r>
    </w:p>
    <w:p w14:paraId="70C3E71F" w14:textId="77777777" w:rsidR="009666CF" w:rsidRDefault="002F2D08" w:rsidP="009666CF">
      <w:pPr>
        <w:pStyle w:val="SNVisa"/>
        <w:spacing w:before="0" w:after="0"/>
      </w:pPr>
      <w:r>
        <w:rPr>
          <w:highlight w:val="yellow"/>
        </w:rPr>
        <w:br/>
      </w:r>
      <w:r>
        <w:t xml:space="preserve">ob upoštevanju Direktive Sveta 93/42/EGS o medicinskih pripomočkih;</w:t>
      </w:r>
      <w:r>
        <w:t xml:space="preserve"> </w:t>
      </w:r>
    </w:p>
    <w:p w14:paraId="107C9225" w14:textId="7EC543B8" w:rsidR="009666CF" w:rsidRPr="002F2D08" w:rsidRDefault="009666CF" w:rsidP="009666CF">
      <w:pPr>
        <w:pStyle w:val="SNVisa"/>
        <w:spacing w:before="0" w:after="0"/>
      </w:pPr>
      <w:r>
        <w:t xml:space="preserve">ob upoštevanju Direktive Evropskega parlamenta in Sveta 94/62/ES z dne 20. decembra 1994 o embalaži in odpadni embalaži, spremenjene zlasti z Direktivo 2004/12/ES Evropskega parlamenta in Sveta z dne 11. februarja 2004;</w:t>
      </w:r>
    </w:p>
    <w:p w14:paraId="3086451A" w14:textId="77777777" w:rsidR="00AB34D5" w:rsidRDefault="00AB34D5" w:rsidP="00AB34D5">
      <w:pPr>
        <w:pStyle w:val="SNVisa"/>
        <w:spacing w:before="0" w:after="0"/>
      </w:pPr>
    </w:p>
    <w:p w14:paraId="3EF78180" w14:textId="382FE0FE" w:rsidR="009666CF" w:rsidRDefault="009666CF" w:rsidP="009666CF">
      <w:pPr>
        <w:pStyle w:val="SNVisa"/>
        <w:spacing w:before="0" w:after="0"/>
      </w:pPr>
      <w:r>
        <w:t xml:space="preserve">ob upoštevanju Direktive 2008/98/ES Evropskega parlamenta in Sveta z dne 19. novembra 2008 o odpadkih in razveljavitvi nekaterih direktiv;</w:t>
      </w:r>
      <w:r>
        <w:t xml:space="preserve"> </w:t>
      </w:r>
    </w:p>
    <w:p w14:paraId="1FD753C8" w14:textId="77777777" w:rsidR="009666CF" w:rsidRDefault="009666CF" w:rsidP="009666CF">
      <w:pPr>
        <w:pStyle w:val="SNVisa"/>
        <w:spacing w:before="0" w:after="0"/>
      </w:pPr>
    </w:p>
    <w:p w14:paraId="6DDDB110" w14:textId="16CA4CE6" w:rsidR="00BF56AE" w:rsidRDefault="002F2D08" w:rsidP="00AB34D5">
      <w:pPr>
        <w:pStyle w:val="SNVisa"/>
        <w:spacing w:before="0" w:after="0"/>
      </w:pPr>
      <w:r>
        <w:t xml:space="preserve">ob upoštevanju Direktive (EU) 2015/1535 Evropskega parlamenta in Sveta z dne 9. septembra 2015 o določitvi postopka za zbiranje informacij na področju tehničnih predpisov in pravil za storitve informacijske družbe;</w:t>
      </w:r>
    </w:p>
    <w:p w14:paraId="69F4D99C" w14:textId="714D2F81" w:rsidR="00446523" w:rsidRDefault="00446523" w:rsidP="00AB34D5">
      <w:pPr>
        <w:pStyle w:val="SNVisa"/>
        <w:spacing w:before="0" w:after="0"/>
      </w:pPr>
    </w:p>
    <w:p w14:paraId="39244F0A" w14:textId="2ABFC281" w:rsidR="00446523" w:rsidRDefault="00446523" w:rsidP="00446523">
      <w:pPr>
        <w:pStyle w:val="SNVisa"/>
        <w:spacing w:after="0"/>
      </w:pPr>
      <w:r>
        <w:t xml:space="preserve">ob upoštevanju Uredbe (EU) 2017/745 Evropskega parlamenta in Sveta z dne 5. aprila 2017 o medicinskih pripomočkih, spremembi Direktive 2001/83/ES, Uredbe (ES) št. 178/2002 in Uredbe (ES) št. 1223/2009 ter razveljavitvi direktiv Sveta 90/385/EGS in 93/42/EGS;</w:t>
      </w:r>
    </w:p>
    <w:p w14:paraId="0273B220" w14:textId="77777777" w:rsidR="00AB34D5" w:rsidRDefault="00AB34D5" w:rsidP="00AB34D5">
      <w:pPr>
        <w:pStyle w:val="SNVisa"/>
        <w:spacing w:before="0" w:after="0"/>
      </w:pPr>
    </w:p>
    <w:p w14:paraId="6CDE938B" w14:textId="197040D4" w:rsidR="00BF56AE" w:rsidRDefault="00BF56AE" w:rsidP="00AB34D5">
      <w:pPr>
        <w:pStyle w:val="SNVisa"/>
        <w:spacing w:before="0" w:after="0"/>
      </w:pPr>
      <w:r>
        <w:t xml:space="preserve">ob upoštevanju Direktive (EU) 2019/904 Evropskega parlamenta in Sveta z dne 5. junija 2019 o zmanjšanju vpliva nekaterih plastičnih proizvodov na okolje;</w:t>
      </w:r>
    </w:p>
    <w:p w14:paraId="4873B193" w14:textId="77777777" w:rsidR="00AB34D5" w:rsidRDefault="00AB34D5" w:rsidP="00AB34D5">
      <w:pPr>
        <w:pStyle w:val="SNVisa"/>
        <w:spacing w:before="0" w:after="0"/>
      </w:pPr>
    </w:p>
    <w:p w14:paraId="31CF2885" w14:textId="51781068" w:rsidR="00BF56AE" w:rsidRDefault="00BF56AE" w:rsidP="00AB34D5">
      <w:pPr>
        <w:pStyle w:val="SNVisa"/>
        <w:spacing w:before="0" w:after="0"/>
      </w:pPr>
      <w:r>
        <w:t xml:space="preserve">ob upoštevanju Zakona št. 2020-105 z dne 10. februarja 2020 o preprečevanju nastajanja odpadkov in krožnem gospodarstvu, zlasti člena 77;</w:t>
      </w:r>
    </w:p>
    <w:p w14:paraId="26F30DBD" w14:textId="77777777" w:rsidR="00AB34D5" w:rsidRDefault="00AB34D5" w:rsidP="00AB34D5">
      <w:pPr>
        <w:pStyle w:val="SNVisa"/>
        <w:spacing w:before="0" w:after="0"/>
      </w:pPr>
    </w:p>
    <w:p w14:paraId="735234E1" w14:textId="5E881DFB" w:rsidR="00BF56AE" w:rsidRDefault="00BF56AE" w:rsidP="00AB34D5">
      <w:pPr>
        <w:pStyle w:val="SNVisa"/>
        <w:spacing w:before="0" w:after="0"/>
      </w:pPr>
      <w:r>
        <w:t xml:space="preserve">ob upoštevanju Okoljskega zakonika, zlasti člena L. 541-15-10;</w:t>
      </w:r>
    </w:p>
    <w:p w14:paraId="2A461B0A" w14:textId="77777777" w:rsidR="00AB34D5" w:rsidRDefault="00AB34D5" w:rsidP="00AB34D5">
      <w:pPr>
        <w:pStyle w:val="SNVisa"/>
        <w:spacing w:before="0" w:after="0"/>
      </w:pPr>
    </w:p>
    <w:p w14:paraId="33C38F47" w14:textId="70A94EEF" w:rsidR="00BF56AE" w:rsidRPr="00C32FE3" w:rsidRDefault="00BF56AE" w:rsidP="00AB34D5">
      <w:pPr>
        <w:pStyle w:val="SNVisa"/>
        <w:spacing w:before="0" w:after="0"/>
      </w:pPr>
      <w:r>
        <w:t xml:space="preserve">ob upoštevanju uradnega obvestila št. </w:t>
      </w:r>
      <w:r>
        <w:rPr>
          <w:highlight w:val="yellow"/>
        </w:rPr>
        <w:t xml:space="preserve">xxx</w:t>
      </w:r>
      <w:r>
        <w:t xml:space="preserve">, naslovljenega na Evropsko komisijo dne </w:t>
      </w:r>
      <w:r>
        <w:rPr>
          <w:highlight w:val="yellow"/>
        </w:rPr>
        <w:t xml:space="preserve">xxx</w:t>
      </w:r>
      <w:r>
        <w:t xml:space="preserve">;</w:t>
      </w:r>
    </w:p>
    <w:p w14:paraId="0470A652" w14:textId="77777777" w:rsidR="00AB34D5" w:rsidRDefault="00AB34D5" w:rsidP="00AB34D5">
      <w:pPr>
        <w:pStyle w:val="SNConsultation"/>
        <w:spacing w:before="0" w:after="0"/>
      </w:pPr>
    </w:p>
    <w:p w14:paraId="705C743A" w14:textId="1DB00305" w:rsidR="00BF56AE" w:rsidRDefault="00BF56AE" w:rsidP="00AB34D5">
      <w:pPr>
        <w:pStyle w:val="SNConsultation"/>
        <w:spacing w:before="0" w:after="0"/>
      </w:pPr>
      <w:r>
        <w:t xml:space="preserve">ob upoštevanju pripomb, podanih med javnim posvetovanjem, ki je potekalo od </w:t>
      </w:r>
      <w:r>
        <w:rPr>
          <w:highlight w:val="yellow"/>
        </w:rPr>
        <w:t xml:space="preserve">xxx</w:t>
      </w:r>
      <w:r>
        <w:t xml:space="preserve"> do </w:t>
      </w:r>
      <w:r>
        <w:rPr>
          <w:highlight w:val="yellow"/>
        </w:rPr>
        <w:t xml:space="preserve">xxx</w:t>
      </w:r>
      <w:r>
        <w:t xml:space="preserve">, na podlagi člena L. 123-19-1 Okoljskega zakonika –</w:t>
      </w:r>
    </w:p>
    <w:p w14:paraId="0D5C10BD" w14:textId="669E5330" w:rsidR="00BF56AE" w:rsidRDefault="00BF56AE" w:rsidP="00AB34D5">
      <w:pPr>
        <w:spacing w:after="0" w:line="240" w:lineRule="auto"/>
        <w:jc w:val="center"/>
        <w:rPr>
          <w:rFonts w:ascii="Times New Roman" w:eastAsia="Times New Roman" w:hAnsi="Times New Roman" w:cs="Times New Roman"/>
          <w:b/>
          <w:sz w:val="24"/>
          <w:szCs w:val="24"/>
          <w:u w:val="single"/>
          <w:lang w:eastAsia="fr-FR"/>
        </w:rPr>
      </w:pPr>
    </w:p>
    <w:p w14:paraId="62EA4BFA" w14:textId="77777777" w:rsidR="00807CC7" w:rsidRDefault="00807CC7" w:rsidP="00AB34D5">
      <w:pPr>
        <w:spacing w:after="0" w:line="240" w:lineRule="auto"/>
        <w:jc w:val="center"/>
        <w:rPr>
          <w:rFonts w:ascii="Times New Roman" w:eastAsia="Times New Roman" w:hAnsi="Times New Roman" w:cs="Times New Roman"/>
          <w:b/>
          <w:sz w:val="24"/>
          <w:szCs w:val="24"/>
          <w:u w:val="single"/>
          <w:lang w:eastAsia="fr-FR"/>
        </w:rPr>
      </w:pPr>
    </w:p>
    <w:p w14:paraId="3045B738" w14:textId="5196482F" w:rsidR="00C271D8" w:rsidRPr="00782886" w:rsidRDefault="00C271D8" w:rsidP="00AB34D5">
      <w:pPr>
        <w:spacing w:after="0" w:line="240" w:lineRule="auto"/>
        <w:jc w:val="center"/>
        <w:rPr>
          <w:b/>
          <w:sz w:val="24"/>
          <w:szCs w:val="24"/>
          <w:u w:val="single"/>
          <w:rFonts w:ascii="Times New Roman" w:eastAsia="Times New Roman" w:hAnsi="Times New Roman" w:cs="Times New Roman"/>
        </w:rPr>
      </w:pPr>
      <w:r>
        <w:rPr>
          <w:b/>
          <w:sz w:val="24"/>
          <w:szCs w:val="24"/>
          <w:u w:val="single"/>
          <w:rFonts w:ascii="Times New Roman" w:hAnsi="Times New Roman"/>
        </w:rPr>
        <w:t xml:space="preserve">Člen 1</w:t>
      </w:r>
    </w:p>
    <w:p w14:paraId="5E5169B1" w14:textId="77777777" w:rsidR="00AB34D5" w:rsidRDefault="00AB34D5" w:rsidP="00AB34D5">
      <w:pPr>
        <w:spacing w:after="0" w:line="240" w:lineRule="auto"/>
        <w:jc w:val="both"/>
        <w:rPr>
          <w:rFonts w:ascii="Times New Roman" w:hAnsi="Times New Roman" w:cs="Times New Roman"/>
          <w:sz w:val="24"/>
          <w:szCs w:val="24"/>
        </w:rPr>
      </w:pPr>
    </w:p>
    <w:p w14:paraId="401E8AD1" w14:textId="5A7C1717" w:rsidR="00D8658F" w:rsidRPr="00782886" w:rsidRDefault="004863CC" w:rsidP="00AB34D5">
      <w:pPr>
        <w:spacing w:after="0" w:line="240" w:lineRule="auto"/>
        <w:jc w:val="both"/>
        <w:rPr>
          <w:sz w:val="24"/>
          <w:szCs w:val="24"/>
          <w:rFonts w:ascii="Times New Roman" w:eastAsia="Times New Roman" w:hAnsi="Times New Roman" w:cs="Times New Roman"/>
        </w:rPr>
      </w:pPr>
      <w:r>
        <w:rPr>
          <w:sz w:val="24"/>
          <w:szCs w:val="24"/>
          <w:rFonts w:ascii="Times New Roman" w:hAnsi="Times New Roman"/>
        </w:rPr>
        <w:t xml:space="preserve">Oddelek 21 poglavja III naslova IV knjige V normativnega dela Okoljskega zakonika se spremeni:</w:t>
      </w:r>
    </w:p>
    <w:p w14:paraId="518916CF" w14:textId="77777777" w:rsidR="00AB34D5" w:rsidRDefault="00AB34D5" w:rsidP="00AB34D5">
      <w:pPr>
        <w:spacing w:after="0" w:line="240" w:lineRule="auto"/>
        <w:jc w:val="both"/>
        <w:rPr>
          <w:rFonts w:ascii="Times New Roman" w:eastAsia="Times New Roman" w:hAnsi="Times New Roman" w:cs="Times New Roman"/>
          <w:sz w:val="24"/>
          <w:szCs w:val="24"/>
          <w:lang w:eastAsia="fr-FR"/>
        </w:rPr>
      </w:pPr>
    </w:p>
    <w:p w14:paraId="0EFC01F3" w14:textId="17CCD2FB" w:rsidR="00625B91" w:rsidRDefault="006C33BB" w:rsidP="00AB34D5">
      <w:pPr>
        <w:spacing w:after="0" w:line="240" w:lineRule="auto"/>
        <w:jc w:val="both"/>
        <w:rPr>
          <w:sz w:val="24"/>
          <w:szCs w:val="24"/>
          <w:rFonts w:ascii="Times New Roman" w:eastAsia="Times New Roman" w:hAnsi="Times New Roman" w:cs="Times New Roman"/>
        </w:rPr>
      </w:pPr>
      <w:r>
        <w:rPr>
          <w:sz w:val="24"/>
          <w:szCs w:val="24"/>
          <w:rFonts w:ascii="Times New Roman" w:hAnsi="Times New Roman"/>
        </w:rPr>
        <w:t xml:space="preserve">1. V 1. točki člena D. 543-294 se sklicevanje na člen L. 541-10-5 nadomesti s sklicevanjem na člen  L. 541-15-10;</w:t>
      </w:r>
    </w:p>
    <w:p w14:paraId="27C6B1D0" w14:textId="0CA04F1C" w:rsidR="00625B91" w:rsidRDefault="00625B91" w:rsidP="00AB34D5">
      <w:pPr>
        <w:spacing w:after="0" w:line="240" w:lineRule="auto"/>
        <w:jc w:val="both"/>
        <w:rPr>
          <w:rFonts w:ascii="Times New Roman" w:eastAsia="Times New Roman" w:hAnsi="Times New Roman" w:cs="Times New Roman"/>
          <w:sz w:val="24"/>
          <w:szCs w:val="24"/>
          <w:lang w:eastAsia="fr-FR"/>
        </w:rPr>
      </w:pPr>
    </w:p>
    <w:p w14:paraId="7D0790C7" w14:textId="72994450" w:rsidR="00625B91" w:rsidRDefault="00625B91" w:rsidP="00D33AD9">
      <w:pPr>
        <w:spacing w:after="0" w:line="240" w:lineRule="auto"/>
        <w:jc w:val="both"/>
        <w:rPr>
          <w:sz w:val="24"/>
          <w:szCs w:val="24"/>
          <w:rFonts w:ascii="Times New Roman" w:eastAsia="Times New Roman" w:hAnsi="Times New Roman" w:cs="Times New Roman"/>
        </w:rPr>
      </w:pPr>
      <w:r>
        <w:rPr>
          <w:sz w:val="24"/>
          <w:szCs w:val="24"/>
          <w:rFonts w:ascii="Times New Roman" w:hAnsi="Times New Roman"/>
        </w:rPr>
        <w:t xml:space="preserve">2. 1. točka člena D. 543-294 se dopolni z naslednjim besedilom:</w:t>
      </w:r>
      <w:r>
        <w:rPr>
          <w:sz w:val="24"/>
          <w:szCs w:val="24"/>
          <w:rFonts w:ascii="Times New Roman" w:hAnsi="Times New Roman"/>
        </w:rPr>
        <w:t xml:space="preserve"> </w:t>
      </w:r>
      <w:r>
        <w:rPr>
          <w:sz w:val="24"/>
          <w:szCs w:val="24"/>
          <w:rFonts w:ascii="Times New Roman" w:hAnsi="Times New Roman"/>
        </w:rPr>
        <w:t xml:space="preserve">„premazov, črnil in lepil“;</w:t>
      </w:r>
    </w:p>
    <w:p w14:paraId="207FDFBD" w14:textId="77777777" w:rsidR="00AB34D5" w:rsidRDefault="00AB34D5" w:rsidP="00AB34D5">
      <w:pPr>
        <w:spacing w:after="0" w:line="240" w:lineRule="auto"/>
        <w:jc w:val="both"/>
        <w:rPr>
          <w:rFonts w:ascii="Times New Roman" w:hAnsi="Times New Roman" w:cs="Times New Roman"/>
          <w:sz w:val="24"/>
          <w:szCs w:val="24"/>
        </w:rPr>
      </w:pPr>
    </w:p>
    <w:p w14:paraId="7BEDD7AD" w14:textId="161614ED" w:rsidR="00AB34D5" w:rsidRDefault="00625B91" w:rsidP="00AB34D5">
      <w:pPr>
        <w:spacing w:after="0" w:line="240" w:lineRule="auto"/>
        <w:jc w:val="both"/>
        <w:rPr>
          <w:sz w:val="24"/>
          <w:szCs w:val="24"/>
          <w:rFonts w:ascii="Times New Roman" w:hAnsi="Times New Roman" w:cs="Times New Roman"/>
        </w:rPr>
      </w:pPr>
      <w:r>
        <w:rPr>
          <w:sz w:val="24"/>
          <w:szCs w:val="24"/>
          <w:rFonts w:ascii="Times New Roman" w:hAnsi="Times New Roman"/>
        </w:rPr>
        <w:t xml:space="preserve">3. 6. točka člena D. 543-294 se nadomesti z naslednjo točko:</w:t>
      </w:r>
      <w:r>
        <w:rPr>
          <w:sz w:val="24"/>
          <w:szCs w:val="24"/>
          <w:rFonts w:ascii="Times New Roman" w:hAnsi="Times New Roman"/>
        </w:rPr>
        <w:t xml:space="preserve"> </w:t>
      </w:r>
    </w:p>
    <w:p w14:paraId="0E8344EB" w14:textId="77777777" w:rsidR="00AB34D5" w:rsidRDefault="00AB34D5" w:rsidP="00AB34D5">
      <w:pPr>
        <w:spacing w:after="0" w:line="240" w:lineRule="auto"/>
        <w:jc w:val="both"/>
        <w:rPr>
          <w:rFonts w:ascii="Times New Roman" w:hAnsi="Times New Roman" w:cs="Times New Roman"/>
          <w:sz w:val="24"/>
          <w:szCs w:val="24"/>
        </w:rPr>
      </w:pPr>
    </w:p>
    <w:p w14:paraId="17AD34F6" w14:textId="738752F1" w:rsidR="00EB10E0" w:rsidRDefault="00EB10E0" w:rsidP="00AB34D5">
      <w:pPr>
        <w:spacing w:after="0" w:line="240" w:lineRule="auto"/>
        <w:jc w:val="both"/>
        <w:rPr>
          <w:sz w:val="24"/>
          <w:szCs w:val="24"/>
          <w:rFonts w:ascii="Times New Roman" w:hAnsi="Times New Roman" w:cs="Times New Roman"/>
        </w:rPr>
      </w:pPr>
      <w:r>
        <w:rPr>
          <w:sz w:val="24"/>
          <w:szCs w:val="24"/>
          <w:rFonts w:ascii="Times New Roman" w:hAnsi="Times New Roman"/>
        </w:rPr>
        <w:t xml:space="preserve">„6. „Oksorazgradljiva plastika“ pomeni plastične materiale, ki vključujejo aditive, ki z oksidacijo povzročijo razpad plastičnega materiala na mikrodelce ali kemijsko razgradnjo;“</w:t>
      </w:r>
      <w:r>
        <w:rPr>
          <w:sz w:val="24"/>
          <w:szCs w:val="24"/>
          <w:rFonts w:ascii="Times New Roman" w:hAnsi="Times New Roman"/>
        </w:rPr>
        <w:t xml:space="preserve"> </w:t>
      </w:r>
    </w:p>
    <w:p w14:paraId="2985DCED" w14:textId="0F794B97" w:rsidR="00C672BB" w:rsidRDefault="00C672BB" w:rsidP="00AB34D5">
      <w:pPr>
        <w:spacing w:after="0" w:line="240" w:lineRule="auto"/>
        <w:jc w:val="both"/>
        <w:rPr>
          <w:rFonts w:ascii="Times New Roman" w:hAnsi="Times New Roman" w:cs="Times New Roman"/>
          <w:sz w:val="24"/>
          <w:szCs w:val="24"/>
        </w:rPr>
      </w:pPr>
    </w:p>
    <w:p w14:paraId="3B558B04" w14:textId="519A999B" w:rsidR="00C672BB" w:rsidRDefault="00C672BB" w:rsidP="00AB34D5">
      <w:pPr>
        <w:spacing w:after="0" w:line="240" w:lineRule="auto"/>
        <w:jc w:val="both"/>
        <w:rPr>
          <w:sz w:val="24"/>
          <w:szCs w:val="24"/>
          <w:rFonts w:ascii="Times New Roman" w:hAnsi="Times New Roman" w:cs="Times New Roman"/>
        </w:rPr>
      </w:pPr>
      <w:r>
        <w:rPr>
          <w:sz w:val="24"/>
          <w:szCs w:val="24"/>
          <w:rFonts w:ascii="Times New Roman" w:hAnsi="Times New Roman"/>
        </w:rPr>
        <w:t xml:space="preserve">4. 7. točka člena D. 543-294 se dopolni z naslednjim besedilom:</w:t>
      </w:r>
      <w:r>
        <w:rPr>
          <w:sz w:val="24"/>
          <w:szCs w:val="24"/>
          <w:rFonts w:ascii="Times New Roman" w:hAnsi="Times New Roman"/>
        </w:rPr>
        <w:t xml:space="preserve"> </w:t>
      </w:r>
      <w:r>
        <w:rPr>
          <w:sz w:val="24"/>
          <w:szCs w:val="24"/>
          <w:rFonts w:ascii="Times New Roman" w:hAnsi="Times New Roman"/>
        </w:rPr>
        <w:t xml:space="preserve">„, z izjemo lončkov in kozarcev, ki so namenjeni uporabi v medicinske namene, ki spadajo v področje uporabe Direktive 90/385/EGS ali Direktive 93/42/EGS ali Uredbe (EU) 2017/745“;</w:t>
      </w:r>
    </w:p>
    <w:p w14:paraId="5FC63447" w14:textId="77777777" w:rsidR="00AB34D5" w:rsidRDefault="00AB34D5" w:rsidP="00AB34D5">
      <w:pPr>
        <w:spacing w:after="0" w:line="240" w:lineRule="auto"/>
        <w:jc w:val="both"/>
        <w:rPr>
          <w:rFonts w:ascii="Times New Roman" w:hAnsi="Times New Roman" w:cs="Times New Roman"/>
          <w:sz w:val="24"/>
          <w:szCs w:val="24"/>
        </w:rPr>
      </w:pPr>
    </w:p>
    <w:p w14:paraId="0080D5A1" w14:textId="682D88E9" w:rsidR="00BF637F" w:rsidRPr="00782886" w:rsidRDefault="00786BBA" w:rsidP="00AB34D5">
      <w:pPr>
        <w:spacing w:after="0" w:line="240" w:lineRule="auto"/>
        <w:jc w:val="both"/>
        <w:rPr>
          <w:sz w:val="24"/>
          <w:szCs w:val="24"/>
          <w:rFonts w:ascii="Times New Roman" w:hAnsi="Times New Roman" w:cs="Times New Roman"/>
        </w:rPr>
      </w:pPr>
      <w:r>
        <w:rPr>
          <w:sz w:val="24"/>
          <w:szCs w:val="24"/>
          <w:rFonts w:ascii="Times New Roman" w:hAnsi="Times New Roman"/>
        </w:rPr>
        <w:t xml:space="preserve">5. Sedem točk, od 9. do 15. točke, člena D. 543-294 se nadomesti z naslednjimi petimi točkami:</w:t>
      </w:r>
      <w:r>
        <w:rPr>
          <w:sz w:val="24"/>
          <w:szCs w:val="24"/>
          <w:rFonts w:ascii="Times New Roman" w:hAnsi="Times New Roman"/>
        </w:rPr>
        <w:t xml:space="preserve"> </w:t>
      </w:r>
    </w:p>
    <w:p w14:paraId="69903D0E" w14:textId="11389BB1" w:rsidR="00EF21D9" w:rsidRPr="00782886" w:rsidRDefault="00EF21D9" w:rsidP="00AB34D5">
      <w:pPr>
        <w:spacing w:after="0" w:line="240" w:lineRule="auto"/>
        <w:jc w:val="both"/>
        <w:rPr>
          <w:sz w:val="24"/>
          <w:szCs w:val="24"/>
          <w:rFonts w:ascii="Times New Roman" w:eastAsia="Times New Roman" w:hAnsi="Times New Roman" w:cs="Times New Roman"/>
        </w:rPr>
      </w:pPr>
      <w:r>
        <w:rPr>
          <w:sz w:val="24"/>
          <w:szCs w:val="24"/>
          <w:rFonts w:ascii="Times New Roman" w:hAnsi="Times New Roman"/>
        </w:rPr>
        <w:t xml:space="preserve">„9. „Jedilni pribor“ pomeni vilice, nože, žlice, palčke in ves preostali podoben namizni pribor, ki se uporablja za jemanje, rezanje ali mešanje živil, razen pribora, ki se uporablja v zaporih, zdravstvenih ustanovah in v letalskem, železniškem in pomorskem prometu, ter pripomočke za odmerjanje neživilskih proizvodov;</w:t>
      </w:r>
      <w:r>
        <w:rPr>
          <w:sz w:val="24"/>
          <w:szCs w:val="24"/>
          <w:rFonts w:ascii="Times New Roman" w:hAnsi="Times New Roman"/>
        </w:rPr>
        <w:t xml:space="preserve"> </w:t>
      </w:r>
    </w:p>
    <w:p w14:paraId="64C90229" w14:textId="77777777" w:rsidR="00CB622A" w:rsidRDefault="00CB622A" w:rsidP="00AB34D5">
      <w:pPr>
        <w:autoSpaceDE w:val="0"/>
        <w:autoSpaceDN w:val="0"/>
        <w:adjustRightInd w:val="0"/>
        <w:spacing w:after="0" w:line="240" w:lineRule="auto"/>
        <w:jc w:val="both"/>
        <w:rPr>
          <w:rFonts w:ascii="Times New Roman" w:eastAsia="Times New Roman" w:hAnsi="Times New Roman" w:cs="Times New Roman"/>
          <w:sz w:val="24"/>
          <w:szCs w:val="24"/>
          <w:lang w:eastAsia="fr-FR"/>
        </w:rPr>
      </w:pPr>
    </w:p>
    <w:p w14:paraId="5D832B6F" w14:textId="0DE6A808" w:rsidR="00EF21D9" w:rsidRPr="00DF1CB8" w:rsidRDefault="00EF21D9" w:rsidP="00AB34D5">
      <w:pPr>
        <w:autoSpaceDE w:val="0"/>
        <w:autoSpaceDN w:val="0"/>
        <w:adjustRightInd w:val="0"/>
        <w:spacing w:after="0" w:line="240" w:lineRule="auto"/>
        <w:jc w:val="both"/>
        <w:rPr>
          <w:sz w:val="24"/>
          <w:szCs w:val="24"/>
          <w:rFonts w:ascii="Times New Roman" w:eastAsia="Times New Roman" w:hAnsi="Times New Roman" w:cs="Times New Roman"/>
        </w:rPr>
      </w:pPr>
      <w:r>
        <w:rPr>
          <w:sz w:val="24"/>
          <w:szCs w:val="24"/>
          <w:rFonts w:ascii="Times New Roman" w:hAnsi="Times New Roman"/>
        </w:rPr>
        <w:t xml:space="preserve">„10. „Vsebniki ali posode iz ekspandiranega polistirena, namenjeni za uživanje živil iz posode na kraju samem ali ki jih potrošniki odnesejo s seboj“ pomenijo posodo za živila iz ekspandiranega polistirena s pokrovom ali brez njega, ki se uporablja za shranjevanje živil, ki so namenjena za takojšnje zaužitje iz posode na kraju samem ali jih potrošniki odnesejo s seboj, ki jih potrošniki po navadi zaužijejo iz posode, in so pripravljena za zaužitje, ne da bi jih bilo treba drugače pripraviti, na primer skuhati, zavreti ali pogreti;</w:t>
      </w:r>
      <w:r>
        <w:rPr>
          <w:sz w:val="24"/>
          <w:szCs w:val="24"/>
          <w:rFonts w:ascii="Times New Roman" w:hAnsi="Times New Roman"/>
        </w:rPr>
        <w:t xml:space="preserve"> </w:t>
      </w:r>
    </w:p>
    <w:p w14:paraId="41CF290B" w14:textId="77777777" w:rsidR="00CB622A" w:rsidRDefault="00CB622A" w:rsidP="00AB34D5">
      <w:pPr>
        <w:spacing w:after="0" w:line="240" w:lineRule="auto"/>
        <w:jc w:val="both"/>
        <w:rPr>
          <w:rFonts w:ascii="Times New Roman" w:eastAsia="Times New Roman" w:hAnsi="Times New Roman" w:cs="Times New Roman"/>
          <w:sz w:val="24"/>
          <w:szCs w:val="24"/>
          <w:lang w:eastAsia="fr-FR"/>
        </w:rPr>
      </w:pPr>
    </w:p>
    <w:p w14:paraId="0C263577" w14:textId="4D5144F4" w:rsidR="00EF21D9" w:rsidRPr="00782886" w:rsidRDefault="00EF21D9" w:rsidP="00AB34D5">
      <w:pPr>
        <w:spacing w:after="0" w:line="240" w:lineRule="auto"/>
        <w:jc w:val="both"/>
        <w:rPr>
          <w:sz w:val="24"/>
          <w:szCs w:val="24"/>
          <w:rFonts w:ascii="Times New Roman" w:eastAsia="Times New Roman" w:hAnsi="Times New Roman" w:cs="Times New Roman"/>
        </w:rPr>
      </w:pPr>
      <w:r>
        <w:rPr>
          <w:sz w:val="24"/>
          <w:szCs w:val="24"/>
          <w:rFonts w:ascii="Times New Roman" w:hAnsi="Times New Roman"/>
        </w:rPr>
        <w:t xml:space="preserve">„11. „Slamice razen tistih, ki se uporabljajo v medicinske namene,“ pomenijo slamice, ki so na razpolago na kraju samem, ali tiste, ki se končnemu potrošniku prodajajo posamično ali v serijah, razen če spadajo v področje uporabe Direktive 90/385/EGS ali Direktive 93/42/EGS ali Uredbe (EU) 2017/745;</w:t>
      </w:r>
      <w:r>
        <w:rPr>
          <w:sz w:val="24"/>
          <w:szCs w:val="24"/>
          <w:rFonts w:ascii="Times New Roman" w:hAnsi="Times New Roman"/>
        </w:rPr>
        <w:t xml:space="preserve"> </w:t>
      </w:r>
    </w:p>
    <w:p w14:paraId="23721898" w14:textId="77777777" w:rsidR="00CB622A" w:rsidRDefault="00CB622A" w:rsidP="00AB34D5">
      <w:pPr>
        <w:spacing w:after="0" w:line="240" w:lineRule="auto"/>
        <w:jc w:val="both"/>
        <w:rPr>
          <w:rFonts w:ascii="Times New Roman" w:eastAsia="Times New Roman" w:hAnsi="Times New Roman" w:cs="Times New Roman"/>
          <w:sz w:val="24"/>
          <w:szCs w:val="24"/>
          <w:lang w:eastAsia="fr-FR"/>
        </w:rPr>
      </w:pPr>
    </w:p>
    <w:p w14:paraId="30DDDE8A" w14:textId="4C819D08" w:rsidR="00EF21D9" w:rsidRPr="00782886" w:rsidRDefault="00EF21D9" w:rsidP="00AB34D5">
      <w:pPr>
        <w:spacing w:after="0" w:line="240" w:lineRule="auto"/>
        <w:jc w:val="both"/>
        <w:rPr>
          <w:sz w:val="24"/>
          <w:szCs w:val="24"/>
          <w:rFonts w:ascii="Times New Roman" w:eastAsia="Times New Roman" w:hAnsi="Times New Roman" w:cs="Times New Roman"/>
        </w:rPr>
      </w:pPr>
      <w:r>
        <w:rPr>
          <w:sz w:val="24"/>
          <w:szCs w:val="24"/>
          <w:rFonts w:ascii="Times New Roman" w:hAnsi="Times New Roman"/>
        </w:rPr>
        <w:t xml:space="preserve">„12. “Pokrovčki za kozarce za enkratno uporabo“ pomenijo pokrovčke za kozarce ali lončke za pijačo;</w:t>
      </w:r>
      <w:r>
        <w:rPr>
          <w:sz w:val="24"/>
          <w:szCs w:val="24"/>
          <w:rFonts w:ascii="Times New Roman" w:hAnsi="Times New Roman"/>
        </w:rPr>
        <w:t xml:space="preserve"> </w:t>
      </w:r>
    </w:p>
    <w:p w14:paraId="4AAF1279" w14:textId="77777777" w:rsidR="004E04D9" w:rsidRPr="00782886" w:rsidRDefault="004E04D9" w:rsidP="00AB34D5">
      <w:pPr>
        <w:spacing w:after="0" w:line="240" w:lineRule="auto"/>
        <w:jc w:val="both"/>
        <w:rPr>
          <w:rFonts w:ascii="Times New Roman" w:eastAsia="Times New Roman" w:hAnsi="Times New Roman" w:cs="Times New Roman"/>
          <w:sz w:val="24"/>
          <w:szCs w:val="24"/>
          <w:lang w:eastAsia="fr-FR"/>
        </w:rPr>
      </w:pPr>
    </w:p>
    <w:p w14:paraId="39648A98" w14:textId="710E8434" w:rsidR="004E04D9" w:rsidRPr="00782886" w:rsidRDefault="004E04D9" w:rsidP="00AB34D5">
      <w:pPr>
        <w:spacing w:after="0" w:line="240" w:lineRule="auto"/>
        <w:jc w:val="both"/>
        <w:rPr>
          <w:sz w:val="24"/>
          <w:szCs w:val="24"/>
          <w:rFonts w:ascii="Times New Roman" w:eastAsia="Times New Roman" w:hAnsi="Times New Roman" w:cs="Times New Roman"/>
        </w:rPr>
      </w:pPr>
      <w:r>
        <w:rPr>
          <w:sz w:val="24"/>
          <w:szCs w:val="24"/>
          <w:rFonts w:ascii="Times New Roman" w:hAnsi="Times New Roman"/>
        </w:rPr>
        <w:t xml:space="preserve">„13. “Konfeti“ pomenijo konfete, ki se uporabljajo za okraševanje ali ob praznovanjih;“</w:t>
      </w:r>
    </w:p>
    <w:p w14:paraId="6125AC81" w14:textId="77777777" w:rsidR="007B249D" w:rsidRPr="00782886" w:rsidRDefault="007B249D" w:rsidP="00AB34D5">
      <w:pPr>
        <w:spacing w:after="0" w:line="240" w:lineRule="auto"/>
        <w:jc w:val="both"/>
        <w:rPr>
          <w:rFonts w:ascii="Times New Roman" w:eastAsia="Times New Roman" w:hAnsi="Times New Roman" w:cs="Times New Roman"/>
          <w:sz w:val="24"/>
          <w:szCs w:val="24"/>
          <w:lang w:eastAsia="fr-FR"/>
        </w:rPr>
      </w:pPr>
    </w:p>
    <w:p w14:paraId="5770B0C7" w14:textId="7468BAD4" w:rsidR="00B833EB" w:rsidRPr="00782886" w:rsidRDefault="00786BBA" w:rsidP="00AB34D5">
      <w:pPr>
        <w:spacing w:after="0" w:line="240" w:lineRule="auto"/>
        <w:jc w:val="both"/>
        <w:rPr>
          <w:sz w:val="24"/>
          <w:szCs w:val="24"/>
          <w:rFonts w:ascii="Times New Roman" w:hAnsi="Times New Roman" w:cs="Times New Roman"/>
        </w:rPr>
      </w:pPr>
      <w:r>
        <w:rPr>
          <w:sz w:val="24"/>
          <w:szCs w:val="24"/>
          <w:rFonts w:ascii="Times New Roman" w:hAnsi="Times New Roman"/>
        </w:rPr>
        <w:t xml:space="preserve">6. Člen D. 543-295 določa:</w:t>
      </w:r>
      <w:r>
        <w:rPr>
          <w:sz w:val="24"/>
          <w:szCs w:val="24"/>
          <w:rFonts w:ascii="Times New Roman" w:hAnsi="Times New Roman"/>
        </w:rPr>
        <w:t xml:space="preserve"> </w:t>
      </w:r>
    </w:p>
    <w:p w14:paraId="0060D3F5" w14:textId="77777777" w:rsidR="00AB34D5" w:rsidRDefault="00AB34D5" w:rsidP="00AB34D5">
      <w:pPr>
        <w:spacing w:after="0" w:line="240" w:lineRule="auto"/>
        <w:jc w:val="both"/>
        <w:rPr>
          <w:rFonts w:ascii="Times New Roman" w:hAnsi="Times New Roman" w:cs="Times New Roman"/>
          <w:sz w:val="24"/>
          <w:szCs w:val="24"/>
        </w:rPr>
      </w:pPr>
    </w:p>
    <w:p w14:paraId="32DE2320" w14:textId="29035857" w:rsidR="00342ECF" w:rsidRPr="00782886" w:rsidRDefault="00D8658F" w:rsidP="00AB34D5">
      <w:pPr>
        <w:spacing w:after="0" w:line="240" w:lineRule="auto"/>
        <w:jc w:val="both"/>
        <w:rPr>
          <w:sz w:val="24"/>
          <w:szCs w:val="24"/>
          <w:rFonts w:ascii="Times New Roman" w:hAnsi="Times New Roman" w:cs="Times New Roman"/>
        </w:rPr>
      </w:pPr>
      <w:r>
        <w:rPr>
          <w:sz w:val="24"/>
          <w:szCs w:val="24"/>
          <w:rFonts w:ascii="Times New Roman" w:hAnsi="Times New Roman"/>
        </w:rPr>
        <w:t xml:space="preserve">„Prepoved dajanja na razpolago plastičnih proizvodov za enkratno uporabo iz 1. in 2. točke poglavja III člena L. 541-15-10 ne velja za proizvode, ki pomenijo embalažo v smislu člena R. 543-43 Okoljskega zakonika.</w:t>
      </w:r>
      <w:r>
        <w:rPr>
          <w:sz w:val="24"/>
          <w:szCs w:val="24"/>
          <w:rFonts w:ascii="Times New Roman" w:hAnsi="Times New Roman"/>
        </w:rPr>
        <w:t xml:space="preserve"> </w:t>
      </w:r>
      <w:r>
        <w:rPr>
          <w:sz w:val="24"/>
          <w:szCs w:val="24"/>
          <w:rFonts w:ascii="Times New Roman" w:hAnsi="Times New Roman"/>
        </w:rPr>
        <w:t xml:space="preserve">“</w:t>
      </w:r>
    </w:p>
    <w:p w14:paraId="6FEB17F7" w14:textId="77777777" w:rsidR="00AB34D5" w:rsidRDefault="00AB34D5" w:rsidP="00AB34D5">
      <w:pPr>
        <w:spacing w:after="0" w:line="240" w:lineRule="auto"/>
        <w:jc w:val="both"/>
        <w:rPr>
          <w:rFonts w:ascii="Times New Roman" w:hAnsi="Times New Roman" w:cs="Times New Roman"/>
          <w:sz w:val="24"/>
          <w:szCs w:val="24"/>
        </w:rPr>
      </w:pPr>
    </w:p>
    <w:p w14:paraId="04E694C0" w14:textId="375B7DBA" w:rsidR="00B833EB" w:rsidRPr="00342E6F" w:rsidRDefault="00786BBA" w:rsidP="00AB34D5">
      <w:pPr>
        <w:spacing w:after="0" w:line="240" w:lineRule="auto"/>
        <w:jc w:val="both"/>
        <w:rPr>
          <w:sz w:val="24"/>
          <w:szCs w:val="24"/>
          <w:rFonts w:ascii="Times New Roman" w:hAnsi="Times New Roman" w:cs="Times New Roman"/>
        </w:rPr>
      </w:pPr>
      <w:r>
        <w:rPr>
          <w:sz w:val="24"/>
          <w:szCs w:val="24"/>
          <w:rFonts w:ascii="Times New Roman" w:hAnsi="Times New Roman"/>
        </w:rPr>
        <w:t xml:space="preserve">7. Člen D. 543-296 določa:</w:t>
      </w:r>
      <w:r>
        <w:rPr>
          <w:sz w:val="24"/>
          <w:szCs w:val="24"/>
          <w:rFonts w:ascii="Times New Roman" w:hAnsi="Times New Roman"/>
        </w:rPr>
        <w:t xml:space="preserve"> </w:t>
      </w:r>
    </w:p>
    <w:p w14:paraId="1698C95E" w14:textId="4BF32568" w:rsidR="00AB34D5" w:rsidRPr="00342E6F" w:rsidRDefault="00AB34D5" w:rsidP="00AB34D5">
      <w:pPr>
        <w:spacing w:after="0" w:line="240" w:lineRule="auto"/>
        <w:jc w:val="both"/>
        <w:rPr>
          <w:rFonts w:ascii="Times New Roman" w:hAnsi="Times New Roman" w:cs="Times New Roman"/>
          <w:sz w:val="24"/>
          <w:szCs w:val="24"/>
        </w:rPr>
      </w:pPr>
    </w:p>
    <w:p w14:paraId="6490A09B" w14:textId="137277B2" w:rsidR="00B833EB" w:rsidRDefault="001F72AF" w:rsidP="00AB34D5">
      <w:pPr>
        <w:spacing w:after="0" w:line="240" w:lineRule="auto"/>
        <w:jc w:val="both"/>
        <w:rPr>
          <w:sz w:val="24"/>
          <w:szCs w:val="24"/>
          <w:rFonts w:ascii="Times New Roman" w:hAnsi="Times New Roman" w:cs="Times New Roman"/>
        </w:rPr>
      </w:pPr>
      <w:r>
        <w:rPr>
          <w:sz w:val="24"/>
          <w:szCs w:val="24"/>
          <w:rFonts w:ascii="Times New Roman" w:hAnsi="Times New Roman"/>
        </w:rPr>
        <w:t xml:space="preserve">„Prepoved dajanja na razpolago plastičnih proizvodov za enkratno uporabo iz 1. in 2. točke poglavja III člena L. 541-15-10 velja tudi za plastične proizvode, ki imajo primerljive lastnosti glede trajnosti, odpornosti in trdnosti kot proizvodi za enkratno uporabo.</w:t>
      </w:r>
      <w:r>
        <w:rPr>
          <w:sz w:val="24"/>
          <w:szCs w:val="24"/>
          <w:rFonts w:ascii="Times New Roman" w:hAnsi="Times New Roman"/>
        </w:rPr>
        <w:t xml:space="preserve"> </w:t>
      </w:r>
      <w:r>
        <w:rPr>
          <w:sz w:val="24"/>
          <w:szCs w:val="24"/>
          <w:rFonts w:ascii="Times New Roman" w:hAnsi="Times New Roman"/>
        </w:rPr>
        <w:t xml:space="preserve">Ta prepoved ne velja za proizvode, ki so zasnovani, izdelani in dani na trg z namenom, da bi v svoji življenjski dobi opravili več poti ali kroženj, tako da bi se vrnili proizvajalcu za ponovno polnjenje.</w:t>
      </w:r>
      <w:r>
        <w:rPr>
          <w:sz w:val="24"/>
          <w:szCs w:val="24"/>
          <w:rFonts w:ascii="Times New Roman" w:hAnsi="Times New Roman"/>
        </w:rPr>
        <w:t xml:space="preserve"> </w:t>
      </w:r>
      <w:r>
        <w:rPr>
          <w:sz w:val="24"/>
          <w:szCs w:val="24"/>
          <w:rFonts w:ascii="Times New Roman" w:hAnsi="Times New Roman"/>
        </w:rPr>
        <w:t xml:space="preserve">“</w:t>
      </w:r>
    </w:p>
    <w:p w14:paraId="0AFBAA75" w14:textId="73C6FF7A" w:rsidR="003C01FE" w:rsidRDefault="003C01FE" w:rsidP="00AB34D5">
      <w:pPr>
        <w:spacing w:after="0" w:line="240" w:lineRule="auto"/>
        <w:jc w:val="both"/>
        <w:rPr>
          <w:rFonts w:ascii="Times New Roman" w:hAnsi="Times New Roman" w:cs="Times New Roman"/>
          <w:sz w:val="24"/>
          <w:szCs w:val="24"/>
        </w:rPr>
      </w:pPr>
    </w:p>
    <w:p w14:paraId="3443D545" w14:textId="061A55BA" w:rsidR="003C01FE" w:rsidRPr="00782886" w:rsidRDefault="00FA00F0" w:rsidP="00AB34D5">
      <w:pPr>
        <w:spacing w:after="0" w:line="240" w:lineRule="auto"/>
        <w:jc w:val="both"/>
        <w:rPr>
          <w:sz w:val="24"/>
          <w:szCs w:val="24"/>
          <w:rFonts w:ascii="Times New Roman" w:hAnsi="Times New Roman" w:cs="Times New Roman"/>
        </w:rPr>
      </w:pPr>
      <w:r>
        <w:rPr>
          <w:sz w:val="24"/>
          <w:szCs w:val="24"/>
          <w:rFonts w:ascii="Times New Roman" w:hAnsi="Times New Roman"/>
        </w:rPr>
        <w:t xml:space="preserve">7. Člen D. 543-296-2 se razveljavi.</w:t>
      </w:r>
    </w:p>
    <w:p w14:paraId="393BCEC1" w14:textId="5171A17E" w:rsidR="00BF56AE" w:rsidRDefault="00BF56AE" w:rsidP="00AB34D5">
      <w:pPr>
        <w:spacing w:after="0" w:line="240" w:lineRule="auto"/>
        <w:jc w:val="center"/>
        <w:rPr>
          <w:rFonts w:ascii="Times New Roman" w:eastAsia="Times New Roman" w:hAnsi="Times New Roman" w:cs="Times New Roman"/>
          <w:b/>
          <w:sz w:val="24"/>
          <w:szCs w:val="24"/>
          <w:u w:val="single"/>
          <w:lang w:eastAsia="fr-FR"/>
        </w:rPr>
      </w:pPr>
    </w:p>
    <w:p w14:paraId="0F4D394A" w14:textId="77777777" w:rsidR="00807CC7" w:rsidRDefault="00807CC7" w:rsidP="00AB34D5">
      <w:pPr>
        <w:spacing w:after="0" w:line="240" w:lineRule="auto"/>
        <w:jc w:val="center"/>
        <w:rPr>
          <w:rFonts w:ascii="Times New Roman" w:eastAsia="Times New Roman" w:hAnsi="Times New Roman" w:cs="Times New Roman"/>
          <w:b/>
          <w:sz w:val="24"/>
          <w:szCs w:val="24"/>
          <w:u w:val="single"/>
          <w:lang w:eastAsia="fr-FR"/>
        </w:rPr>
      </w:pPr>
    </w:p>
    <w:p w14:paraId="4B85E30D" w14:textId="467784CD" w:rsidR="00915D2E" w:rsidRDefault="00915D2E" w:rsidP="00AB34D5">
      <w:pPr>
        <w:spacing w:after="0" w:line="240" w:lineRule="auto"/>
        <w:jc w:val="center"/>
        <w:rPr>
          <w:b/>
          <w:sz w:val="24"/>
          <w:szCs w:val="24"/>
          <w:u w:val="single"/>
          <w:rFonts w:ascii="Times New Roman" w:eastAsia="Times New Roman" w:hAnsi="Times New Roman" w:cs="Times New Roman"/>
        </w:rPr>
      </w:pPr>
      <w:r>
        <w:rPr>
          <w:b/>
          <w:sz w:val="24"/>
          <w:szCs w:val="24"/>
          <w:u w:val="single"/>
          <w:rFonts w:ascii="Times New Roman" w:hAnsi="Times New Roman"/>
        </w:rPr>
        <w:t xml:space="preserve">Člen 2</w:t>
      </w:r>
    </w:p>
    <w:p w14:paraId="722E7945" w14:textId="77777777" w:rsidR="00BF56AE" w:rsidRPr="00782886" w:rsidRDefault="00BF56AE" w:rsidP="00AB34D5">
      <w:pPr>
        <w:spacing w:after="0" w:line="240" w:lineRule="auto"/>
        <w:jc w:val="center"/>
        <w:rPr>
          <w:rFonts w:ascii="Times New Roman" w:eastAsia="Times New Roman" w:hAnsi="Times New Roman" w:cs="Times New Roman"/>
          <w:b/>
          <w:sz w:val="24"/>
          <w:szCs w:val="24"/>
          <w:u w:val="single"/>
          <w:lang w:eastAsia="fr-FR"/>
        </w:rPr>
      </w:pPr>
    </w:p>
    <w:p w14:paraId="44AB3D46" w14:textId="77777777" w:rsidR="00782886" w:rsidRDefault="001F72AF" w:rsidP="00AB34D5">
      <w:pPr>
        <w:spacing w:after="0" w:line="240" w:lineRule="auto"/>
        <w:jc w:val="both"/>
        <w:rPr>
          <w:sz w:val="24"/>
          <w:szCs w:val="24"/>
          <w:rFonts w:ascii="Times New Roman" w:hAnsi="Times New Roman" w:cs="Times New Roman"/>
        </w:rPr>
      </w:pPr>
      <w:r>
        <w:rPr>
          <w:sz w:val="24"/>
          <w:szCs w:val="24"/>
          <w:rFonts w:ascii="Times New Roman" w:hAnsi="Times New Roman"/>
        </w:rPr>
        <w:t xml:space="preserve">1. Člen D. 543-294 se spremeni:</w:t>
      </w:r>
    </w:p>
    <w:p w14:paraId="3EAA3812" w14:textId="431D4B8F" w:rsidR="00FB68B9" w:rsidRDefault="00915D2E" w:rsidP="00AB34D5">
      <w:pPr>
        <w:spacing w:after="0" w:line="240" w:lineRule="auto"/>
        <w:jc w:val="both"/>
        <w:rPr>
          <w:sz w:val="24"/>
          <w:szCs w:val="24"/>
          <w:rFonts w:ascii="Times New Roman" w:hAnsi="Times New Roman" w:cs="Times New Roman"/>
        </w:rPr>
      </w:pPr>
      <w:r>
        <w:rPr>
          <w:sz w:val="24"/>
          <w:szCs w:val="24"/>
          <w:rFonts w:ascii="Times New Roman" w:hAnsi="Times New Roman"/>
        </w:rPr>
        <w:br/>
      </w:r>
      <w:r>
        <w:rPr>
          <w:sz w:val="24"/>
          <w:szCs w:val="24"/>
          <w:i/>
          <w:rFonts w:ascii="Times New Roman" w:hAnsi="Times New Roman"/>
        </w:rPr>
        <w:t xml:space="preserve">a)</w:t>
      </w:r>
      <w:r>
        <w:rPr>
          <w:sz w:val="24"/>
          <w:szCs w:val="24"/>
          <w:rFonts w:ascii="Times New Roman" w:hAnsi="Times New Roman"/>
        </w:rPr>
        <w:t xml:space="preserve"> V 7. točki se za besedilom „v celoti izdelani iz plastike“ vstavi besedilo „ali deloma izdelani iz plastike z vsebnostjo, višjo od največje vsebnosti, določene v odredbi o največji dovoljeni vsebnosti plastike in pogojih, pod katerimi se vsebnost plastike postopoma zmanjšuje“;</w:t>
      </w:r>
    </w:p>
    <w:p w14:paraId="275918B6" w14:textId="77777777" w:rsidR="00BF56AE" w:rsidRPr="00782886" w:rsidRDefault="00BF56AE" w:rsidP="00AB34D5">
      <w:pPr>
        <w:spacing w:after="0" w:line="240" w:lineRule="auto"/>
        <w:jc w:val="both"/>
        <w:rPr>
          <w:rFonts w:ascii="Times New Roman" w:hAnsi="Times New Roman" w:cs="Times New Roman"/>
          <w:sz w:val="24"/>
          <w:szCs w:val="24"/>
        </w:rPr>
      </w:pPr>
    </w:p>
    <w:p w14:paraId="7FEBD9E7" w14:textId="272DE976" w:rsidR="000A360E" w:rsidRDefault="003E2482" w:rsidP="00AB34D5">
      <w:pPr>
        <w:spacing w:after="0" w:line="240" w:lineRule="auto"/>
        <w:jc w:val="both"/>
        <w:rPr>
          <w:i/>
          <w:sz w:val="24"/>
          <w:szCs w:val="24"/>
          <w:rFonts w:ascii="Times New Roman" w:hAnsi="Times New Roman" w:cs="Times New Roman"/>
        </w:rPr>
      </w:pPr>
      <w:r>
        <w:rPr>
          <w:sz w:val="24"/>
          <w:szCs w:val="24"/>
          <w:i/>
          <w:rFonts w:ascii="Times New Roman" w:hAnsi="Times New Roman"/>
        </w:rPr>
        <w:t xml:space="preserve">b)</w:t>
      </w:r>
      <w:r>
        <w:rPr>
          <w:sz w:val="24"/>
          <w:szCs w:val="24"/>
          <w:rFonts w:ascii="Times New Roman" w:hAnsi="Times New Roman"/>
        </w:rPr>
        <w:t xml:space="preserve"> 8. točka se dopolni z naslednjim stavkom:</w:t>
      </w:r>
      <w:r>
        <w:rPr>
          <w:sz w:val="24"/>
          <w:szCs w:val="24"/>
          <w:rFonts w:ascii="Times New Roman" w:hAnsi="Times New Roman"/>
        </w:rPr>
        <w:t xml:space="preserve"> </w:t>
      </w:r>
      <w:r>
        <w:rPr>
          <w:sz w:val="24"/>
          <w:szCs w:val="24"/>
          <w:rFonts w:ascii="Times New Roman" w:hAnsi="Times New Roman"/>
        </w:rPr>
        <w:t xml:space="preserve">„in „drugi krožniki“: krožniki, ki so deloma izdelani iz plastike, vključno iz plastične folije;“</w:t>
      </w:r>
    </w:p>
    <w:p w14:paraId="4394BAEC" w14:textId="30B92B0A" w:rsidR="00E529AA" w:rsidRDefault="000A360E" w:rsidP="00AB34D5">
      <w:pPr>
        <w:spacing w:after="0" w:line="240" w:lineRule="auto"/>
        <w:jc w:val="both"/>
        <w:rPr>
          <w:i/>
          <w:sz w:val="24"/>
          <w:szCs w:val="24"/>
          <w:rFonts w:ascii="Times New Roman" w:hAnsi="Times New Roman" w:cs="Times New Roman"/>
        </w:rPr>
      </w:pPr>
      <w:r>
        <w:rPr>
          <w:sz w:val="24"/>
          <w:szCs w:val="24"/>
          <w:i/>
          <w:rFonts w:ascii="Times New Roman" w:hAnsi="Times New Roman"/>
        </w:rPr>
        <w:t xml:space="preserve">c) </w:t>
      </w:r>
      <w:r>
        <w:rPr>
          <w:sz w:val="24"/>
          <w:szCs w:val="24"/>
          <w:rFonts w:ascii="Times New Roman" w:hAnsi="Times New Roman"/>
        </w:rPr>
        <w:t xml:space="preserve">V 9. točki se besedilo „pribor, ki se uporablja v zaporih, zdravstvenih ustanovah ter v letalskem, železniškem in pomorskem prometu“ črta;</w:t>
      </w:r>
    </w:p>
    <w:p w14:paraId="4750596B" w14:textId="77777777" w:rsidR="00E529AA" w:rsidRDefault="00E529AA" w:rsidP="00AB34D5">
      <w:pPr>
        <w:spacing w:after="0" w:line="240" w:lineRule="auto"/>
        <w:jc w:val="both"/>
        <w:rPr>
          <w:rFonts w:ascii="Times New Roman" w:hAnsi="Times New Roman" w:cs="Times New Roman"/>
          <w:i/>
          <w:sz w:val="24"/>
          <w:szCs w:val="24"/>
        </w:rPr>
      </w:pPr>
    </w:p>
    <w:p w14:paraId="016E1272" w14:textId="144204FE" w:rsidR="000A360E" w:rsidRDefault="00E529AA" w:rsidP="00AB34D5">
      <w:pPr>
        <w:spacing w:after="0" w:line="240" w:lineRule="auto"/>
        <w:jc w:val="both"/>
        <w:rPr>
          <w:i/>
          <w:sz w:val="24"/>
          <w:szCs w:val="24"/>
          <w:rFonts w:ascii="Times New Roman" w:hAnsi="Times New Roman" w:cs="Times New Roman"/>
        </w:rPr>
      </w:pPr>
      <w:r>
        <w:rPr>
          <w:sz w:val="24"/>
          <w:szCs w:val="24"/>
          <w:i/>
          <w:rFonts w:ascii="Times New Roman" w:hAnsi="Times New Roman"/>
        </w:rPr>
        <w:t xml:space="preserve">d) </w:t>
      </w:r>
      <w:r>
        <w:rPr>
          <w:sz w:val="24"/>
          <w:szCs w:val="24"/>
          <w:rFonts w:ascii="Times New Roman" w:hAnsi="Times New Roman"/>
        </w:rPr>
        <w:t xml:space="preserve">V 11. točki se besedilo „ki so na razpolago na kraju samem, ali tiste, ki se končnemu potrošniku prodajajo posamično ali v serijah“ nadomesti z besedilom „ki so navedene v delu B Priloge k Direktivi (EU) 2019/904“;</w:t>
      </w:r>
      <w:r>
        <w:rPr>
          <w:sz w:val="24"/>
          <w:szCs w:val="24"/>
          <w:rFonts w:ascii="Times New Roman" w:hAnsi="Times New Roman"/>
        </w:rPr>
        <w:t xml:space="preserve"> </w:t>
      </w:r>
    </w:p>
    <w:p w14:paraId="7153EF16" w14:textId="4BC0EECD" w:rsidR="00E529AA" w:rsidRPr="00782886" w:rsidRDefault="00E529AA" w:rsidP="00AB34D5">
      <w:pPr>
        <w:spacing w:after="0" w:line="240" w:lineRule="auto"/>
        <w:jc w:val="both"/>
        <w:rPr>
          <w:rFonts w:ascii="Times New Roman" w:hAnsi="Times New Roman" w:cs="Times New Roman"/>
          <w:sz w:val="24"/>
          <w:szCs w:val="24"/>
        </w:rPr>
      </w:pPr>
    </w:p>
    <w:p w14:paraId="1AF17727" w14:textId="77777777" w:rsidR="00AB34D5" w:rsidRDefault="00AB34D5" w:rsidP="00AB34D5">
      <w:pPr>
        <w:spacing w:after="0" w:line="240" w:lineRule="auto"/>
        <w:jc w:val="both"/>
        <w:rPr>
          <w:rFonts w:ascii="Times New Roman" w:hAnsi="Times New Roman" w:cs="Times New Roman"/>
          <w:sz w:val="24"/>
          <w:szCs w:val="24"/>
        </w:rPr>
      </w:pPr>
    </w:p>
    <w:p w14:paraId="4F27E373" w14:textId="43C65126" w:rsidR="001F72AF" w:rsidRDefault="00FB68B9" w:rsidP="00AB34D5">
      <w:pPr>
        <w:spacing w:after="0" w:line="240" w:lineRule="auto"/>
        <w:jc w:val="both"/>
        <w:rPr>
          <w:sz w:val="24"/>
          <w:szCs w:val="24"/>
          <w:rFonts w:ascii="Times New Roman" w:hAnsi="Times New Roman" w:cs="Times New Roman"/>
        </w:rPr>
      </w:pPr>
      <w:r>
        <w:rPr>
          <w:sz w:val="24"/>
          <w:szCs w:val="24"/>
          <w:rFonts w:ascii="Times New Roman" w:hAnsi="Times New Roman"/>
        </w:rPr>
        <w:t xml:space="preserve">2. V členu D. 543-295 se besedilo „ne velja“ nadomesti z besedilom „velja tudi“.</w:t>
      </w:r>
      <w:r>
        <w:rPr>
          <w:sz w:val="24"/>
          <w:szCs w:val="24"/>
          <w:rFonts w:ascii="Times New Roman" w:hAnsi="Times New Roman"/>
        </w:rPr>
        <w:t xml:space="preserve"> </w:t>
      </w:r>
    </w:p>
    <w:p w14:paraId="4D775A7F" w14:textId="209B8F8C" w:rsidR="00BF56AE" w:rsidRDefault="00BF56AE" w:rsidP="00AB34D5">
      <w:pPr>
        <w:spacing w:after="0" w:line="240" w:lineRule="auto"/>
        <w:jc w:val="both"/>
        <w:rPr>
          <w:rFonts w:ascii="Times New Roman" w:hAnsi="Times New Roman" w:cs="Times New Roman"/>
          <w:sz w:val="24"/>
          <w:szCs w:val="24"/>
        </w:rPr>
      </w:pPr>
    </w:p>
    <w:p w14:paraId="0ADEA22A" w14:textId="77777777" w:rsidR="00807CC7" w:rsidRPr="00782886" w:rsidRDefault="00807CC7" w:rsidP="00AB34D5">
      <w:pPr>
        <w:spacing w:after="0" w:line="240" w:lineRule="auto"/>
        <w:jc w:val="both"/>
        <w:rPr>
          <w:rFonts w:ascii="Times New Roman" w:hAnsi="Times New Roman" w:cs="Times New Roman"/>
          <w:sz w:val="24"/>
          <w:szCs w:val="24"/>
        </w:rPr>
      </w:pPr>
    </w:p>
    <w:p w14:paraId="264C7CC9" w14:textId="30F22102" w:rsidR="004E04D9" w:rsidRPr="00782886" w:rsidRDefault="00C641CC" w:rsidP="00AB34D5">
      <w:pPr>
        <w:spacing w:after="0" w:line="240" w:lineRule="auto"/>
        <w:jc w:val="center"/>
        <w:rPr>
          <w:b/>
          <w:sz w:val="24"/>
          <w:szCs w:val="24"/>
          <w:u w:val="single"/>
          <w:rFonts w:ascii="Times New Roman" w:eastAsia="Times New Roman" w:hAnsi="Times New Roman" w:cs="Times New Roman"/>
        </w:rPr>
      </w:pPr>
      <w:r>
        <w:rPr>
          <w:b/>
          <w:sz w:val="24"/>
          <w:szCs w:val="24"/>
          <w:u w:val="single"/>
          <w:rFonts w:ascii="Times New Roman" w:hAnsi="Times New Roman"/>
        </w:rPr>
        <w:t xml:space="preserve">Člen 3</w:t>
      </w:r>
    </w:p>
    <w:p w14:paraId="53E9146E" w14:textId="77777777" w:rsidR="00C641CC" w:rsidRPr="00782886" w:rsidRDefault="00C641CC" w:rsidP="00AB34D5">
      <w:pPr>
        <w:spacing w:after="0" w:line="240" w:lineRule="auto"/>
        <w:jc w:val="both"/>
        <w:rPr>
          <w:rFonts w:ascii="Times New Roman" w:eastAsia="Times New Roman" w:hAnsi="Times New Roman" w:cs="Times New Roman"/>
          <w:sz w:val="24"/>
          <w:szCs w:val="24"/>
          <w:lang w:eastAsia="fr-FR"/>
        </w:rPr>
      </w:pPr>
    </w:p>
    <w:p w14:paraId="0DCC478D" w14:textId="7C128B5D" w:rsidR="00D8658F" w:rsidRDefault="00AF36BB" w:rsidP="000D09C8">
      <w:pPr>
        <w:spacing w:after="0" w:line="240" w:lineRule="auto"/>
        <w:jc w:val="both"/>
        <w:rPr>
          <w:sz w:val="24"/>
          <w:szCs w:val="24"/>
          <w:rFonts w:ascii="Times New Roman" w:hAnsi="Times New Roman" w:cs="Times New Roman"/>
        </w:rPr>
      </w:pPr>
      <w:r>
        <w:rPr>
          <w:sz w:val="24"/>
          <w:szCs w:val="24"/>
          <w:rFonts w:ascii="Times New Roman" w:hAnsi="Times New Roman"/>
        </w:rPr>
        <w:t xml:space="preserve">I. – Določbe te uredbe začnejo veljati dan po objavi v Uradnem listu razen:</w:t>
      </w:r>
    </w:p>
    <w:p w14:paraId="6271552E" w14:textId="6E795D14" w:rsidR="00AF36BB" w:rsidRPr="00782886" w:rsidRDefault="00AF36BB">
      <w:pPr>
        <w:spacing w:after="0" w:line="240" w:lineRule="auto"/>
        <w:jc w:val="both"/>
        <w:rPr>
          <w:rFonts w:ascii="Times New Roman" w:hAnsi="Times New Roman" w:cs="Times New Roman"/>
          <w:sz w:val="24"/>
          <w:szCs w:val="24"/>
        </w:rPr>
      </w:pPr>
    </w:p>
    <w:p w14:paraId="60904F35" w14:textId="0E23C89C" w:rsidR="00D8658F" w:rsidRPr="00782886" w:rsidRDefault="001F72AF">
      <w:pPr>
        <w:spacing w:after="0" w:line="240" w:lineRule="auto"/>
        <w:jc w:val="both"/>
        <w:rPr>
          <w:sz w:val="24"/>
          <w:szCs w:val="24"/>
          <w:rFonts w:ascii="Times New Roman" w:hAnsi="Times New Roman" w:cs="Times New Roman"/>
        </w:rPr>
      </w:pPr>
      <w:r>
        <w:rPr>
          <w:sz w:val="24"/>
          <w:szCs w:val="24"/>
          <w:rFonts w:ascii="Times New Roman" w:hAnsi="Times New Roman"/>
        </w:rPr>
        <w:t xml:space="preserve">1. točke b) iz prvega odstavka člena 2, ki začne veljati 1. januarja 2021;</w:t>
      </w:r>
    </w:p>
    <w:p w14:paraId="4110B7F7" w14:textId="0DD3B435" w:rsidR="00AF36BB" w:rsidRDefault="00AF36BB">
      <w:pPr>
        <w:spacing w:after="0" w:line="240" w:lineRule="auto"/>
        <w:jc w:val="both"/>
        <w:rPr>
          <w:rFonts w:ascii="Times New Roman" w:hAnsi="Times New Roman" w:cs="Times New Roman"/>
          <w:sz w:val="24"/>
          <w:szCs w:val="24"/>
        </w:rPr>
      </w:pPr>
    </w:p>
    <w:p w14:paraId="60F71ACC" w14:textId="1440869A" w:rsidR="002B3B8C" w:rsidRPr="00782886" w:rsidRDefault="001F72AF">
      <w:pPr>
        <w:spacing w:after="0" w:line="240" w:lineRule="auto"/>
        <w:jc w:val="both"/>
        <w:rPr>
          <w:sz w:val="24"/>
          <w:szCs w:val="24"/>
          <w:rFonts w:ascii="Times New Roman" w:eastAsia="Times New Roman" w:hAnsi="Times New Roman" w:cs="Times New Roman"/>
        </w:rPr>
      </w:pPr>
      <w:r>
        <w:rPr>
          <w:sz w:val="24"/>
          <w:szCs w:val="24"/>
          <w:rFonts w:ascii="Times New Roman" w:hAnsi="Times New Roman"/>
        </w:rPr>
        <w:t xml:space="preserve">2. točk </w:t>
      </w:r>
      <w:r>
        <w:rPr>
          <w:sz w:val="24"/>
          <w:szCs w:val="24"/>
          <w:i/>
          <w:rFonts w:ascii="Times New Roman" w:hAnsi="Times New Roman"/>
        </w:rPr>
        <w:t xml:space="preserve">a),</w:t>
      </w:r>
      <w:r>
        <w:rPr>
          <w:sz w:val="24"/>
          <w:szCs w:val="24"/>
          <w:rFonts w:ascii="Times New Roman" w:hAnsi="Times New Roman"/>
        </w:rPr>
        <w:t xml:space="preserve"> </w:t>
      </w:r>
      <w:r>
        <w:rPr>
          <w:sz w:val="24"/>
          <w:szCs w:val="24"/>
          <w:i/>
          <w:rFonts w:ascii="Times New Roman" w:hAnsi="Times New Roman"/>
        </w:rPr>
        <w:t xml:space="preserve">c) in d)</w:t>
      </w:r>
      <w:r>
        <w:rPr>
          <w:sz w:val="24"/>
          <w:szCs w:val="24"/>
          <w:rFonts w:ascii="Times New Roman" w:hAnsi="Times New Roman"/>
        </w:rPr>
        <w:t xml:space="preserve"> iz prvega in drugega odstavka  člena 2, ki začnejo veljati 3. julija 2021.</w:t>
      </w:r>
    </w:p>
    <w:p w14:paraId="57997E1C" w14:textId="77777777" w:rsidR="00AF36BB" w:rsidRDefault="00AF36BB" w:rsidP="00AB34D5">
      <w:pPr>
        <w:spacing w:after="0" w:line="240" w:lineRule="auto"/>
        <w:jc w:val="both"/>
        <w:rPr>
          <w:rFonts w:ascii="Times New Roman" w:hAnsi="Times New Roman" w:cs="Times New Roman"/>
          <w:sz w:val="24"/>
          <w:szCs w:val="24"/>
        </w:rPr>
      </w:pPr>
    </w:p>
    <w:p w14:paraId="79053DEE" w14:textId="2F7D51F4" w:rsidR="00D8658F" w:rsidRDefault="00AF36BB" w:rsidP="00AB34D5">
      <w:pPr>
        <w:spacing w:after="0" w:line="240" w:lineRule="auto"/>
        <w:jc w:val="both"/>
        <w:rPr>
          <w:sz w:val="24"/>
          <w:szCs w:val="24"/>
          <w:rFonts w:ascii="Times New Roman" w:hAnsi="Times New Roman" w:cs="Times New Roman"/>
        </w:rPr>
      </w:pPr>
      <w:r>
        <w:rPr>
          <w:sz w:val="24"/>
          <w:szCs w:val="24"/>
          <w:rFonts w:ascii="Times New Roman" w:hAnsi="Times New Roman"/>
        </w:rPr>
        <w:t xml:space="preserve">II.</w:t>
      </w:r>
      <w:r>
        <w:rPr>
          <w:sz w:val="24"/>
          <w:szCs w:val="24"/>
          <w:rFonts w:ascii="Times New Roman" w:hAnsi="Times New Roman"/>
        </w:rPr>
        <w:t xml:space="preserve"> </w:t>
      </w:r>
      <w:r>
        <w:rPr>
          <w:sz w:val="24"/>
          <w:szCs w:val="24"/>
          <w:rFonts w:ascii="Times New Roman" w:hAnsi="Times New Roman"/>
        </w:rPr>
        <w:t xml:space="preserve">– V zvezi s proizvodi, ki so predmet prepovedi dajanja na razpolago na podlagi 2. točke poglavja III člena L. 541-15-10, je določen rok za odstranjevanje zalog do 1. julija 2021, če so bili izdelani ali uvoženi pred tem datumom, razen proizvodov, za katere prepoved dajanja na razpolago začne veljati 3. julija 2021 na podlagi tega člena in za katere ta rok ne velja.</w:t>
      </w:r>
    </w:p>
    <w:p w14:paraId="41A8E0F8" w14:textId="06CB5999" w:rsidR="00807CC7" w:rsidRDefault="00807CC7" w:rsidP="00AB34D5">
      <w:pPr>
        <w:spacing w:after="0" w:line="240" w:lineRule="auto"/>
        <w:jc w:val="both"/>
        <w:rPr>
          <w:rFonts w:ascii="Times New Roman" w:hAnsi="Times New Roman" w:cs="Times New Roman"/>
          <w:sz w:val="24"/>
          <w:szCs w:val="24"/>
        </w:rPr>
      </w:pPr>
    </w:p>
    <w:p w14:paraId="4238EB58" w14:textId="77777777" w:rsidR="00807CC7" w:rsidRDefault="00807CC7" w:rsidP="00AB34D5">
      <w:pPr>
        <w:spacing w:after="0" w:line="240" w:lineRule="auto"/>
        <w:jc w:val="both"/>
        <w:rPr>
          <w:rFonts w:ascii="Times New Roman" w:hAnsi="Times New Roman" w:cs="Times New Roman"/>
          <w:sz w:val="24"/>
          <w:szCs w:val="24"/>
        </w:rPr>
      </w:pPr>
    </w:p>
    <w:p w14:paraId="514B431A" w14:textId="6BE8A218" w:rsidR="005875AB" w:rsidRPr="00BF56AE" w:rsidRDefault="005875AB" w:rsidP="00AB34D5">
      <w:pPr>
        <w:spacing w:after="0" w:line="240" w:lineRule="auto"/>
        <w:jc w:val="center"/>
        <w:rPr>
          <w:b/>
          <w:sz w:val="24"/>
          <w:szCs w:val="24"/>
          <w:u w:val="single"/>
          <w:rFonts w:ascii="Times New Roman" w:hAnsi="Times New Roman" w:cs="Times New Roman"/>
        </w:rPr>
      </w:pPr>
      <w:r>
        <w:rPr>
          <w:b/>
          <w:sz w:val="24"/>
          <w:szCs w:val="24"/>
          <w:u w:val="single"/>
          <w:rFonts w:ascii="Times New Roman" w:hAnsi="Times New Roman"/>
        </w:rPr>
        <w:t xml:space="preserve">Člen 4</w:t>
      </w:r>
    </w:p>
    <w:p w14:paraId="5161DBE7" w14:textId="77777777" w:rsidR="00D424D9" w:rsidRDefault="00D424D9" w:rsidP="00AB34D5">
      <w:pPr>
        <w:spacing w:after="0" w:line="240" w:lineRule="auto"/>
        <w:jc w:val="both"/>
        <w:rPr>
          <w:rFonts w:ascii="Times New Roman" w:hAnsi="Times New Roman" w:cs="Times New Roman"/>
          <w:sz w:val="24"/>
          <w:szCs w:val="24"/>
        </w:rPr>
      </w:pPr>
    </w:p>
    <w:p w14:paraId="4FF441BE" w14:textId="27621D86" w:rsidR="00BF56AE" w:rsidRDefault="005875AB" w:rsidP="00AB34D5">
      <w:pPr>
        <w:spacing w:after="0" w:line="240" w:lineRule="auto"/>
        <w:jc w:val="both"/>
        <w:rPr>
          <w:sz w:val="24"/>
          <w:szCs w:val="24"/>
          <w:rFonts w:ascii="Times New Roman" w:hAnsi="Times New Roman" w:cs="Times New Roman"/>
        </w:rPr>
      </w:pPr>
      <w:r>
        <w:rPr>
          <w:sz w:val="24"/>
          <w:szCs w:val="24"/>
          <w:rFonts w:ascii="Times New Roman" w:hAnsi="Times New Roman"/>
        </w:rPr>
        <w:t xml:space="preserve">Člen 3 Uredbe št. 2019-1451 z dne 24. decembra 2019 o prepovedi določenih plastičnih proizvodov za enkratno uporabo se črta.</w:t>
      </w:r>
    </w:p>
    <w:p w14:paraId="1261FD76" w14:textId="1CA9619E" w:rsidR="00D424D9" w:rsidRDefault="00D424D9" w:rsidP="00AB34D5">
      <w:pPr>
        <w:spacing w:after="0" w:line="240" w:lineRule="auto"/>
        <w:jc w:val="both"/>
        <w:rPr>
          <w:rFonts w:ascii="Times New Roman" w:hAnsi="Times New Roman" w:cs="Times New Roman"/>
          <w:sz w:val="24"/>
          <w:szCs w:val="24"/>
        </w:rPr>
      </w:pPr>
    </w:p>
    <w:p w14:paraId="2912AB4A" w14:textId="77777777" w:rsidR="00807CC7" w:rsidRDefault="00807CC7" w:rsidP="00AB34D5">
      <w:pPr>
        <w:spacing w:after="0" w:line="240" w:lineRule="auto"/>
        <w:jc w:val="both"/>
        <w:rPr>
          <w:rFonts w:ascii="Times New Roman" w:hAnsi="Times New Roman" w:cs="Times New Roman"/>
          <w:sz w:val="24"/>
          <w:szCs w:val="24"/>
        </w:rPr>
      </w:pPr>
    </w:p>
    <w:p w14:paraId="344EEC66" w14:textId="674918E4" w:rsidR="00BF56AE" w:rsidRPr="00BF56AE" w:rsidRDefault="003C01FE" w:rsidP="00AB34D5">
      <w:pPr>
        <w:spacing w:after="0" w:line="240" w:lineRule="auto"/>
        <w:jc w:val="center"/>
        <w:rPr>
          <w:b/>
          <w:sz w:val="24"/>
          <w:szCs w:val="24"/>
          <w:u w:val="single"/>
          <w:rFonts w:ascii="Times New Roman" w:hAnsi="Times New Roman" w:cs="Times New Roman"/>
        </w:rPr>
      </w:pPr>
      <w:r>
        <w:rPr>
          <w:b/>
          <w:sz w:val="24"/>
          <w:szCs w:val="24"/>
          <w:u w:val="single"/>
          <w:rFonts w:ascii="Times New Roman" w:hAnsi="Times New Roman"/>
        </w:rPr>
        <w:t xml:space="preserve">Člen 5</w:t>
      </w:r>
    </w:p>
    <w:p w14:paraId="00430DD6" w14:textId="77777777" w:rsidR="00D424D9" w:rsidRDefault="00D424D9" w:rsidP="00AB34D5">
      <w:pPr>
        <w:pStyle w:val="BodyText"/>
        <w:spacing w:after="0"/>
      </w:pPr>
    </w:p>
    <w:p w14:paraId="4DF1F5DD" w14:textId="35A60564" w:rsidR="00BF56AE" w:rsidRDefault="00BF56AE" w:rsidP="00AB34D5">
      <w:pPr>
        <w:pStyle w:val="BodyText"/>
        <w:spacing w:after="0"/>
      </w:pPr>
      <w:r>
        <w:t xml:space="preserve">Minister za ekološko in solidarnostno preoblikovanje in minister za gospodarstvo in finance sta vsak v skladu s svojimi pristojnostmi odgovorna za izvajanje te uredbe, ki bo objavljena v </w:t>
      </w:r>
      <w:r>
        <w:rPr>
          <w:i/>
        </w:rPr>
        <w:t xml:space="preserve">Uradnem listu</w:t>
      </w:r>
      <w:r>
        <w:t xml:space="preserve"> Francoske republike.</w:t>
      </w:r>
    </w:p>
    <w:p w14:paraId="07847FA4" w14:textId="4C41F4E6" w:rsidR="00D424D9" w:rsidRDefault="00D424D9" w:rsidP="00AB34D5">
      <w:pPr>
        <w:pStyle w:val="BodyText"/>
        <w:spacing w:after="0"/>
      </w:pPr>
    </w:p>
    <w:p w14:paraId="195CEC2E" w14:textId="77777777" w:rsidR="00807CC7" w:rsidRPr="00C32FE3" w:rsidRDefault="00807CC7" w:rsidP="00AB34D5">
      <w:pPr>
        <w:pStyle w:val="BodyText"/>
        <w:spacing w:after="0"/>
      </w:pPr>
    </w:p>
    <w:p w14:paraId="18EE6CAF" w14:textId="376A5AAF" w:rsidR="00D8658F" w:rsidRPr="00782886" w:rsidRDefault="00BF56AE" w:rsidP="00CB622A">
      <w:pPr>
        <w:pStyle w:val="SNDate"/>
        <w:spacing w:before="0" w:after="0"/>
      </w:pPr>
      <w:r>
        <w:t xml:space="preserve">V</w:t>
      </w:r>
      <w:r>
        <w:t xml:space="preserve"> </w:t>
      </w:r>
    </w:p>
    <w:sectPr w:rsidR="00D8658F" w:rsidRPr="00782886">
      <w:headerReference w:type="even" r:id="rId9"/>
      <w:headerReference w:type="default" r:id="rId10"/>
      <w:head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70FDF0" w14:textId="77777777" w:rsidR="00495B2A" w:rsidRDefault="00495B2A" w:rsidP="00C43AFA">
      <w:pPr>
        <w:spacing w:after="0" w:line="240" w:lineRule="auto"/>
      </w:pPr>
      <w:r>
        <w:separator/>
      </w:r>
    </w:p>
  </w:endnote>
  <w:endnote w:type="continuationSeparator" w:id="0">
    <w:p w14:paraId="04C5CD72" w14:textId="77777777" w:rsidR="00495B2A" w:rsidRDefault="00495B2A" w:rsidP="00C43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1213AD" w14:textId="77777777" w:rsidR="00495B2A" w:rsidRDefault="00495B2A" w:rsidP="00C43AFA">
      <w:pPr>
        <w:spacing w:after="0" w:line="240" w:lineRule="auto"/>
      </w:pPr>
      <w:r>
        <w:separator/>
      </w:r>
    </w:p>
  </w:footnote>
  <w:footnote w:type="continuationSeparator" w:id="0">
    <w:p w14:paraId="6A2FF4C4" w14:textId="77777777" w:rsidR="00495B2A" w:rsidRDefault="00495B2A" w:rsidP="00C43A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63A7FD" w14:textId="6A326B20" w:rsidR="00C43AFA" w:rsidRDefault="007A362B">
    <w:pPr>
      <w:pStyle w:val="Header"/>
    </w:pPr>
    <w:r>
      <w:pict w14:anchorId="38FD58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81235" o:spid="_x0000_s2050" type="#_x0000_t136" style="position:absolute;margin-left:0;margin-top:0;width:426.35pt;height:213.15pt;rotation:315;z-index:-251655168;mso-position-horizontal:center;mso-position-horizontal-relative:margin;mso-position-vertical:center;mso-position-vertical-relative:margin" o:allowincell="f" fillcolor="silver" stroked="f">
          <v:fill opacity=".5"/>
          <v:textpath style="font-family:&quot;Calibri&quot;;font-size:1pt" string="OSNUTEK"/>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27A633" w14:textId="0340B040" w:rsidR="00C43AFA" w:rsidRDefault="007A362B">
    <w:pPr>
      <w:pStyle w:val="Header"/>
    </w:pPr>
    <w:r>
      <w:pict w14:anchorId="5744BE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81236" o:spid="_x0000_s2051" type="#_x0000_t136" style="position:absolute;margin-left:0;margin-top:0;width:426.35pt;height:213.15pt;rotation:315;z-index:-251653120;mso-position-horizontal:center;mso-position-horizontal-relative:margin;mso-position-vertical:center;mso-position-vertical-relative:margin" o:allowincell="f" fillcolor="silver" stroked="f">
          <v:fill opacity=".5"/>
          <v:textpath style="font-family:&quot;Calibri&quot;;font-size:1pt" string="OSNUTEK"/>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37D9C9" w14:textId="6DB1717A" w:rsidR="00C43AFA" w:rsidRDefault="007A362B">
    <w:pPr>
      <w:pStyle w:val="Header"/>
    </w:pPr>
    <w:r>
      <w:pict w14:anchorId="040277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81234" o:spid="_x0000_s2049" type="#_x0000_t136" style="position:absolute;margin-left:0;margin-top:0;width:426.35pt;height:213.15pt;rotation:315;z-index:-251657216;mso-position-horizontal:center;mso-position-horizontal-relative:margin;mso-position-vertical:center;mso-position-vertical-relative:margin" o:allowincell="f" fillcolor="silver" stroked="f">
          <v:fill opacity=".5"/>
          <v:textpath style="font-family:&quot;Calibri&quot;;font-size:1pt" string="OSNUTEK"/>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F3677A"/>
    <w:multiLevelType w:val="hybridMultilevel"/>
    <w:tmpl w:val="DADE267E"/>
    <w:lvl w:ilvl="0" w:tplc="7ACAF9D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1D9"/>
    <w:rsid w:val="00043C29"/>
    <w:rsid w:val="000725EA"/>
    <w:rsid w:val="00085E5C"/>
    <w:rsid w:val="000A360E"/>
    <w:rsid w:val="000D09C8"/>
    <w:rsid w:val="000F1FA7"/>
    <w:rsid w:val="001202C9"/>
    <w:rsid w:val="00135A34"/>
    <w:rsid w:val="001A0E85"/>
    <w:rsid w:val="001F72AF"/>
    <w:rsid w:val="0020072E"/>
    <w:rsid w:val="00205F78"/>
    <w:rsid w:val="002361F6"/>
    <w:rsid w:val="00262D43"/>
    <w:rsid w:val="002808B2"/>
    <w:rsid w:val="00297CEA"/>
    <w:rsid w:val="002B3B8C"/>
    <w:rsid w:val="002B6EA5"/>
    <w:rsid w:val="002E059E"/>
    <w:rsid w:val="002E7364"/>
    <w:rsid w:val="002F2D08"/>
    <w:rsid w:val="002F321F"/>
    <w:rsid w:val="0030792C"/>
    <w:rsid w:val="00315271"/>
    <w:rsid w:val="00322523"/>
    <w:rsid w:val="00342A16"/>
    <w:rsid w:val="00342E6F"/>
    <w:rsid w:val="00342ECF"/>
    <w:rsid w:val="003672B6"/>
    <w:rsid w:val="00367438"/>
    <w:rsid w:val="0036757A"/>
    <w:rsid w:val="00371ECC"/>
    <w:rsid w:val="00375258"/>
    <w:rsid w:val="003A5755"/>
    <w:rsid w:val="003B1472"/>
    <w:rsid w:val="003C01FE"/>
    <w:rsid w:val="003D34C1"/>
    <w:rsid w:val="003E2482"/>
    <w:rsid w:val="004046E6"/>
    <w:rsid w:val="00446523"/>
    <w:rsid w:val="004863CC"/>
    <w:rsid w:val="00495B2A"/>
    <w:rsid w:val="004B75D3"/>
    <w:rsid w:val="004D0615"/>
    <w:rsid w:val="004E04D9"/>
    <w:rsid w:val="004E692B"/>
    <w:rsid w:val="004F74F9"/>
    <w:rsid w:val="00566B83"/>
    <w:rsid w:val="005875AB"/>
    <w:rsid w:val="005A3903"/>
    <w:rsid w:val="005B713C"/>
    <w:rsid w:val="0060756F"/>
    <w:rsid w:val="00625B91"/>
    <w:rsid w:val="00626D44"/>
    <w:rsid w:val="00637A44"/>
    <w:rsid w:val="00645CA2"/>
    <w:rsid w:val="0066292F"/>
    <w:rsid w:val="00663332"/>
    <w:rsid w:val="00683DDA"/>
    <w:rsid w:val="006C33BB"/>
    <w:rsid w:val="006F6150"/>
    <w:rsid w:val="0070642B"/>
    <w:rsid w:val="0070749B"/>
    <w:rsid w:val="00732C4E"/>
    <w:rsid w:val="00751759"/>
    <w:rsid w:val="007810A1"/>
    <w:rsid w:val="00782886"/>
    <w:rsid w:val="00786BBA"/>
    <w:rsid w:val="007A1C45"/>
    <w:rsid w:val="007A362B"/>
    <w:rsid w:val="007A3FB0"/>
    <w:rsid w:val="007A788E"/>
    <w:rsid w:val="007B249D"/>
    <w:rsid w:val="007D191C"/>
    <w:rsid w:val="008030F5"/>
    <w:rsid w:val="00807CC7"/>
    <w:rsid w:val="00850604"/>
    <w:rsid w:val="0091595F"/>
    <w:rsid w:val="00915D2E"/>
    <w:rsid w:val="00932F07"/>
    <w:rsid w:val="00960353"/>
    <w:rsid w:val="009666CF"/>
    <w:rsid w:val="00977725"/>
    <w:rsid w:val="009B2F16"/>
    <w:rsid w:val="009B4D71"/>
    <w:rsid w:val="009D535A"/>
    <w:rsid w:val="009D549D"/>
    <w:rsid w:val="009D5F5F"/>
    <w:rsid w:val="009E6DFF"/>
    <w:rsid w:val="00A14A14"/>
    <w:rsid w:val="00A22623"/>
    <w:rsid w:val="00A72190"/>
    <w:rsid w:val="00AA46E2"/>
    <w:rsid w:val="00AB34D5"/>
    <w:rsid w:val="00AC1273"/>
    <w:rsid w:val="00AC1FCC"/>
    <w:rsid w:val="00AE07E9"/>
    <w:rsid w:val="00AF2436"/>
    <w:rsid w:val="00AF36BB"/>
    <w:rsid w:val="00B10219"/>
    <w:rsid w:val="00B31A90"/>
    <w:rsid w:val="00B536B0"/>
    <w:rsid w:val="00B53880"/>
    <w:rsid w:val="00B63E7C"/>
    <w:rsid w:val="00B75557"/>
    <w:rsid w:val="00B833EB"/>
    <w:rsid w:val="00B9408D"/>
    <w:rsid w:val="00B964CE"/>
    <w:rsid w:val="00BA07FB"/>
    <w:rsid w:val="00BD4C1C"/>
    <w:rsid w:val="00BE213F"/>
    <w:rsid w:val="00BF56AE"/>
    <w:rsid w:val="00C271D8"/>
    <w:rsid w:val="00C379E1"/>
    <w:rsid w:val="00C41663"/>
    <w:rsid w:val="00C43AFA"/>
    <w:rsid w:val="00C45E9E"/>
    <w:rsid w:val="00C563C6"/>
    <w:rsid w:val="00C641CC"/>
    <w:rsid w:val="00C64AF7"/>
    <w:rsid w:val="00C672BB"/>
    <w:rsid w:val="00CB2C09"/>
    <w:rsid w:val="00CB622A"/>
    <w:rsid w:val="00CE3920"/>
    <w:rsid w:val="00CE7BF8"/>
    <w:rsid w:val="00D22C61"/>
    <w:rsid w:val="00D33AD9"/>
    <w:rsid w:val="00D424D9"/>
    <w:rsid w:val="00D73317"/>
    <w:rsid w:val="00D83DA6"/>
    <w:rsid w:val="00D8658F"/>
    <w:rsid w:val="00DA1C63"/>
    <w:rsid w:val="00DD24AB"/>
    <w:rsid w:val="00DE1B9A"/>
    <w:rsid w:val="00DF1CB8"/>
    <w:rsid w:val="00E06DBE"/>
    <w:rsid w:val="00E15D60"/>
    <w:rsid w:val="00E211A6"/>
    <w:rsid w:val="00E249A6"/>
    <w:rsid w:val="00E529AA"/>
    <w:rsid w:val="00E56F07"/>
    <w:rsid w:val="00EB10E0"/>
    <w:rsid w:val="00EB7A63"/>
    <w:rsid w:val="00ED7F6F"/>
    <w:rsid w:val="00EF21D9"/>
    <w:rsid w:val="00EF3B29"/>
    <w:rsid w:val="00EF425C"/>
    <w:rsid w:val="00F05A3D"/>
    <w:rsid w:val="00F935A0"/>
    <w:rsid w:val="00FA00F0"/>
    <w:rsid w:val="00FB68B9"/>
    <w:rsid w:val="00FB69AD"/>
    <w:rsid w:val="00FD361A"/>
    <w:rsid w:val="00FD5523"/>
    <w:rsid w:val="00FE2C4F"/>
    <w:rsid w:val="00FE6AA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2E3F856"/>
  <w15:chartTrackingRefBased/>
  <w15:docId w15:val="{DDC359A1-A7A2-486B-8FB7-99B1FDC0D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55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557"/>
    <w:rPr>
      <w:rFonts w:ascii="Segoe UI" w:hAnsi="Segoe UI" w:cs="Segoe UI"/>
      <w:sz w:val="18"/>
      <w:szCs w:val="18"/>
    </w:rPr>
  </w:style>
  <w:style w:type="character" w:styleId="CommentReference">
    <w:name w:val="annotation reference"/>
    <w:basedOn w:val="DefaultParagraphFont"/>
    <w:uiPriority w:val="99"/>
    <w:semiHidden/>
    <w:unhideWhenUsed/>
    <w:rsid w:val="009D549D"/>
    <w:rPr>
      <w:sz w:val="16"/>
      <w:szCs w:val="16"/>
    </w:rPr>
  </w:style>
  <w:style w:type="paragraph" w:styleId="CommentText">
    <w:name w:val="annotation text"/>
    <w:basedOn w:val="Normal"/>
    <w:link w:val="CommentTextChar"/>
    <w:uiPriority w:val="99"/>
    <w:unhideWhenUsed/>
    <w:rsid w:val="009D549D"/>
    <w:pPr>
      <w:spacing w:line="240" w:lineRule="auto"/>
    </w:pPr>
    <w:rPr>
      <w:sz w:val="20"/>
      <w:szCs w:val="20"/>
    </w:rPr>
  </w:style>
  <w:style w:type="character" w:customStyle="1" w:styleId="CommentTextChar">
    <w:name w:val="Comment Text Char"/>
    <w:basedOn w:val="DefaultParagraphFont"/>
    <w:link w:val="CommentText"/>
    <w:uiPriority w:val="99"/>
    <w:rsid w:val="009D549D"/>
    <w:rPr>
      <w:sz w:val="20"/>
      <w:szCs w:val="20"/>
    </w:rPr>
  </w:style>
  <w:style w:type="paragraph" w:styleId="CommentSubject">
    <w:name w:val="annotation subject"/>
    <w:basedOn w:val="CommentText"/>
    <w:next w:val="CommentText"/>
    <w:link w:val="CommentSubjectChar"/>
    <w:uiPriority w:val="99"/>
    <w:semiHidden/>
    <w:unhideWhenUsed/>
    <w:rsid w:val="009D549D"/>
    <w:rPr>
      <w:b/>
      <w:bCs/>
    </w:rPr>
  </w:style>
  <w:style w:type="character" w:customStyle="1" w:styleId="CommentSubjectChar">
    <w:name w:val="Comment Subject Char"/>
    <w:basedOn w:val="CommentTextChar"/>
    <w:link w:val="CommentSubject"/>
    <w:uiPriority w:val="99"/>
    <w:semiHidden/>
    <w:rsid w:val="009D549D"/>
    <w:rPr>
      <w:b/>
      <w:bCs/>
      <w:sz w:val="20"/>
      <w:szCs w:val="20"/>
    </w:rPr>
  </w:style>
  <w:style w:type="character" w:styleId="Hyperlink">
    <w:name w:val="Hyperlink"/>
    <w:basedOn w:val="DefaultParagraphFont"/>
    <w:uiPriority w:val="99"/>
    <w:unhideWhenUsed/>
    <w:rsid w:val="00C641CC"/>
    <w:rPr>
      <w:color w:val="0000FF"/>
      <w:u w:val="single"/>
    </w:rPr>
  </w:style>
  <w:style w:type="paragraph" w:styleId="BodyText">
    <w:name w:val="Body Text"/>
    <w:basedOn w:val="Normal"/>
    <w:link w:val="BodyTextChar"/>
    <w:rsid w:val="00BF56AE"/>
    <w:pPr>
      <w:spacing w:after="120" w:line="240" w:lineRule="auto"/>
      <w:jc w:val="both"/>
    </w:pPr>
    <w:rPr>
      <w:rFonts w:ascii="Times New Roman" w:eastAsia="Times New Roman" w:hAnsi="Times New Roman" w:cs="Times New Roman"/>
      <w:sz w:val="24"/>
      <w:szCs w:val="24"/>
      <w:lang w:eastAsia="fr-FR"/>
    </w:rPr>
  </w:style>
  <w:style w:type="character" w:customStyle="1" w:styleId="BodyTextChar">
    <w:name w:val="Body Text Char"/>
    <w:basedOn w:val="DefaultParagraphFont"/>
    <w:link w:val="BodyText"/>
    <w:rsid w:val="00BF56AE"/>
    <w:rPr>
      <w:rFonts w:ascii="Times New Roman" w:eastAsia="Times New Roman" w:hAnsi="Times New Roman" w:cs="Times New Roman"/>
      <w:sz w:val="24"/>
      <w:szCs w:val="24"/>
      <w:lang w:eastAsia="fr-FR"/>
    </w:rPr>
  </w:style>
  <w:style w:type="paragraph" w:customStyle="1" w:styleId="SNDate">
    <w:name w:val="SNDate"/>
    <w:basedOn w:val="Normal"/>
    <w:next w:val="Normal"/>
    <w:link w:val="SNDateCar"/>
    <w:autoRedefine/>
    <w:rsid w:val="00BF56AE"/>
    <w:pPr>
      <w:spacing w:before="480" w:after="2760" w:line="240" w:lineRule="auto"/>
      <w:ind w:firstLine="720"/>
    </w:pPr>
    <w:rPr>
      <w:rFonts w:ascii="Times New Roman" w:eastAsia="Times New Roman" w:hAnsi="Times New Roman" w:cs="Times New Roman"/>
      <w:sz w:val="24"/>
      <w:szCs w:val="24"/>
      <w:lang w:eastAsia="fr-FR"/>
    </w:rPr>
  </w:style>
  <w:style w:type="character" w:customStyle="1" w:styleId="SNDateCar">
    <w:name w:val="SNDate Car"/>
    <w:link w:val="SNDate"/>
    <w:rsid w:val="00BF56AE"/>
    <w:rPr>
      <w:rFonts w:ascii="Times New Roman" w:eastAsia="Times New Roman" w:hAnsi="Times New Roman" w:cs="Times New Roman"/>
      <w:sz w:val="24"/>
      <w:szCs w:val="24"/>
      <w:lang w:eastAsia="fr-FR"/>
    </w:rPr>
  </w:style>
  <w:style w:type="paragraph" w:customStyle="1" w:styleId="SNREPUBLIQUE">
    <w:name w:val="SNREPUBLIQUE"/>
    <w:basedOn w:val="Normal"/>
    <w:rsid w:val="00BF56AE"/>
    <w:pPr>
      <w:spacing w:after="0" w:line="240" w:lineRule="auto"/>
      <w:jc w:val="center"/>
    </w:pPr>
    <w:rPr>
      <w:rFonts w:ascii="Times New Roman" w:eastAsia="Times New Roman" w:hAnsi="Times New Roman" w:cs="Times New Roman"/>
      <w:b/>
      <w:bCs/>
      <w:sz w:val="24"/>
      <w:szCs w:val="20"/>
      <w:lang w:eastAsia="fr-FR"/>
    </w:rPr>
  </w:style>
  <w:style w:type="paragraph" w:customStyle="1" w:styleId="SNConsultation">
    <w:name w:val="SNConsultation"/>
    <w:basedOn w:val="Normal"/>
    <w:autoRedefine/>
    <w:rsid w:val="00BF56AE"/>
    <w:pPr>
      <w:widowControl w:val="0"/>
      <w:suppressAutoHyphens/>
      <w:spacing w:before="120" w:after="120" w:line="240" w:lineRule="auto"/>
      <w:ind w:firstLine="709"/>
      <w:jc w:val="both"/>
    </w:pPr>
    <w:rPr>
      <w:rFonts w:ascii="Times New Roman" w:eastAsia="Lucida Sans Unicode" w:hAnsi="Times New Roman" w:cs="Times New Roman"/>
      <w:sz w:val="24"/>
      <w:szCs w:val="24"/>
      <w:lang w:eastAsia="fr-FR"/>
    </w:rPr>
  </w:style>
  <w:style w:type="paragraph" w:customStyle="1" w:styleId="SNNature">
    <w:name w:val="SNNature"/>
    <w:basedOn w:val="Normal"/>
    <w:next w:val="SNtitre"/>
    <w:autoRedefine/>
    <w:rsid w:val="00BF56AE"/>
    <w:pPr>
      <w:widowControl w:val="0"/>
      <w:suppressLineNumbers/>
      <w:suppressAutoHyphens/>
      <w:spacing w:before="720" w:after="120" w:line="240" w:lineRule="auto"/>
      <w:jc w:val="center"/>
    </w:pPr>
    <w:rPr>
      <w:rFonts w:ascii="Times New Roman" w:eastAsia="Lucida Sans Unicode" w:hAnsi="Times New Roman" w:cs="Times New Roman"/>
      <w:b/>
      <w:bCs/>
      <w:sz w:val="24"/>
      <w:szCs w:val="24"/>
      <w:lang w:eastAsia="fr-FR"/>
    </w:rPr>
  </w:style>
  <w:style w:type="paragraph" w:customStyle="1" w:styleId="SNtitre">
    <w:name w:val="SNtitre"/>
    <w:basedOn w:val="Normal"/>
    <w:next w:val="SNNORCentr"/>
    <w:autoRedefine/>
    <w:rsid w:val="00BF56AE"/>
    <w:pPr>
      <w:widowControl w:val="0"/>
      <w:suppressLineNumbers/>
      <w:suppressAutoHyphens/>
      <w:spacing w:after="360" w:line="240" w:lineRule="auto"/>
      <w:jc w:val="center"/>
    </w:pPr>
    <w:rPr>
      <w:rFonts w:ascii="Times New Roman" w:eastAsia="Lucida Sans Unicode" w:hAnsi="Times New Roman" w:cs="Times New Roman"/>
      <w:b/>
      <w:sz w:val="24"/>
      <w:szCs w:val="24"/>
      <w:lang w:eastAsia="fr-FR"/>
    </w:rPr>
  </w:style>
  <w:style w:type="paragraph" w:customStyle="1" w:styleId="SNNORCentr">
    <w:name w:val="SNNOR+Centré"/>
    <w:next w:val="SNAutorit"/>
    <w:rsid w:val="00BF56AE"/>
    <w:pPr>
      <w:spacing w:after="0" w:line="240" w:lineRule="auto"/>
      <w:jc w:val="center"/>
    </w:pPr>
    <w:rPr>
      <w:rFonts w:ascii="Times New Roman" w:eastAsia="Times New Roman" w:hAnsi="Times New Roman" w:cs="Times New Roman"/>
      <w:bCs/>
      <w:sz w:val="24"/>
      <w:szCs w:val="20"/>
      <w:lang w:eastAsia="fr-FR"/>
    </w:rPr>
  </w:style>
  <w:style w:type="paragraph" w:customStyle="1" w:styleId="SNAutorit">
    <w:name w:val="SNAutorité"/>
    <w:basedOn w:val="Normal"/>
    <w:autoRedefine/>
    <w:rsid w:val="00BF56AE"/>
    <w:pPr>
      <w:spacing w:before="720" w:after="240" w:line="240" w:lineRule="auto"/>
      <w:ind w:firstLine="720"/>
    </w:pPr>
    <w:rPr>
      <w:rFonts w:ascii="Times New Roman" w:eastAsia="Times New Roman" w:hAnsi="Times New Roman" w:cs="Times New Roman"/>
      <w:b/>
      <w:sz w:val="24"/>
      <w:szCs w:val="24"/>
      <w:lang w:eastAsia="fr-FR"/>
    </w:rPr>
  </w:style>
  <w:style w:type="paragraph" w:customStyle="1" w:styleId="SNTimbre">
    <w:name w:val="SNTimbre"/>
    <w:basedOn w:val="Normal"/>
    <w:link w:val="SNTimbreCar"/>
    <w:autoRedefine/>
    <w:rsid w:val="00BF56AE"/>
    <w:pPr>
      <w:widowControl w:val="0"/>
      <w:suppressAutoHyphens/>
      <w:snapToGrid w:val="0"/>
      <w:spacing w:before="120" w:after="0" w:line="240" w:lineRule="auto"/>
      <w:jc w:val="center"/>
    </w:pPr>
    <w:rPr>
      <w:rFonts w:ascii="Times New Roman" w:eastAsia="Lucida Sans Unicode" w:hAnsi="Times New Roman" w:cs="Times New Roman"/>
      <w:sz w:val="24"/>
      <w:szCs w:val="24"/>
      <w:lang w:eastAsia="fr-FR"/>
    </w:rPr>
  </w:style>
  <w:style w:type="character" w:customStyle="1" w:styleId="SNTimbreCar">
    <w:name w:val="SNTimbre Car"/>
    <w:link w:val="SNTimbre"/>
    <w:rsid w:val="00BF56AE"/>
    <w:rPr>
      <w:rFonts w:ascii="Times New Roman" w:eastAsia="Lucida Sans Unicode" w:hAnsi="Times New Roman" w:cs="Times New Roman"/>
      <w:sz w:val="24"/>
      <w:szCs w:val="24"/>
      <w:lang w:eastAsia="fr-FR"/>
    </w:rPr>
  </w:style>
  <w:style w:type="paragraph" w:customStyle="1" w:styleId="SNRapport">
    <w:name w:val="SNRapport"/>
    <w:basedOn w:val="Normal"/>
    <w:autoRedefine/>
    <w:rsid w:val="00BF56AE"/>
    <w:pPr>
      <w:spacing w:before="240" w:after="120" w:line="240" w:lineRule="auto"/>
      <w:ind w:firstLine="720"/>
    </w:pPr>
    <w:rPr>
      <w:rFonts w:ascii="Times New Roman" w:eastAsia="Times New Roman" w:hAnsi="Times New Roman" w:cs="Times New Roman"/>
      <w:sz w:val="24"/>
      <w:szCs w:val="24"/>
      <w:lang w:eastAsia="fr-FR"/>
    </w:rPr>
  </w:style>
  <w:style w:type="paragraph" w:customStyle="1" w:styleId="SNVisa">
    <w:name w:val="SNVisa"/>
    <w:basedOn w:val="Normal"/>
    <w:autoRedefine/>
    <w:rsid w:val="00BF56AE"/>
    <w:pPr>
      <w:spacing w:before="120" w:after="120" w:line="240" w:lineRule="auto"/>
      <w:ind w:firstLine="720"/>
      <w:jc w:val="both"/>
    </w:pPr>
    <w:rPr>
      <w:rFonts w:ascii="Times New Roman" w:eastAsia="Times New Roman" w:hAnsi="Times New Roman" w:cs="Times New Roman"/>
      <w:sz w:val="24"/>
      <w:szCs w:val="24"/>
      <w:lang w:eastAsia="fr-FR"/>
    </w:rPr>
  </w:style>
  <w:style w:type="paragraph" w:styleId="Header">
    <w:name w:val="header"/>
    <w:basedOn w:val="Normal"/>
    <w:link w:val="HeaderChar"/>
    <w:unhideWhenUsed/>
    <w:rsid w:val="00C43AFA"/>
    <w:pPr>
      <w:tabs>
        <w:tab w:val="center" w:pos="4536"/>
        <w:tab w:val="right" w:pos="9072"/>
      </w:tabs>
      <w:spacing w:after="0" w:line="240" w:lineRule="auto"/>
    </w:pPr>
  </w:style>
  <w:style w:type="character" w:customStyle="1" w:styleId="HeaderChar">
    <w:name w:val="Header Char"/>
    <w:basedOn w:val="DefaultParagraphFont"/>
    <w:link w:val="Header"/>
    <w:rsid w:val="00C43AFA"/>
  </w:style>
  <w:style w:type="paragraph" w:styleId="Footer">
    <w:name w:val="footer"/>
    <w:basedOn w:val="Normal"/>
    <w:link w:val="FooterChar"/>
    <w:uiPriority w:val="99"/>
    <w:unhideWhenUsed/>
    <w:rsid w:val="00C43AFA"/>
    <w:pPr>
      <w:tabs>
        <w:tab w:val="center" w:pos="4536"/>
        <w:tab w:val="right" w:pos="9072"/>
      </w:tabs>
      <w:spacing w:after="0" w:line="240" w:lineRule="auto"/>
    </w:pPr>
  </w:style>
  <w:style w:type="character" w:customStyle="1" w:styleId="FooterChar">
    <w:name w:val="Footer Char"/>
    <w:basedOn w:val="DefaultParagraphFont"/>
    <w:link w:val="Footer"/>
    <w:uiPriority w:val="99"/>
    <w:rsid w:val="00C43AFA"/>
  </w:style>
  <w:style w:type="paragraph" w:styleId="FootnoteText">
    <w:name w:val="footnote text"/>
    <w:basedOn w:val="Normal"/>
    <w:link w:val="FootnoteTextChar"/>
    <w:uiPriority w:val="99"/>
    <w:semiHidden/>
    <w:unhideWhenUsed/>
    <w:rsid w:val="00C64A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4AF7"/>
    <w:rPr>
      <w:sz w:val="20"/>
      <w:szCs w:val="20"/>
    </w:rPr>
  </w:style>
  <w:style w:type="character" w:styleId="FootnoteReference">
    <w:name w:val="footnote reference"/>
    <w:basedOn w:val="DefaultParagraphFont"/>
    <w:uiPriority w:val="99"/>
    <w:semiHidden/>
    <w:unhideWhenUsed/>
    <w:rsid w:val="00C64A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0953758">
      <w:bodyDiv w:val="1"/>
      <w:marLeft w:val="0"/>
      <w:marRight w:val="0"/>
      <w:marTop w:val="0"/>
      <w:marBottom w:val="0"/>
      <w:divBdr>
        <w:top w:val="none" w:sz="0" w:space="0" w:color="auto"/>
        <w:left w:val="none" w:sz="0" w:space="0" w:color="auto"/>
        <w:bottom w:val="none" w:sz="0" w:space="0" w:color="auto"/>
        <w:right w:val="none" w:sz="0" w:space="0" w:color="auto"/>
      </w:divBdr>
    </w:div>
    <w:div w:id="1162161181">
      <w:bodyDiv w:val="1"/>
      <w:marLeft w:val="0"/>
      <w:marRight w:val="0"/>
      <w:marTop w:val="0"/>
      <w:marBottom w:val="0"/>
      <w:divBdr>
        <w:top w:val="none" w:sz="0" w:space="0" w:color="auto"/>
        <w:left w:val="none" w:sz="0" w:space="0" w:color="auto"/>
        <w:bottom w:val="none" w:sz="0" w:space="0" w:color="auto"/>
        <w:right w:val="none" w:sz="0" w:space="0" w:color="auto"/>
      </w:divBdr>
    </w:div>
    <w:div w:id="1883596365">
      <w:bodyDiv w:val="1"/>
      <w:marLeft w:val="0"/>
      <w:marRight w:val="0"/>
      <w:marTop w:val="0"/>
      <w:marBottom w:val="0"/>
      <w:divBdr>
        <w:top w:val="none" w:sz="0" w:space="0" w:color="auto"/>
        <w:left w:val="none" w:sz="0" w:space="0" w:color="auto"/>
        <w:bottom w:val="none" w:sz="0" w:space="0" w:color="auto"/>
        <w:right w:val="none" w:sz="0" w:space="0" w:color="auto"/>
      </w:divBdr>
      <w:divsChild>
        <w:div w:id="1167281085">
          <w:marLeft w:val="0"/>
          <w:marRight w:val="0"/>
          <w:marTop w:val="0"/>
          <w:marBottom w:val="0"/>
          <w:divBdr>
            <w:top w:val="none" w:sz="0" w:space="0" w:color="auto"/>
            <w:left w:val="none" w:sz="0" w:space="0" w:color="auto"/>
            <w:bottom w:val="none" w:sz="0" w:space="0" w:color="auto"/>
            <w:right w:val="none" w:sz="0" w:space="0" w:color="auto"/>
          </w:divBdr>
        </w:div>
        <w:div w:id="5647972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 standalone="yes"?>
<Relationships xmlns="http://schemas.openxmlformats.org/package/2006/relationships"><Relationship Id="rId8" Type="http://schemas.openxmlformats.org/officeDocument/2006/relationships/hyperlink" Target="https://www.legifrance.gouv.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22E60-CC4A-4B73-8731-1A1069532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1367</Words>
  <Characters>7795</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MTES</Company>
  <LinksUpToDate>false</LinksUpToDate>
  <CharactersWithSpaces>9144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FEVRE Cecile</dc:creator>
  <cp:keywords/>
  <dc:description/>
  <cp:lastModifiedBy>KARAGIANNI, Maria</cp:lastModifiedBy>
  <cp:revision>3</cp:revision>
  <cp:lastPrinted>2020-02-11T15:37:00Z</cp:lastPrinted>
  <dcterms:created xsi:type="dcterms:W3CDTF">2020-06-26T08:12:00Z</dcterms:created>
  <dcterms:modified xsi:type="dcterms:W3CDTF">2020-06-26T17:18:00Z</dcterms:modified>
</cp:coreProperties>
</file>