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7248C" w14:textId="77777777" w:rsidR="00A87D68" w:rsidRPr="00A87D68" w:rsidRDefault="00A87D68" w:rsidP="00A87D68">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2020 m. gruodžio 31 d. Dekretas Nr. 2020-1828 dėl tam tikrų vienkartinių plastikinių gaminių draudimo</w:t>
      </w:r>
    </w:p>
    <w:p w14:paraId="6361B4B2" w14:textId="77777777" w:rsidR="00A87D68" w:rsidRPr="00A87D68" w:rsidRDefault="00A87D68" w:rsidP="00A87D68">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Pradinė versija</w:t>
      </w:r>
      <w:r>
        <w:rPr>
          <w:b/>
          <w:sz w:val="24"/>
          <w:rFonts w:ascii="Times New Roman" w:hAnsi="Times New Roman"/>
        </w:rPr>
        <w:t xml:space="preserve"> </w:t>
      </w:r>
    </w:p>
    <w:p w14:paraId="365E0674"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Tikslinė auditorija – </w:t>
      </w:r>
      <w:r>
        <w:rPr>
          <w:sz w:val="24"/>
          <w:rFonts w:ascii="Times New Roman" w:hAnsi="Times New Roman"/>
        </w:rPr>
        <w:t xml:space="preserve">fiziniai ar juridiniai asmenys, kurie savo verslo tikslais už atlygį ar nemokamai pristato, naudoja, platina ar teikia tam tikrus vienkartinius plastikinius gaminius.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Objektas: draudimo teikti tam tikrus vienkartinius plastikinius gaminius taikymo sąlygos.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Įsigaliojimas:</w:t>
      </w:r>
      <w:r>
        <w:rPr>
          <w:sz w:val="24"/>
          <w:rFonts w:ascii="Times New Roman" w:hAnsi="Times New Roman"/>
        </w:rPr>
        <w:t xml:space="preserve"> dekretas įsigalioja kitą dieną po jo paskelbimo, išskyrus tam tikras 2 straipsnio nuostatas, kurios įsigalioja 2021 m. liepos 3 d.</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Pastaba. Dekretu apibrėžiamos tam tikrų 2020 m. vasario 10 d. įstatymo dėl kovos su švaistymu ir žiedinės ekonomikos nuostatų taikymo sąlygos, kuriomis siekiama uždrausti tiekti tam tikrus vienkartinius plastikinius gaminius.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Jame paaiškinami su tam tikrais vienkartiniais plastikiniais gaminiais susiję draudimai remiantis įstatymais numatytais naujais draudimais.</w:t>
      </w:r>
      <w:r>
        <w:rPr>
          <w:sz w:val="24"/>
          <w:rFonts w:ascii="Times New Roman" w:hAnsi="Times New Roman"/>
        </w:rPr>
        <w:t xml:space="preserve"> </w:t>
      </w:r>
      <w:r>
        <w:rPr>
          <w:sz w:val="24"/>
          <w:rFonts w:ascii="Times New Roman" w:hAnsi="Times New Roman"/>
        </w:rPr>
        <w:t xml:space="preserve">Palaipsniui draudžiama teikti įstatyme numatytus vienkartinius plastikinius gaminius pasibaigus jų atsargoms ir ne vėliau kaip iki 2021 m. liepos 1 d.</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Nuorodos:</w:t>
      </w:r>
      <w:r>
        <w:rPr>
          <w:sz w:val="24"/>
          <w:rFonts w:ascii="Times New Roman" w:hAnsi="Times New Roman"/>
        </w:rPr>
        <w:t xml:space="preserve"> su Aplinkosaugos kodeksu su pakeitimais, padarytais šiuo dekretu, galima susipažinti Légifrance svetainėje (</w:t>
      </w:r>
      <w:r>
        <w:rPr>
          <w:sz w:val="24"/>
          <w:rFonts w:ascii="Times New Roman" w:hAnsi="Times New Roman"/>
        </w:rPr>
        <w:t xml:space="preserve">http://www.legifrance.gouv.fr</w:t>
      </w:r>
      <w:r>
        <w:rPr>
          <w:sz w:val="24"/>
          <w:rFonts w:ascii="Times New Roman" w:hAnsi="Times New Roman"/>
        </w:rPr>
        <w:t xml:space="preserve">).</w:t>
      </w:r>
      <w:r>
        <w:rPr>
          <w:sz w:val="24"/>
          <w:rFonts w:ascii="Times New Roman" w:hAnsi="Times New Roman"/>
        </w:rPr>
        <w:t xml:space="preserve"> </w:t>
      </w:r>
    </w:p>
    <w:p w14:paraId="7702FDAA"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Ministras Pirmininkas,</w:t>
      </w:r>
    </w:p>
    <w:p w14:paraId="65FEAD9C"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ekologinės pertvarkos ministrės rekomendaciją,</w:t>
      </w:r>
    </w:p>
    <w:p w14:paraId="03A62F73" w14:textId="66C8E04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2017 m. balandžio 5 d. Europos Parlamento ir Tarybos reglamentą (ES) 2017/745 dėl medicinos priemonių, kuriuo iš dalies keičiama Direktyva 2001/83/EB, Reglamentas (EB) Nr. 178/2002 ir Reglamentas (EB) Nr. 1223/2009, ir kuriuo panaikinamos Tarybos direktyvos 90/385/EEB ir 93/42/EEB,</w:t>
      </w:r>
    </w:p>
    <w:p w14:paraId="3FAA5957" w14:textId="7A51292C"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Direktyvą 90/385/EEB dėl valstybių narių įstatymų, reglamentuojančių aktyviuosius implantuojamus medicinos prietaisus, suderinimo,</w:t>
      </w:r>
    </w:p>
    <w:p w14:paraId="5D6156F0" w14:textId="16A58415"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Direktyvą 93/42/EEB dėl medicinos prietaisų,</w:t>
      </w:r>
    </w:p>
    <w:p w14:paraId="7AA0FEDF" w14:textId="61DC597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1994 m. gruodžio 20 d. Europos Parlamento ir Tarybos direktyvą 94/62/EB dėl pakuočių ir pakuočių atliekų su pakeitimais, padarytais 2004 m. vasario 11 d. Europos Parlamento ir Tarybos direktyva 2004/12/EB,</w:t>
      </w:r>
    </w:p>
    <w:p w14:paraId="47DD7FAF"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2008 m. lapkričio 19 d. Europos Parlamento ir Tarybos direktyvą 2008/98/EB dėl atliekų ir panaikinančią tam tikras direktyvas su paskutiniais pakeitimais, padarytais 2018 m. gegužės 30 d. Direktyva (ES) 2018/851,</w:t>
      </w:r>
    </w:p>
    <w:p w14:paraId="65EA85D0"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2015 m. rugsėjo 9 d. Europos Parlamento ir Tarybos direktyvą (ES) 2015/1535, kuria nustatoma informacijos apie techninius reglamentus ir informacinės visuomenės paslaugų taisykles teikimo tvarka, taip pat į pranešimą Nr. 2020/401/F, kuris išsiųstas Europos Komisijai 2020 m. birželio 26 d.,</w:t>
      </w:r>
    </w:p>
    <w:p w14:paraId="6B1E7B4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2019 m. birželio 5 d. Europos Parlamento ir Tarybos direktyvą (ES) 2019/904 dėl tam tikrų plastikinių gaminių poveikio aplinkai mažinimo,</w:t>
      </w:r>
    </w:p>
    <w:p w14:paraId="605A4402"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Aplinkosaugos kodeksą, ypač jo L. 541-15-10 straipsnį,</w:t>
      </w:r>
    </w:p>
    <w:p w14:paraId="4C7612C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2019 m. gruodžio 24 d. Dekretą Nr. 2019-1451 dėl tam tikrų vienkartinių plastikinių gaminių draudimo,</w:t>
      </w:r>
    </w:p>
    <w:p w14:paraId="4ECDA807"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viešosios konsultacijos, kuri vyko nuo </w:t>
      </w:r>
      <w:r>
        <w:rPr>
          <w:sz w:val="24"/>
          <w:rFonts w:ascii="Times New Roman" w:hAnsi="Times New Roman"/>
        </w:rPr>
        <w:t xml:space="preserve">2020 m. birželio 22</w:t>
      </w:r>
      <w:r>
        <w:rPr>
          <w:sz w:val="24"/>
          <w:rFonts w:ascii="Times New Roman" w:hAnsi="Times New Roman"/>
        </w:rPr>
        <w:t xml:space="preserve"> d. iki </w:t>
      </w:r>
      <w:r>
        <w:rPr>
          <w:sz w:val="24"/>
          <w:rFonts w:ascii="Times New Roman" w:hAnsi="Times New Roman"/>
        </w:rPr>
        <w:t xml:space="preserve">liepos 13 d., metu pateiktas pastabas taikant Aplinkosaugos kodekso L. 123-19-1 straipsnį,</w:t>
      </w:r>
    </w:p>
    <w:p w14:paraId="502A584C" w14:textId="5C1939DD" w:rsidR="00A87D68" w:rsidRPr="00A87D68"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nutaria tai, kas nurodyta toliau.</w:t>
      </w:r>
    </w:p>
    <w:p w14:paraId="038A3261"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1 straipsnis</w:t>
      </w:r>
    </w:p>
    <w:p w14:paraId="34556B73"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Aplinkosaugos kodekso norminės dalies V knygos IV antraštinės dalies I skyriaus 10 skirsnio 3 poskirsnis iš dalies keičiamas taip, kaip nurodyta toliau.</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D. 541-330 straipsnio 1 dalyje įterpiami žodžiai</w:t>
      </w:r>
      <w:r>
        <w:rPr>
          <w:sz w:val="24"/>
          <w:rFonts w:ascii="Times New Roman" w:hAnsi="Times New Roman"/>
        </w:rPr>
        <w:t xml:space="preserve"> </w:t>
      </w:r>
      <w:r>
        <w:rPr>
          <w:sz w:val="24"/>
          <w:rFonts w:ascii="Times New Roman" w:hAnsi="Times New Roman"/>
        </w:rPr>
        <w:t xml:space="preserve">„bei dažai, rašalai ir klijai“.</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D. 541-330 straipsnio 6 dalis pakeičiama šiuo punktu:</w:t>
      </w:r>
      <w:r>
        <w:rPr>
          <w:sz w:val="24"/>
          <w:rFonts w:ascii="Times New Roman" w:hAnsi="Times New Roman"/>
        </w:rPr>
        <w:br/>
      </w: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aerobiškai skaidūs plastikai – plastikai, kurių sudėtyje yra priedų, kuriems oksiduojantis plastikas susiskaido į mikrodaleles arba vyksta cheminis skilimas;“.</w:t>
      </w:r>
      <w:r>
        <w:rPr>
          <w:sz w:val="24"/>
          <w:rFonts w:ascii="Times New Roman" w:hAnsi="Times New Roman"/>
        </w:rPr>
        <w:br/>
      </w: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D. 541-330 straipsnio 7 dalis pakeičiama taip:</w:t>
      </w: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puodeliai ir stiklinės:</w:t>
      </w:r>
      <w:r>
        <w:rPr>
          <w:sz w:val="24"/>
          <w:rFonts w:ascii="Times New Roman" w:hAnsi="Times New Roman"/>
        </w:rPr>
        <w:br/>
      </w:r>
      <w:r>
        <w:rPr>
          <w:sz w:val="24"/>
          <w:rFonts w:ascii="Times New Roman" w:hAnsi="Times New Roman"/>
        </w:rPr>
        <w:t xml:space="preserve">a) gėrimų indeliai ir stiklinės, visiškai arba iš dalies pagaminti iš polistireninio putplasčio, įskaitant jų kamštelius ir dangtelius;</w:t>
      </w:r>
      <w:r>
        <w:rPr>
          <w:sz w:val="24"/>
          <w:rFonts w:ascii="Times New Roman" w:hAnsi="Times New Roman"/>
        </w:rPr>
        <w:br/>
      </w:r>
      <w:r>
        <w:rPr>
          <w:sz w:val="24"/>
          <w:rFonts w:ascii="Times New Roman" w:hAnsi="Times New Roman"/>
        </w:rPr>
        <w:t xml:space="preserve">b) gėrimų indeliai ir stiklinės, išskyrus nurodytus a punkte ir pagaminti tik iš plastiko;“.</w:t>
      </w:r>
      <w:r>
        <w:rPr>
          <w:sz w:val="24"/>
          <w:rFonts w:ascii="Times New Roman" w:hAnsi="Times New Roman"/>
        </w:rPr>
        <w:br/>
      </w: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D. 541-330 straipsnio 8 dalyje įterpiamas šis sakinys:</w:t>
      </w:r>
      <w:r>
        <w:rPr>
          <w:sz w:val="24"/>
          <w:rFonts w:ascii="Times New Roman" w:hAnsi="Times New Roman"/>
        </w:rPr>
        <w:t xml:space="preserve"> </w:t>
      </w:r>
      <w:r>
        <w:rPr>
          <w:sz w:val="24"/>
          <w:rFonts w:ascii="Times New Roman" w:hAnsi="Times New Roman"/>
        </w:rPr>
        <w:t xml:space="preserve">„ir „kitos lėkštės – lėkštės, iš dalies pagamintos iš plastiko, įskaitant su plastikine plėvele;“.</w:t>
      </w:r>
      <w:r>
        <w:rPr>
          <w:sz w:val="24"/>
          <w:rFonts w:ascii="Times New Roman" w:hAnsi="Times New Roman"/>
        </w:rPr>
        <w:br/>
      </w: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D. 541-330 straipsnio 9–15 dalys pakeičiamos 9–13 dalimis taip:</w:t>
      </w:r>
      <w:r>
        <w:rPr>
          <w:sz w:val="24"/>
          <w:rFonts w:ascii="Times New Roman" w:hAnsi="Times New Roman"/>
        </w:rPr>
        <w:br/>
      </w:r>
      <w:r>
        <w:rPr>
          <w:sz w:val="24"/>
          <w:rFonts w:ascii="Times New Roman" w:hAnsi="Times New Roman"/>
        </w:rPr>
        <w:t xml:space="preserve">„9.</w:t>
      </w:r>
      <w:r>
        <w:rPr>
          <w:sz w:val="24"/>
          <w:rFonts w:ascii="Times New Roman" w:hAnsi="Times New Roman"/>
        </w:rPr>
        <w:t xml:space="preserve"> </w:t>
      </w:r>
      <w:r>
        <w:rPr>
          <w:sz w:val="24"/>
          <w:rFonts w:ascii="Times New Roman" w:hAnsi="Times New Roman"/>
        </w:rPr>
        <w:t xml:space="preserve">Stalo įrankiai – šakutės, peiliai, šaukštai, lazdelės ir kiti panašūs stalo įrankiai, naudojami maistui imti, pjaustyti ar maišyti, išskyrus stalo įrankius, kurie naudojami įkalinimo įstaigose, sveikatos priežiūros įstaigose ir oro, geležinkelių bei jūros transporto priemonėse, ir ne maisto dozavimo indus.</w:t>
      </w:r>
      <w:r>
        <w:rPr>
          <w:sz w:val="24"/>
          <w:rFonts w:ascii="Times New Roman" w:hAnsi="Times New Roman"/>
        </w:rPr>
        <w:br/>
      </w:r>
      <w:r>
        <w:rPr>
          <w:sz w:val="24"/>
          <w:rFonts w:ascii="Times New Roman" w:hAnsi="Times New Roman"/>
        </w:rPr>
        <w:t xml:space="preserve">10.</w:t>
      </w:r>
      <w:r>
        <w:rPr>
          <w:sz w:val="24"/>
          <w:rFonts w:ascii="Times New Roman" w:hAnsi="Times New Roman"/>
        </w:rPr>
        <w:t xml:space="preserve"> </w:t>
      </w:r>
      <w:r>
        <w:rPr>
          <w:sz w:val="24"/>
          <w:rFonts w:ascii="Times New Roman" w:hAnsi="Times New Roman"/>
        </w:rPr>
        <w:t xml:space="preserve">Polistireninio putplasčio tara arba talpyklos:</w:t>
      </w:r>
      <w:r>
        <w:rPr>
          <w:sz w:val="24"/>
          <w:rFonts w:ascii="Times New Roman" w:hAnsi="Times New Roman"/>
        </w:rPr>
        <w:br/>
      </w:r>
      <w:r>
        <w:rPr>
          <w:sz w:val="24"/>
          <w:rFonts w:ascii="Times New Roman" w:hAnsi="Times New Roman"/>
        </w:rPr>
        <w:t xml:space="preserve">a) polistireninio putplasčio maisto tara, skirta vartoti vietoje arba išsinešti, t. y. tara, kaip antai dėžutės su dangteliais arba be jų, kuriose laikomas maistas, kuris, skirtas nedelsiant suvartoti vietoje arba išsinešti, paprastai yra suvartojamas tiesiai iš talpyklos ir yra paruoštas suvartoti be papildomo paruošimo, pavyzdžiui, kepimo, virimo ar pašildymo, išskyrus gėrimų tarą, lėkštes, pakelius ir pakuotes, kuriuose pateikiamas maistas;</w:t>
      </w:r>
    </w:p>
    <w:p w14:paraId="3611C100" w14:textId="62260021"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 polistireninio putplasčio gėrimų tara, įskaitant jų kamštelius ir dangtelius.</w:t>
      </w:r>
    </w:p>
    <w:p w14:paraId="2B76CB27" w14:textId="0E74E8C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11.</w:t>
      </w:r>
      <w:r>
        <w:rPr>
          <w:sz w:val="24"/>
          <w:rFonts w:ascii="Times New Roman" w:hAnsi="Times New Roman"/>
        </w:rPr>
        <w:t xml:space="preserve"> </w:t>
      </w:r>
      <w:r>
        <w:rPr>
          <w:sz w:val="24"/>
          <w:rFonts w:ascii="Times New Roman" w:hAnsi="Times New Roman"/>
        </w:rPr>
        <w:t xml:space="preserve">Šiaudeliai, išskyrus skirtus naudoti medicinos reikmėms, – šiaudeliai, tiekiami vartojimo vietoje arba parduodami atskirai ar partijomis galutiniam vartotojui, išskyrus tuos, kuriems taikoma Direktyva 90/385/EEB, Direktyva 93/42/EEB arba Reglamentas (ES) 2017/745.</w:t>
      </w:r>
    </w:p>
    <w:p w14:paraId="09EEDEF2"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12.</w:t>
      </w:r>
      <w:r>
        <w:rPr>
          <w:sz w:val="24"/>
          <w:rFonts w:ascii="Times New Roman" w:hAnsi="Times New Roman"/>
        </w:rPr>
        <w:t xml:space="preserve"> </w:t>
      </w:r>
      <w:r>
        <w:rPr>
          <w:sz w:val="24"/>
          <w:rFonts w:ascii="Times New Roman" w:hAnsi="Times New Roman"/>
        </w:rPr>
        <w:t xml:space="preserve">Vienkartiniai puodelių dangteliai – gėrimams skirtų stiklių ar puodelių dangteliai.</w:t>
      </w:r>
    </w:p>
    <w:p w14:paraId="74B9A58F" w14:textId="3464612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13.</w:t>
      </w:r>
      <w:r>
        <w:rPr>
          <w:sz w:val="24"/>
          <w:rFonts w:ascii="Times New Roman" w:hAnsi="Times New Roman"/>
        </w:rPr>
        <w:t xml:space="preserve"> </w:t>
      </w:r>
      <w:r>
        <w:rPr>
          <w:sz w:val="24"/>
          <w:rFonts w:ascii="Times New Roman" w:hAnsi="Times New Roman"/>
        </w:rPr>
        <w:t xml:space="preserve">Konfeti – konfeti, skirti naudoti dekoratyviniais ar šventiniais tikslais;“.</w:t>
      </w:r>
    </w:p>
    <w:p w14:paraId="1D5475A7" w14:textId="5C3C0670" w:rsidR="00A87D68" w:rsidRPr="00A87D68" w:rsidRDefault="00A87D68" w:rsidP="000967A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D. 541-331 straipsnis išdėstomas taip:</w:t>
      </w:r>
      <w:r>
        <w:rPr>
          <w:sz w:val="24"/>
          <w:rFonts w:ascii="Times New Roman" w:hAnsi="Times New Roman"/>
        </w:rPr>
        <w:br/>
      </w:r>
      <w:r>
        <w:rPr>
          <w:sz w:val="24"/>
          <w:rFonts w:ascii="Times New Roman" w:hAnsi="Times New Roman"/>
        </w:rPr>
        <w:t xml:space="preserve">„D. 541-331 straipsnis.</w:t>
      </w:r>
      <w:r>
        <w:rPr>
          <w:sz w:val="24"/>
          <w:rFonts w:ascii="Times New Roman" w:hAnsi="Times New Roman"/>
        </w:rPr>
        <w:t xml:space="preserve"> </w:t>
      </w:r>
      <w:r>
        <w:rPr>
          <w:sz w:val="24"/>
          <w:rFonts w:ascii="Times New Roman" w:hAnsi="Times New Roman"/>
        </w:rPr>
        <w:t xml:space="preserve">„Draudimas tiekti vienkartinius plastikinius gaminius, nurodytus L. 541-15-10 straipsnio III dalies 1 ir 2 punktuose, netaikomas gaminiams, kurie klasifikuojami kaip pakuotės, kaip apibrėžta Aplinkosaugos kodekso R. 543-43 straipsnyje.“</w:t>
      </w:r>
      <w:r>
        <w:rPr>
          <w:sz w:val="24"/>
          <w:rFonts w:ascii="Times New Roman" w:hAnsi="Times New Roman"/>
        </w:rPr>
        <w:t xml:space="preserve"> </w:t>
      </w:r>
    </w:p>
    <w:p w14:paraId="4C324688"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D. 541-332 straipsnis iš dalies keičiamas taip:</w:t>
      </w:r>
    </w:p>
    <w:p w14:paraId="3FC8B87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 541-332 straipsnis.</w:t>
      </w:r>
      <w:r>
        <w:rPr>
          <w:sz w:val="24"/>
          <w:rFonts w:ascii="Times New Roman" w:hAnsi="Times New Roman"/>
        </w:rPr>
        <w:t xml:space="preserve"> </w:t>
      </w:r>
      <w:r>
        <w:rPr>
          <w:sz w:val="24"/>
          <w:rFonts w:ascii="Times New Roman" w:hAnsi="Times New Roman"/>
        </w:rPr>
        <w:t xml:space="preserve">Draudimas tiekti L. 541-15-10 straipsnio III dalies 1 ir 2 punktuose nurodytus vienkartinius plastikinius gaminius taip pat taikomas plastikiniams gaminiams, kurių patvarumo, stiprumo ir tvirtumo savybės yra panašios į vienkartinių gaminių savybes.</w:t>
      </w:r>
      <w:r>
        <w:rPr>
          <w:sz w:val="24"/>
          <w:rFonts w:ascii="Times New Roman" w:hAnsi="Times New Roman"/>
        </w:rPr>
        <w:t xml:space="preserve"> </w:t>
      </w:r>
      <w:r>
        <w:rPr>
          <w:sz w:val="24"/>
          <w:rFonts w:ascii="Times New Roman" w:hAnsi="Times New Roman"/>
        </w:rPr>
        <w:t xml:space="preserve">Šis draudimas netaikomas gaminiams, kurie yra sukurti, suprojektuoti ir pateikti rinkai taip, kad per jų gyvavimo trukmę juos būtų galima panaudoti daugelį kartų ar ciklų juos grąžinant gamintojui, kad pastarasis juos užpildytų.“</w:t>
      </w:r>
      <w:r>
        <w:rPr>
          <w:sz w:val="24"/>
          <w:rFonts w:ascii="Times New Roman" w:hAnsi="Times New Roman"/>
        </w:rPr>
        <w:t xml:space="preserve"> </w:t>
      </w:r>
    </w:p>
    <w:p w14:paraId="12592D4F"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8.</w:t>
      </w:r>
      <w:r>
        <w:rPr>
          <w:sz w:val="24"/>
          <w:rFonts w:ascii="Times New Roman" w:hAnsi="Times New Roman"/>
        </w:rPr>
        <w:t xml:space="preserve"> </w:t>
      </w:r>
      <w:r>
        <w:rPr>
          <w:sz w:val="24"/>
          <w:rFonts w:ascii="Times New Roman" w:hAnsi="Times New Roman"/>
        </w:rPr>
        <w:t xml:space="preserve">D. 541-334 straipsnis panaikinamas.</w:t>
      </w:r>
    </w:p>
    <w:p w14:paraId="022BEA26"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2 straipsnis</w:t>
      </w:r>
    </w:p>
    <w:p w14:paraId="69C25AFD"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D. 541-330 straipsnis iš dalies keičiamas taip:</w:t>
      </w:r>
      <w:r>
        <w:rPr>
          <w:sz w:val="24"/>
          <w:rFonts w:ascii="Times New Roman" w:hAnsi="Times New Roman"/>
        </w:rPr>
        <w:br/>
      </w:r>
      <w:r>
        <w:rPr>
          <w:sz w:val="24"/>
          <w:rFonts w:ascii="Times New Roman" w:hAnsi="Times New Roman"/>
        </w:rPr>
        <w:t xml:space="preserve">a) 7 dalies b punkte po žodžių</w:t>
      </w:r>
      <w:r>
        <w:rPr>
          <w:sz w:val="24"/>
          <w:rFonts w:ascii="Times New Roman" w:hAnsi="Times New Roman"/>
        </w:rPr>
        <w:t xml:space="preserve"> </w:t>
      </w:r>
      <w:r>
        <w:rPr>
          <w:sz w:val="24"/>
          <w:rFonts w:ascii="Times New Roman" w:hAnsi="Times New Roman"/>
        </w:rPr>
        <w:t xml:space="preserve">„pagaminta tik iš plastiko“ įterpiami žodžiai</w:t>
      </w:r>
      <w:r>
        <w:rPr>
          <w:sz w:val="24"/>
          <w:rFonts w:ascii="Times New Roman" w:hAnsi="Times New Roman"/>
        </w:rPr>
        <w:t xml:space="preserve"> </w:t>
      </w:r>
      <w:r>
        <w:rPr>
          <w:sz w:val="24"/>
          <w:rFonts w:ascii="Times New Roman" w:hAnsi="Times New Roman"/>
        </w:rPr>
        <w:t xml:space="preserve">„arba iš dalies pagamintas iš plastiko, kurio sudėtyje esantis kiekis viršija didžiausią kiekį, nustatytą įsakymu, kuriame nurodomas didžiausias leidžiamas plastikų kiekis ir sąlygos, kuriomis plastiko kiekis palaipsniui mažinamas iki nulio“;</w:t>
      </w:r>
      <w:r>
        <w:rPr>
          <w:sz w:val="24"/>
          <w:rFonts w:ascii="Times New Roman" w:hAnsi="Times New Roman"/>
        </w:rPr>
        <w:br/>
      </w:r>
      <w:r>
        <w:rPr>
          <w:sz w:val="24"/>
          <w:rFonts w:ascii="Times New Roman" w:hAnsi="Times New Roman"/>
        </w:rPr>
        <w:t xml:space="preserve">b) 9 dalyje žodžiai</w:t>
      </w:r>
      <w:r>
        <w:rPr>
          <w:sz w:val="24"/>
          <w:rFonts w:ascii="Times New Roman" w:hAnsi="Times New Roman"/>
        </w:rPr>
        <w:t xml:space="preserve"> </w:t>
      </w:r>
      <w:r>
        <w:rPr>
          <w:sz w:val="24"/>
          <w:rFonts w:ascii="Times New Roman" w:hAnsi="Times New Roman"/>
        </w:rPr>
        <w:t xml:space="preserve">„stalo įrankiai, naudojami įkalinimo įstaigose, sveikatos priežiūros įstaigose ir oro, geležinkelių bei jūrų transporto priemonėse, ir“ išbraukiami;</w:t>
      </w:r>
      <w:r>
        <w:rPr>
          <w:sz w:val="24"/>
          <w:rFonts w:ascii="Times New Roman" w:hAnsi="Times New Roman"/>
        </w:rPr>
        <w:br/>
      </w:r>
      <w:r>
        <w:rPr>
          <w:sz w:val="24"/>
          <w:rFonts w:ascii="Times New Roman" w:hAnsi="Times New Roman"/>
        </w:rPr>
        <w:t xml:space="preserve">c) 11 dalyje žodžiai</w:t>
      </w:r>
      <w:r>
        <w:rPr>
          <w:sz w:val="24"/>
          <w:rFonts w:ascii="Times New Roman" w:hAnsi="Times New Roman"/>
        </w:rPr>
        <w:t xml:space="preserve"> </w:t>
      </w:r>
      <w:r>
        <w:rPr>
          <w:sz w:val="24"/>
          <w:rFonts w:ascii="Times New Roman" w:hAnsi="Times New Roman"/>
        </w:rPr>
        <w:t xml:space="preserve">„prieinami naudojimo vietoje arba parduodami atskirai arba partijomis galutiniam vartotojui“ pakeičiami žodžiais</w:t>
      </w:r>
      <w:r>
        <w:rPr>
          <w:sz w:val="24"/>
          <w:rFonts w:ascii="Times New Roman" w:hAnsi="Times New Roman"/>
        </w:rPr>
        <w:t xml:space="preserve"> </w:t>
      </w:r>
      <w:r>
        <w:rPr>
          <w:sz w:val="24"/>
          <w:rFonts w:ascii="Times New Roman" w:hAnsi="Times New Roman"/>
        </w:rPr>
        <w:t xml:space="preserve">„kurie išvardyti Direktyvos (ES) 2019/904 priedo B dalyje“.</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D. 541-331 straipsnyje žodis</w:t>
      </w:r>
      <w:r>
        <w:rPr>
          <w:sz w:val="24"/>
          <w:rFonts w:ascii="Times New Roman" w:hAnsi="Times New Roman"/>
        </w:rPr>
        <w:t xml:space="preserve"> </w:t>
      </w:r>
      <w:r>
        <w:rPr>
          <w:sz w:val="24"/>
          <w:rFonts w:ascii="Times New Roman" w:hAnsi="Times New Roman"/>
        </w:rPr>
        <w:t xml:space="preserve">„netaikoma“ pakeičiamas žodžiais</w:t>
      </w:r>
      <w:r>
        <w:rPr>
          <w:sz w:val="24"/>
          <w:rFonts w:ascii="Times New Roman" w:hAnsi="Times New Roman"/>
        </w:rPr>
        <w:t xml:space="preserve"> </w:t>
      </w:r>
      <w:r>
        <w:rPr>
          <w:sz w:val="24"/>
          <w:rFonts w:ascii="Times New Roman" w:hAnsi="Times New Roman"/>
        </w:rPr>
        <w:t xml:space="preserve">„taip pat taikoma“.</w:t>
      </w:r>
    </w:p>
    <w:p w14:paraId="60299C0A"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3 straipsnis</w:t>
      </w:r>
    </w:p>
    <w:p w14:paraId="37540D57"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I. Šio dekreto nuostatos taikomos kitą dieną po jo paskelbimo Prancūzijos Respublikos oficialiajame leidinyje, išskyrus 2 straipsnį, kuris įsigalioja 2021 m. liepos 3 d.</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Gaminiams, kuriems taikomas draudimas juos tiekti pagal L. 541-15-10 straipsnio III skirsnio 2 punktą, taikomas atsargų išpardavimo laikotarpis iki 2021 m. liepos 1 d. su sąlyga, kad jie buvo pagaminti ar importuoti iki 2021 m. sausio 1 d., išskyrus gaminius, kuriems tiekimo draudimas pagal šį straipsnį įsigalioja 2021 m. liepos 3 d. ir kuriems netaikomas šis laikotarpis.</w:t>
      </w:r>
    </w:p>
    <w:p w14:paraId="2E90970D"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4 straipsnis</w:t>
      </w:r>
    </w:p>
    <w:p w14:paraId="7BFF9C6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Minėto 2019 m. gruodžio 24 d. Dekreto Nr. 2019-1451 3 straipsnis panaikinamas.</w:t>
      </w:r>
    </w:p>
    <w:p w14:paraId="181FC442"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5 straipsnis</w:t>
      </w:r>
    </w:p>
    <w:p w14:paraId="15B8CB4E"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Ekologinės pertvarkos ministrė bei ekonomikos, finansų ir ekonomikos gaivinimo ministras yra atitinkamai atsakingi už šio dekreto, kuris bus paskelbtas Prancūzijos Respublikos oficialiajame leidinyje, vykdymą.</w:t>
      </w:r>
    </w:p>
    <w:p w14:paraId="6D5C3312"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2020 m. gruodžio 31 d.</w:t>
      </w:r>
    </w:p>
    <w:p w14:paraId="05201B2D"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Ministras Pirmininkas</w:t>
      </w:r>
    </w:p>
    <w:p w14:paraId="3BBF34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Ekologinės pertvarkos ministrė</w:t>
      </w:r>
      <w:r>
        <w:rPr>
          <w:sz w:val="24"/>
          <w:rFonts w:ascii="Times New Roman" w:hAnsi="Times New Roman"/>
        </w:rPr>
        <w:br/>
      </w:r>
      <w:r>
        <w:rPr>
          <w:sz w:val="24"/>
          <w:rFonts w:ascii="Times New Roman" w:hAnsi="Times New Roman"/>
        </w:rPr>
        <w:t xml:space="preserve">Barbara Pompili</w:t>
      </w:r>
    </w:p>
    <w:p w14:paraId="314F45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Ekonomikos, finansų ir ekonomikos gaivinimo ministras</w:t>
      </w:r>
      <w:r>
        <w:rPr>
          <w:sz w:val="24"/>
          <w:rFonts w:ascii="Times New Roman" w:hAnsi="Times New Roman"/>
        </w:rPr>
        <w:br/>
      </w:r>
      <w:r>
        <w:rPr>
          <w:sz w:val="24"/>
          <w:rFonts w:ascii="Times New Roman" w:hAnsi="Times New Roman"/>
        </w:rPr>
        <w:t xml:space="preserve">Bruno Le Maire</w:t>
      </w:r>
    </w:p>
    <w:p w14:paraId="492B6379" w14:textId="77777777" w:rsidR="00EB24C2" w:rsidRDefault="00EB24C2"/>
    <w:sectPr w:rsidR="00EB2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68"/>
    <w:rsid w:val="000967AB"/>
    <w:rsid w:val="000E6F07"/>
    <w:rsid w:val="00117739"/>
    <w:rsid w:val="004D4827"/>
    <w:rsid w:val="00A87D68"/>
    <w:rsid w:val="00E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2771"/>
  <w15:chartTrackingRefBased/>
  <w15:docId w15:val="{E6976E17-F039-45AD-A102-7EAF5DF2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915721">
      <w:bodyDiv w:val="1"/>
      <w:marLeft w:val="0"/>
      <w:marRight w:val="0"/>
      <w:marTop w:val="0"/>
      <w:marBottom w:val="0"/>
      <w:divBdr>
        <w:top w:val="none" w:sz="0" w:space="0" w:color="auto"/>
        <w:left w:val="none" w:sz="0" w:space="0" w:color="auto"/>
        <w:bottom w:val="none" w:sz="0" w:space="0" w:color="auto"/>
        <w:right w:val="none" w:sz="0" w:space="0" w:color="auto"/>
      </w:divBdr>
      <w:divsChild>
        <w:div w:id="4626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1398</Words>
  <Characters>7970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5</cp:revision>
  <dcterms:created xsi:type="dcterms:W3CDTF">2021-01-04T15:16:00Z</dcterms:created>
  <dcterms:modified xsi:type="dcterms:W3CDTF">2021-04-13T11:47:00Z</dcterms:modified>
</cp:coreProperties>
</file>