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lang/>
        </w:rPr>
      </w:pPr>
    </w:p>
    <w:p w:rsidR="007D2CBC" w:rsidRPr="00B00403" w:rsidRDefault="007D2CBC" w:rsidP="007D2CBC">
      <w:pPr>
        <w:pStyle w:val="PlainText"/>
        <w:rPr>
          <w:rFonts w:ascii="Courier New" w:hAnsi="Courier New" w:cs="Courier New"/>
          <w:sz w:val="20"/>
          <w:szCs w:val="20"/>
          <w:lang/>
        </w:rPr>
      </w:pPr>
      <w:r>
        <w:rPr>
          <w:rFonts w:ascii="Courier New" w:hAnsi="Courier New"/>
          <w:sz w:val="20"/>
        </w:rPr>
        <w:t xml:space="preserve">1. </w:t>
      </w:r>
      <w:r>
        <w:rPr>
          <w:rFonts w:ascii="Courier New" w:hAnsi="Courier New"/>
          <w:sz w:val="20"/>
        </w:rPr>
        <w:t>------IND- 2017 0525 E-- SV- ------ 20181003 --- --- FINAL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rPr>
        <w:drawing>
          <wp:inline xmlns:wp="http://schemas.openxmlformats.org/drawingml/2006/wordprocessingDrawing"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rPr>
        <w:drawing>
          <wp:inline xmlns:wp="http://schemas.openxmlformats.org/drawingml/2006/wordprocessingDrawing"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ALLMÄNNA BESTÄMMELSER</w:t>
      </w:r>
    </w:p>
    <w:p w:rsidR="001B208E" w:rsidRDefault="001B208E" w:rsidP="007D7D7B">
      <w:pPr>
        <w:pStyle w:val="Pa3"/>
        <w:widowControl/>
        <w:spacing w:before="120" w:after="120" w:line="360" w:lineRule="auto"/>
        <w:jc w:val="center"/>
        <w:rPr>
          <w:color w:val="000000"/>
          <w:sz w:val="39"/>
          <w:szCs w:val="39"/>
        </w:rPr>
      </w:pPr>
      <w:r>
        <w:rPr>
          <w:color w:val="000000"/>
          <w:sz w:val="39"/>
        </w:rPr>
        <w:t xml:space="preserve">MINISTERIET </w:t>
      </w:r>
      <w:r>
        <w:rPr>
          <w:color w:val="000000"/>
          <w:sz w:val="39"/>
          <w:szCs w:val="39"/>
        </w:rPr>
        <w:br/>
      </w:r>
      <w:r>
        <w:rPr>
          <w:color w:val="000000"/>
          <w:sz w:val="39"/>
        </w:rPr>
        <w:t xml:space="preserve">FÖR JORDBRUK OCH FISKE </w:t>
      </w:r>
      <w:r>
        <w:rPr>
          <w:color w:val="000000"/>
          <w:sz w:val="39"/>
          <w:szCs w:val="39"/>
        </w:rPr>
        <w:br/>
      </w:r>
      <w:r>
        <w:rPr>
          <w:color w:val="000000"/>
          <w:sz w:val="39"/>
        </w:rPr>
        <w:t>SAMT LIVSMEDELS- OCH MILJÖFRÅGOR</w:t>
      </w:r>
    </w:p>
    <w:p w:rsidR="00694AFB" w:rsidRPr="00C1192B" w:rsidRDefault="00694AFB" w:rsidP="007D7D7B">
      <w:pPr>
        <w:pStyle w:val="Default"/>
        <w:widowControl/>
        <w:rPr>
          <w:b/>
          <w:bCs/>
          <w:color w:val="004378"/>
          <w:sz w:val="20"/>
          <w:szCs w:val="20"/>
        </w:rPr>
      </w:pPr>
      <w:r>
        <w:rPr>
          <w:b/>
          <w:color w:val="004378"/>
          <w:sz w:val="20"/>
        </w:rPr>
        <w:t>Nr. 122</w:t>
      </w:r>
      <w:r>
        <w:tab/>
      </w:r>
      <w:r>
        <w:rPr>
          <w:b/>
          <w:color w:val="004378"/>
          <w:sz w:val="20"/>
        </w:rPr>
        <w:t xml:space="preserve">Lördag 19 maj 2018 Del </w:t>
      </w:r>
      <w:r>
        <w:rPr>
          <w:b/>
          <w:color w:val="004378"/>
          <w:sz w:val="20"/>
        </w:rPr>
        <w:t>I.</w:t>
      </w:r>
      <w:r>
        <w:tab/>
      </w:r>
      <w:r>
        <w:rPr>
          <w:b/>
          <w:color w:val="004378"/>
          <w:sz w:val="20"/>
        </w:rPr>
        <w:t xml:space="preserve">Sid. </w:t>
      </w:r>
      <w:r>
        <w:rPr>
          <w:b/>
          <w:color w:val="004378"/>
          <w:sz w:val="20"/>
        </w:rPr>
        <w:t>52591</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Kungligt dekret 293/2018 av den 18 maj om minskad förbrukning av plastbärkassar och om skapande av registret över varuproducenter.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w:t>
      </w:r>
    </w:p>
    <w:p w:rsidR="001B208E" w:rsidRDefault="001B208E" w:rsidP="007D7D7B">
      <w:pPr>
        <w:pStyle w:val="Default"/>
        <w:widowControl/>
        <w:spacing w:before="120" w:after="120"/>
        <w:ind w:firstLine="720"/>
        <w:rPr>
          <w:sz w:val="20"/>
          <w:szCs w:val="20"/>
        </w:rPr>
      </w:pPr>
      <w:r>
        <w:rPr>
          <w:sz w:val="20"/>
        </w:rPr>
        <w:t xml:space="preserve">Europaparlamentets och rådets direktiv 94/62/EG av den 20 december 1994 om förpackningar och förpackningsavfall antogs för att förebygga eller minska inverkan på miljön från förpackningar och avfall från dessa. </w:t>
      </w:r>
      <w:r>
        <w:rPr>
          <w:sz w:val="20"/>
        </w:rPr>
        <w:t xml:space="preserve">Detta direktiv införlivades i den spanska rättsordningen genom lag 11/1997 av den 24 april om förpackningar och förpackningsavfall, samt genom kungligt dekret 782/1998 av den 30 april om antagande av förordningen för utarbetande och genomförande av lag 11/1997 av den 24 april om förpackningar och förpackningsavfall. </w:t>
      </w:r>
      <w:r>
        <w:rPr>
          <w:sz w:val="20"/>
        </w:rPr>
        <w:t>Även om plastbärkassar är förpackningar enligt Europaparlamentets och rådets direktiv 94/62/EG av den 20 december 1994 innehåller dess ursprungliga formulering inte några specifika bestämmelser avseende förbrukningen av denna typ av förpackningar.</w:t>
      </w:r>
    </w:p>
    <w:p w:rsidR="001B208E" w:rsidRDefault="001B208E" w:rsidP="007D7D7B">
      <w:pPr>
        <w:pStyle w:val="Default"/>
        <w:widowControl/>
        <w:spacing w:before="120" w:after="120"/>
        <w:ind w:firstLine="720"/>
        <w:rPr>
          <w:sz w:val="20"/>
          <w:szCs w:val="20"/>
        </w:rPr>
      </w:pPr>
      <w:r>
        <w:rPr>
          <w:sz w:val="20"/>
        </w:rPr>
        <w:t xml:space="preserve">Den nuvarande förbrukningsnivån för plastbärkassar leder till stor nedskräpning och ett ineffektivt utnyttjande av resurser vilket förväntas öka om inga åtgärder vidtas. </w:t>
      </w:r>
      <w:r>
        <w:rPr>
          <w:sz w:val="20"/>
        </w:rPr>
        <w:t xml:space="preserve">Nedskräpning med plastbärkassar leder till förorening av miljön och förvärrar det utbredda problemet med avfall i vattenförekomster, vilket hotar akvatiska ekosystem världen över. </w:t>
      </w:r>
      <w:r>
        <w:rPr>
          <w:sz w:val="20"/>
        </w:rPr>
        <w:t xml:space="preserve">Plastbärkassar med en väggtjocklek på mindre än 50 mikrometer (nedan kallade </w:t>
      </w:r>
      <w:r>
        <w:rPr>
          <w:sz w:val="20"/>
          <w:i w:val="1"/>
        </w:rPr>
        <w:t>tunna plastbärkassar</w:t>
      </w:r>
      <w:r>
        <w:rPr>
          <w:sz w:val="20"/>
        </w:rPr>
        <w:t xml:space="preserve">), vilka utgör den största delen av det totala antalet plastbärkassar som förbrukas inom EU, återanvänds mindre ofta än tjockare plastbärkassar. </w:t>
      </w:r>
      <w:r>
        <w:rPr>
          <w:sz w:val="20"/>
        </w:rPr>
        <w:t xml:space="preserve">Tunna plastbärkassar blir därför avfall snabbare och orsakar mer nedskräpning på grund av sin låga vikt. </w:t>
      </w:r>
      <w:r>
        <w:rPr>
          <w:sz w:val="20"/>
        </w:rPr>
        <w:t>Materialåtervinningsgraden för tunna plastbärkassar ligger för närvarande på mycket låga nivåer och kommer på grund av en rad praktiska och ekonomiska svårigheter sannolikt inte att nå några högre nivåer under den närmaste framtiden.</w:t>
      </w:r>
    </w:p>
    <w:p w:rsidR="001B208E" w:rsidRDefault="001B208E" w:rsidP="007D7D7B">
      <w:pPr>
        <w:pStyle w:val="Default"/>
        <w:widowControl/>
        <w:spacing w:before="120" w:after="120"/>
        <w:ind w:firstLine="720"/>
        <w:rPr>
          <w:sz w:val="20"/>
          <w:szCs w:val="20"/>
        </w:rPr>
      </w:pPr>
      <w:r>
        <w:rPr>
          <w:sz w:val="20"/>
        </w:rPr>
        <w:t xml:space="preserve">I syfte att lösa problemet som beskrivs, inom den europeiska unionens tillämpningsområde, har Europaparlamentets och rådets direktiv (EU) 2015/720 av den 29 april 2015 om ändring av direktiv 94/62/EG när det gäller att minska förbrukningen av tunna plastbärkassar godkänts. </w:t>
      </w:r>
      <w:r>
        <w:rPr>
          <w:sz w:val="20"/>
        </w:rPr>
        <w:t>Syftet med detta kungliga dekret är att införliva Europaparlamentets och rådets direktiv (EU) 2015/720 av den 29 april 2015 i den spanska rättsordningen.</w:t>
      </w:r>
    </w:p>
    <w:p w:rsidR="001B208E" w:rsidRDefault="001B208E" w:rsidP="007D7D7B">
      <w:pPr>
        <w:pStyle w:val="Default"/>
        <w:widowControl/>
        <w:spacing w:before="120" w:after="120"/>
        <w:ind w:firstLine="720"/>
        <w:rPr>
          <w:sz w:val="20"/>
          <w:szCs w:val="20"/>
        </w:rPr>
      </w:pPr>
      <w:r>
        <w:rPr>
          <w:sz w:val="20"/>
        </w:rPr>
        <w:t xml:space="preserve">Detta gemenskapsdirektiv fastställer att medlemsstaterna ska vidta åtgärder för att inom sitt territorium uppnå en varaktig minskning av förbrukningen av tunna plastbärkassar. </w:t>
      </w:r>
      <w:r>
        <w:rPr>
          <w:sz w:val="20"/>
        </w:rPr>
        <w:t xml:space="preserve">För detta ges medlemsstaterna flera alternativ så som införandet av nationella minskningsmål, ekonomiska styrmedel och, om så är lämpligt, begränsningar i saluföringen av dessa, så länge dessa begränsningar är proportionella och icke-diskriminerande. </w:t>
      </w:r>
      <w:r>
        <w:rPr>
          <w:sz w:val="20"/>
        </w:rPr>
        <w:t>Likaså fastställer direktivet att ovan nämnda åtgärder kan variera beroende på de tunna plastbärkassarnas miljöpåverkan när de återvinns eller bortskaffas, deras lämplighet för materialåtervinning och kompostering, deras livslängd eller dessa kassars specifika användningsområde.</w:t>
      </w:r>
    </w:p>
    <w:p w:rsidR="00694AFB" w:rsidRDefault="001B208E" w:rsidP="007D7D7B">
      <w:pPr>
        <w:pStyle w:val="Default"/>
        <w:widowControl/>
        <w:spacing w:before="120" w:after="120"/>
        <w:ind w:firstLine="720"/>
        <w:rPr>
          <w:sz w:val="20"/>
          <w:szCs w:val="20"/>
        </w:rPr>
      </w:pPr>
      <w:r>
        <w:rPr>
          <w:sz w:val="20"/>
        </w:rPr>
        <w:t xml:space="preserve">I varje fall ska medlemsstaterna åtminstone vidta en av följande åtgärder: a) antagandet av åtgärder för att säkerställa att den årliga förbrukningsnivån inte överskrider 90 tunna plastbärkassar per person senast den 31 december 2019 respektive 40 tunna plastbärkassar per person senast den 31 december 2025, eller motsvarande mål uttryckt i vikt, eller b) antagandet av instrument för att säkerställa att tunna plastbärkassar senast den 31 december 2018 inte tillhandahålls kostnadsfritt på försäljningsställen för varor och produkter, såvida inte lika effektiva instrument införs. </w:t>
      </w:r>
      <w:r>
        <w:rPr>
          <w:sz w:val="20"/>
        </w:rPr>
        <w:t xml:space="preserve">Direktivet tillåter medlemsstaterna att undanta plastbärkassar med en väggtjocklek på mindre än 15 mikrometer som tillhandahålls när det krävs av hygieniska skäl eller när deras användning förhindrar matsvinn. </w:t>
      </w:r>
      <w:r>
        <w:rPr>
          <w:sz w:val="20"/>
        </w:rPr>
        <w:t xml:space="preserve">Likaså fastställer direktivet att medlemsstaterna från och med den 27 maj 2018 är skyldiga rapportera om den årliga förbrukningen av tunna plastbärkassar när de tillhandahåller uppgifter om förpackningar och förpackningsavfall till kommissionen i enlighet med gällande bestämmelser. </w:t>
      </w:r>
      <w:r>
        <w:rPr>
          <w:sz w:val="20"/>
        </w:rPr>
        <w:t xml:space="preserve">För resten av plastbärkassarna, d.v.s. för dem som har en väggtjocklek på 50 mikrometer eller mer, föreskriver direktivet att medlemsstaterna får vidta åtgärder såsom införande av ekonomiska styrmedel och nationella minskningsmål. </w:t>
      </w:r>
      <w:r>
        <w:rPr>
          <w:sz w:val="20"/>
        </w:rPr>
        <w:t>Å andra sidan lägger direktivet särskild vikt vid medlemsstaternas aktiva främjande av informations- och upplysningskampanjer riktade mot allmänheten angående de negativa konsekvenser för miljön som den överdrivna förbrukningen av plastbärskassar medför.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w:t>
      </w:r>
    </w:p>
    <w:p w:rsidR="001B208E" w:rsidRDefault="001B208E" w:rsidP="007D7D7B">
      <w:pPr>
        <w:pStyle w:val="Default"/>
        <w:widowControl/>
        <w:spacing w:before="120" w:after="120"/>
        <w:ind w:firstLine="720"/>
        <w:rPr>
          <w:sz w:val="20"/>
          <w:szCs w:val="20"/>
        </w:rPr>
      </w:pPr>
      <w:r>
        <w:rPr>
          <w:sz w:val="20"/>
        </w:rPr>
        <w:t xml:space="preserve">Avseende förbrukningen av plastbärkassar innehåller den nationella planen för avfallshantering för perioden 2008–2015 (nedan kallad </w:t>
      </w:r>
      <w:r>
        <w:rPr>
          <w:sz w:val="20"/>
          <w:i w:val="1"/>
        </w:rPr>
        <w:t>PNIR</w:t>
      </w:r>
      <w:r>
        <w:rPr>
          <w:sz w:val="20"/>
        </w:rPr>
        <w:t xml:space="preserve">) flera åtgärder för den gradvisa ersättningen av engångsbärkassar. </w:t>
      </w:r>
      <w:r>
        <w:rPr>
          <w:sz w:val="20"/>
        </w:rPr>
        <w:t xml:space="preserve">Åtgärder som urskilde sig bland dessa var minskningen av förbrukningen av engångsbärkassar med 50 % 2010, liksom fastställandet av en tidsplan för ersättningen av icke biologiskt nedbrytbara plaster eller främjandet av avtal med distributionssektorn för att minska skapandet av avfall från engångsbärkassar och för att främja användningen av återanvändningsbara kassar vid försäljningsställen och stormarknader, samt ersättningen av engångsbärkassar av icke biologiskt nedbrytbar plast med biologiskt nedbrytbara material. </w:t>
      </w:r>
      <w:r>
        <w:rPr>
          <w:sz w:val="20"/>
        </w:rPr>
        <w:t>Det bör påpekas att konceptet biologiskt nedbrytbar ska förstås som komposterbar i enlighet med Europaparlamentets och rådets direktiv (EU) 2015/720 av den 29 april 2015.</w:t>
      </w:r>
    </w:p>
    <w:p w:rsidR="001B208E" w:rsidRDefault="001B208E" w:rsidP="007D7D7B">
      <w:pPr>
        <w:pStyle w:val="Default"/>
        <w:widowControl/>
        <w:spacing w:before="120" w:after="120"/>
        <w:ind w:firstLine="720"/>
        <w:rPr>
          <w:sz w:val="20"/>
          <w:szCs w:val="20"/>
        </w:rPr>
      </w:pPr>
      <w:r>
        <w:rPr>
          <w:sz w:val="20"/>
        </w:rPr>
        <w:t>Andra tilläggsbestämmelsen i lag 22/2011 av den 28 juli om avfall och förorenade marker innebär, för sin del, att offentliga förvaltningar blir skyldiga att vidta nödvändiga åtgärder för att främja de mest hållbara systemen för förebyggande, minskning och hantering av avfall från kommersiella engångsbärkassar av icke biologiskt nedbrytbar plast och deras alternativ, inklusive åtgärder avseende den offentliga förvaltningen i egenskap av konsument genom dess offentliga upphandlingar.</w:t>
      </w:r>
    </w:p>
    <w:p w:rsidR="001B208E" w:rsidRDefault="001B208E" w:rsidP="007D7D7B">
      <w:pPr>
        <w:pStyle w:val="Default"/>
        <w:widowControl/>
        <w:spacing w:before="120" w:after="120"/>
        <w:ind w:firstLine="720"/>
        <w:rPr>
          <w:sz w:val="20"/>
          <w:szCs w:val="20"/>
        </w:rPr>
      </w:pPr>
      <w:r>
        <w:rPr>
          <w:sz w:val="20"/>
        </w:rPr>
        <w:t>Nu omfattar det nationella programmet för förebyggande av avfall 2014–2020 (</w:t>
      </w:r>
      <w:r>
        <w:rPr>
          <w:sz w:val="20"/>
          <w:i w:val="1"/>
        </w:rPr>
        <w:t>Programa Estatal de Prevención de Residuos 2014-2020</w:t>
      </w:r>
      <w:r>
        <w:rPr>
          <w:sz w:val="20"/>
        </w:rPr>
        <w:t xml:space="preserve">), som godkänts genom ministerrådets beslut av den 13 december 2013, det prioriterade området förpackningar, där några specifika åtgärder rörande minskning av förbrukningen av plastbärkassar nämns. </w:t>
      </w:r>
      <w:r>
        <w:rPr>
          <w:sz w:val="20"/>
        </w:rPr>
        <w:t>Även den nationella planen för avfallshantering 2016–2022, som godkänts genom ministerrådets beslut av den 6 november 2015, omfattar information och mål rörande plastbärkassar i sitt kapitel om förpackningar och förpackningsavfall.</w:t>
      </w:r>
    </w:p>
    <w:p w:rsidR="001B208E" w:rsidRDefault="001B208E" w:rsidP="007D7D7B">
      <w:pPr>
        <w:pStyle w:val="Default"/>
        <w:widowControl/>
        <w:spacing w:before="120" w:after="120"/>
        <w:ind w:firstLine="720"/>
        <w:rPr>
          <w:sz w:val="20"/>
          <w:szCs w:val="20"/>
        </w:rPr>
      </w:pPr>
      <w:r>
        <w:rPr>
          <w:sz w:val="20"/>
        </w:rPr>
        <w:t>Till sist har, från och med antagandet och ikraftträdandet av PNIR (</w:t>
      </w:r>
      <w:r>
        <w:rPr>
          <w:sz w:val="20"/>
          <w:i w:val="1"/>
        </w:rPr>
        <w:t>Plan Nacional Integrado de Residuos 2008-2015</w:t>
      </w:r>
      <w:r>
        <w:rPr>
          <w:sz w:val="20"/>
        </w:rPr>
        <w:t xml:space="preserve">), lag 22/2011 av den 28 juli, och de senare program- och planeringsinstrumenten för avfall, ett flertal åtgärder för att minska förbrukningen av denna typ av förpackningar vidtagits av offentliga förvaltningsenheter och av distributionssektorn: slutande av frivilliga avtal med distributörer, informationskampanjer, fastställande av skatter, främjande av användningen av varaktiga kassar, fastställande av ett pris för påsarna m.fl. </w:t>
      </w:r>
      <w:r>
        <w:rPr>
          <w:sz w:val="20"/>
        </w:rPr>
        <w:t>Till följd av dessa åtgärder, och enligt uppgifter från sektorn, har förbrukningen minskat till nästan hälften under dessa år, från 317 kassar per invånare 2007 till 144 kassar per invånare 2014, främst tack vare förändringar i konsumtionsbeteendet gällande denna typ av förpackning.</w:t>
      </w:r>
    </w:p>
    <w:p w:rsidR="001B208E" w:rsidRDefault="001B208E" w:rsidP="007D7D7B">
      <w:pPr>
        <w:pStyle w:val="Default"/>
        <w:widowControl/>
        <w:spacing w:before="120" w:after="120"/>
        <w:ind w:firstLine="720"/>
        <w:rPr>
          <w:sz w:val="20"/>
          <w:szCs w:val="20"/>
        </w:rPr>
      </w:pPr>
      <w:r>
        <w:rPr>
          <w:sz w:val="20"/>
        </w:rPr>
        <w:t>Enligt uppgifter från sektorn släpptes 2014 ca 62 560 ton plastbärkassar med en väggtjocklek på mindre än 50 mikrometer (motsvarande 6,73 miljarder enheter) ut på marknaden, av vilka 23 % beräknas vara bärkassar med en väggtjocklek på mindre än 15 mikrometer och ca 4 670 ton plastbärkassar med en väggtjocklek på mer än 50 mikrometer (158 miljoner enheter). Det är därför viktigt att fortsätta driva på dessa förändringar i förbrukningsmönstret för plastbärkassar, särskilt i vissa sektorer som till exempel småbutiker, och införliva det nya EU-direktivet om förbrukning av bärkassar i den spanska rättsordningen.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III</w:t>
      </w:r>
    </w:p>
    <w:p w:rsidR="001B208E" w:rsidRDefault="001B208E" w:rsidP="007D7D7B">
      <w:pPr>
        <w:pStyle w:val="Default"/>
        <w:widowControl/>
        <w:spacing w:before="120" w:after="120"/>
        <w:ind w:firstLine="720"/>
        <w:rPr>
          <w:sz w:val="20"/>
          <w:szCs w:val="20"/>
        </w:rPr>
      </w:pPr>
      <w:r>
        <w:rPr>
          <w:sz w:val="20"/>
        </w:rPr>
        <w:t xml:space="preserve">Bland de möjligheter som direktivet erbjuder för tunna plastbärkassar har följande åtgärder setts som de mest lämpliga: i första hand, att från och med den 1 juli 2018 förbjuda kostnadsfria plastbärkassar till konsumenterna på försäljningsställena. </w:t>
      </w:r>
      <w:r>
        <w:rPr>
          <w:sz w:val="20"/>
        </w:rPr>
        <w:t xml:space="preserve">Från detta datum måste handlarna med andra ord ta betalt för varje tunna plastbärkasse de tillhandahåller konsumenterna. </w:t>
      </w:r>
      <w:r>
        <w:rPr>
          <w:sz w:val="20"/>
        </w:rPr>
        <w:t xml:space="preserve">På detta sätt undantas mycket tunna plastbärkassar från denna åtgärd, d.v.s. plastbärkassar med en väggtjocklek på mindre än 15 mikrometer som krävs av hygieniska skäl, eller som tillhandahålls som primära förpackningar för livsmedel som säljs i lösvikt. </w:t>
      </w:r>
      <w:r>
        <w:rPr>
          <w:sz w:val="20"/>
        </w:rPr>
        <w:t xml:space="preserve">I andra hand kommer möjligheten att från den 1 januari 2021 förbjuda tillhandahållande av tunna och mycket tunna, icke komposterbara plastbärkassar till konsumenterna, oavsett om dessa tillhandahålls kostnadsfritt eller till en kostnad. </w:t>
      </w:r>
      <w:r>
        <w:rPr>
          <w:sz w:val="20"/>
        </w:rPr>
        <w:t xml:space="preserve">Med denna tidsfrist vill man få kravet på att tunna och mycket tunna plastbärkassar uteslutande ska vara komposterbara att följa det fullständiga genomförandet av separat insamling av biologiskt avfall, vilket är nödvändigt för att man ska kunna uppfylla EU-målen om att förbereda kommunalt avfall för återanvändning och återvinning som fastställs i lag 22/2011 av den 28 juli, samt i de nya EU-direktiven om avfall. </w:t>
      </w:r>
      <w:r>
        <w:rPr>
          <w:sz w:val="20"/>
        </w:rPr>
        <w:t>På detta sätt kommer komposterbara bärkassar, som lämpligast behandlas genom biologiska processer, att hanteras tillsammans med den del biologiskt avfall som finns i det kommunala avfallet, varigenom man undviker att det kan blandas med andra avfallsflöden som till exempel plastförpackningar. En sådan sammanblandning skulle kunna försvåra den mekaniska återvinningen av icke komposterbar plast.</w:t>
      </w:r>
    </w:p>
    <w:p w:rsidR="001B208E" w:rsidRDefault="001B208E" w:rsidP="007D7D7B">
      <w:pPr>
        <w:pStyle w:val="Default"/>
        <w:widowControl/>
        <w:spacing w:before="120" w:after="120"/>
        <w:ind w:firstLine="720"/>
        <w:rPr>
          <w:sz w:val="20"/>
          <w:szCs w:val="20"/>
        </w:rPr>
      </w:pPr>
      <w:r>
        <w:rPr>
          <w:sz w:val="20"/>
        </w:rPr>
        <w:t xml:space="preserve">Det bör understrykas att syftet med Europaparlamentets och rådets direktiv (EU) 2015/720 av den 29 april 2015, och följaktligen med detta kungliga dekret, är att minska förbrukningen av tunna plastbärkassar. </w:t>
      </w:r>
      <w:r>
        <w:rPr>
          <w:sz w:val="20"/>
        </w:rPr>
        <w:t xml:space="preserve">Användningen av komposterbara plastbärkassar är ett av de möjliga alternativen, men det är inte det enda. </w:t>
      </w:r>
      <w:r>
        <w:rPr>
          <w:sz w:val="20"/>
        </w:rPr>
        <w:t>Handlarna är inte skyldiga att ersätta icke komposterbara plastbärkassar med komposterbara plastbärkassar, utan kan använda sig av andra lösningar så länge de tar hänsyn till att den inte leder till en ökning av förpackningsavfallet.</w:t>
      </w:r>
    </w:p>
    <w:p w:rsidR="001B208E" w:rsidRDefault="001B208E" w:rsidP="007D7D7B">
      <w:pPr>
        <w:pStyle w:val="Default"/>
        <w:widowControl/>
        <w:spacing w:before="120" w:after="120"/>
        <w:ind w:firstLine="720"/>
        <w:rPr>
          <w:sz w:val="20"/>
          <w:szCs w:val="20"/>
        </w:rPr>
      </w:pPr>
      <w:r>
        <w:rPr>
          <w:sz w:val="20"/>
        </w:rPr>
        <w:t xml:space="preserve">Under senare år har plastbärkassar med beteckningar som ”oxo-biologiskt nedbrytbara” eller ”oxo-nedbrytbara” släppts ut på marknaden. </w:t>
      </w:r>
      <w:r>
        <w:rPr>
          <w:sz w:val="20"/>
        </w:rPr>
        <w:t xml:space="preserve">I sådana kassar tillförs tillsatser av konventionell plast som, med tiden, fragmenterar plasten till små partiklar som förblir kvar i miljön. </w:t>
      </w:r>
      <w:r>
        <w:rPr>
          <w:sz w:val="20"/>
        </w:rPr>
        <w:t xml:space="preserve">Det kan alltså vara vilseledande att beteckna sådana kassar som ”biologiskt nedbrytbara” eftersom de inte utgör någon lösning på nedskräpningen, utan tvärtom kan förvärra problemet. </w:t>
      </w:r>
      <w:r>
        <w:rPr>
          <w:sz w:val="20"/>
        </w:rPr>
        <w:t xml:space="preserve">Liknande processer som de som förekommer i kassar som tillverkats av ”oxo-nedbrytbar” plast finns i kassar tillverkade av plaster som är fotofragmenterbara, fragmenterbara i värme och fragmenterbara i vatten, varför det är relevant att tala om kassar tillverkade av fragmenterbar plast. </w:t>
      </w:r>
      <w:r>
        <w:rPr>
          <w:sz w:val="20"/>
        </w:rPr>
        <w:t>För att förhindra skador på marker, vatten och växter och djur som kan växa på grund av att plaster förblir kvar i miljön i form av småpartiklar har beslut fattats om att från den 1 januari 2020 även förbjuda tillhandahållandet av plastbärkassar av fragmenterbar plast, definierade som plastbärkassar tillverkade av plastmaterial som innehåller tillsatsämnen som fungerar som katalysatorer när plastmaterialet fragmenteras till mikrofragment av plastmaterial.</w:t>
      </w:r>
    </w:p>
    <w:p w:rsidR="00694AFB" w:rsidRDefault="001B208E" w:rsidP="007D7D7B">
      <w:pPr>
        <w:pStyle w:val="Default"/>
        <w:widowControl/>
        <w:spacing w:before="120" w:after="120"/>
        <w:ind w:firstLine="720"/>
        <w:rPr>
          <w:sz w:val="20"/>
          <w:szCs w:val="20"/>
        </w:rPr>
      </w:pPr>
      <w:r>
        <w:rPr>
          <w:sz w:val="20"/>
        </w:rPr>
        <w:t xml:space="preserve">Med hänsyn till att Europaparlamentets och rådets direktiv (EU) 2015/720 av den 29 april 2015 ger medlemsstaterna möjlighet att vidta åtgärder för att minska förbrukningen av alla sorters plastbärkassar, oavsett väggtjocklek, har det ansetts lämpligt att även vidta åtgärder för kassar med en väggtjocklek på 50 mikrometer eller mer: å ena sidan ska en avgift tas för dessa bärkassar från och med den 1 juli 2018, förutom för dem som innehåller 70 % återvunnen plast eller mer, och, å andra sidan, i syfte att gå mot en kretsloppsekonomi samt främja återinförandet av återvunna material från avfall i tillverkningen av nya produkter, införs krav på att dessa bärkassars innehåll från och med den 1 januari 2020 ska bestå av minst 50 % återvunnen plast. Ett lägre referenspris föreslås för de sistnämnda plastbärkassarna. </w:t>
      </w:r>
      <w:r>
        <w:rPr>
          <w:sz w:val="20"/>
        </w:rPr>
        <w:t>Handlarna ska för inspektioner och kontroller av undantaget från att ta betalt för plastbärkassar med mer än 70 % återvunnen plast inneha nödvändig dokumentation som intygar denna procentsats.</w:t>
      </w:r>
    </w:p>
    <w:p w:rsidR="001B208E" w:rsidRDefault="001B208E" w:rsidP="007D7D7B">
      <w:pPr>
        <w:pStyle w:val="Default"/>
        <w:widowControl/>
        <w:spacing w:before="120" w:after="120"/>
        <w:ind w:firstLine="720"/>
        <w:rPr>
          <w:sz w:val="20"/>
          <w:szCs w:val="20"/>
        </w:rPr>
      </w:pPr>
      <w:r>
        <w:rPr>
          <w:sz w:val="20"/>
        </w:rPr>
        <w:t xml:space="preserve">Slutligen är det relevant att förtydliga att samtliga av dessa åtgärder även gäller för bärkassar som kan tillhandahållas vid onlineförsäljning och hemleveranser. </w:t>
      </w:r>
      <w:r>
        <w:rPr>
          <w:sz w:val="20"/>
        </w:rPr>
        <w:t>Plastkuvert såsom de som används vid distansförsäljning utesluts, även om de ska betraktas som förpackningar om de överensstämmer med definitionen av förpackning och exemplen på förpackningar som anges i lag 11/1997 av den 24 april.</w:t>
      </w:r>
    </w:p>
    <w:p w:rsidR="001B208E" w:rsidRDefault="001B208E" w:rsidP="007D7D7B">
      <w:pPr>
        <w:pStyle w:val="Default"/>
        <w:widowControl/>
        <w:spacing w:before="120" w:after="120"/>
        <w:ind w:firstLine="720"/>
        <w:rPr>
          <w:sz w:val="20"/>
          <w:szCs w:val="20"/>
        </w:rPr>
      </w:pPr>
      <w:r>
        <w:rPr>
          <w:sz w:val="20"/>
        </w:rPr>
        <w:t xml:space="preserve">I syfte att informera och göra allmänheten medveten om åtgärderna som vidtas genom detta kungliga dekret och om de negativa konsekvenserna för miljön som orsakas av den överdrivna förbrukningen av och nedskräpningen med plastbärkassar samt för att främja tillämpningen av principen om avfallshierarki ska ministeriet för jordbruk och fiske samt livsmedels- och miljöfrågor samt behöriga myndigheter i de autonoma regionerna bedriva informationskampanjer åtminstone under det första året från och med detta kungliga dekrets ikraftträdande. </w:t>
      </w:r>
      <w:r>
        <w:rPr>
          <w:sz w:val="20"/>
        </w:rPr>
        <w:t xml:space="preserve">Dessutom ska ovannämnda kampanjer innehålla information om den behållare där plastbärkassar, komposterbara som icke komposterbara, ska slängas. </w:t>
      </w:r>
      <w:r>
        <w:rPr>
          <w:sz w:val="20"/>
        </w:rPr>
        <w:t xml:space="preserve">I samma linje kan lokala organisationer och den privata sektorn också genomföra informationskampanjer. </w:t>
      </w:r>
      <w:r>
        <w:rPr>
          <w:sz w:val="20"/>
        </w:rPr>
        <w:t>Med tanke på att plastbärkassar är förpackningar kan offentliga förvaltningars informationskampanjer finansieras med hjälp av de kollektiva systemen för utökat producentansvar (tidigare kallade integrerade ledningssystem) inom ramen för dessa systems finansieringsavtal med de autonoma regionerna eller, när så är lämpligt, med lokala organisationer.</w:t>
      </w:r>
    </w:p>
    <w:p w:rsidR="001B208E" w:rsidRDefault="001B208E" w:rsidP="007D7D7B">
      <w:pPr>
        <w:pStyle w:val="Default"/>
        <w:widowControl/>
        <w:spacing w:before="120" w:after="120"/>
        <w:ind w:firstLine="720"/>
        <w:rPr>
          <w:sz w:val="20"/>
          <w:szCs w:val="20"/>
        </w:rPr>
      </w:pPr>
      <w:r>
        <w:rPr>
          <w:sz w:val="20"/>
        </w:rPr>
        <w:t>I enlighet med EU-lagstiftningen införs en skyldighet att märka komposterbara bärkassar inom en tidsfrist på 18 månader från och med datumet för kommissionens antagande av rättsakten om fastställande av specifikationer för etiketter eller märkningar för att säkerställa att dessa bärkassar känns igen i hela Europeiska unionen, liksom för att ge konsumenterna korrekt information om dessa bärkassars egenskaper.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IV</w:t>
      </w:r>
    </w:p>
    <w:p w:rsidR="001B208E" w:rsidRDefault="001B208E" w:rsidP="007D7D7B">
      <w:pPr>
        <w:pStyle w:val="Default"/>
        <w:widowControl/>
        <w:spacing w:before="120" w:after="120"/>
        <w:ind w:firstLine="720"/>
        <w:rPr>
          <w:sz w:val="20"/>
          <w:szCs w:val="20"/>
        </w:rPr>
      </w:pPr>
      <w:r>
        <w:rPr>
          <w:sz w:val="20"/>
        </w:rPr>
        <w:t xml:space="preserve">Lag 22/2011 av den 28 juli främjar vidtagande av åtgärder för förebyggande, återanvändning och återvinning av avfall, i enlighet med det som fastställs i Europaparlamentets och rådets direktiv 2008/98/EG, av den 19 november 2008 om avfall och om upphävande av vissa direktiv (ramdirektivet om avfall). </w:t>
      </w:r>
      <w:r>
        <w:rPr>
          <w:sz w:val="20"/>
        </w:rPr>
        <w:t xml:space="preserve">Enligt denna lag räknas planer och program för avfallshantering, program för förebyggande av avfall samt fastställande av mål för förebyggande och separat insamling av avfall som redskap för planering. </w:t>
      </w:r>
      <w:r>
        <w:rPr>
          <w:sz w:val="20"/>
        </w:rPr>
        <w:t>Dessa mål för förebyggande och separat insamling av avfall är kopplade sinsemellan, bland annat gällande tillgänglig information om mängd och typ av produkter som släpps ut på marknaden och som förvandlas till avfall till följd av användningen.</w:t>
      </w:r>
    </w:p>
    <w:p w:rsidR="001B208E" w:rsidRDefault="001B208E" w:rsidP="007D7D7B">
      <w:pPr>
        <w:pStyle w:val="Default"/>
        <w:widowControl/>
        <w:spacing w:before="120" w:after="120"/>
        <w:ind w:firstLine="720"/>
        <w:rPr>
          <w:sz w:val="20"/>
          <w:szCs w:val="20"/>
        </w:rPr>
      </w:pPr>
      <w:r>
        <w:rPr>
          <w:sz w:val="20"/>
        </w:rPr>
        <w:t>Eftersom det blir alltmer relevant att göra framsteg i förebyggandet av genereringen av vissa typer av avfall, i förbättringen av deras insamling, i höjningen av nivåerna för materialåtervinning och, när så är lämpligt, i vidtagandet av åtgärder för finansieringen av dessa, kräver miljömyndigheterna mer information om mängder och typer av produkter som släpps ut på marknaden, och som till följd av användningen genererar avfall.</w:t>
      </w:r>
    </w:p>
    <w:p w:rsidR="00694AFB" w:rsidRDefault="001B208E" w:rsidP="007D7D7B">
      <w:pPr>
        <w:pStyle w:val="Default"/>
        <w:widowControl/>
        <w:spacing w:before="120" w:after="120"/>
        <w:ind w:firstLine="720"/>
        <w:rPr>
          <w:sz w:val="20"/>
          <w:szCs w:val="20"/>
        </w:rPr>
      </w:pPr>
      <w:r>
        <w:rPr>
          <w:sz w:val="20"/>
        </w:rPr>
        <w:t xml:space="preserve">Insamlingen av uppgifter, i form av register, om mängden produkter som släpps ut på marknaden och som genererar vissa typer av avfall är en skyldighet som fastställts i ett flertal gemenskapsdirektiv om avfallshantering, särskilt i förordningar där principen om utökat producentansvar tillämpas. </w:t>
      </w:r>
      <w:r>
        <w:rPr>
          <w:sz w:val="20"/>
        </w:rPr>
        <w:t>I dessa fall är varje varuproducents ekonomiska insats till finansieringen av avfallshantering proportionerlig med mängden och typen av produkter som var och en av dessa varuproducenter släpper ut på marknaden.</w:t>
      </w:r>
    </w:p>
    <w:p w:rsidR="001B208E" w:rsidRDefault="001B208E" w:rsidP="007D7D7B">
      <w:pPr>
        <w:pStyle w:val="Default"/>
        <w:widowControl/>
        <w:spacing w:before="120" w:after="120"/>
        <w:ind w:firstLine="720"/>
        <w:rPr>
          <w:sz w:val="20"/>
          <w:szCs w:val="20"/>
        </w:rPr>
      </w:pPr>
      <w:r>
        <w:rPr>
          <w:sz w:val="20"/>
        </w:rPr>
        <w:t xml:space="preserve">Att ha uppgifter om saluföringen av en viss typ av förpackningar, såsom plastbärkassar, är nödvändigt för att kunna bedöma om EU-målen om minskning av deras förbrukning uppfylls, liksom för att uppfylla den årliga informationsskyldigheten till kommissionen. </w:t>
      </w:r>
      <w:r>
        <w:rPr>
          <w:sz w:val="20"/>
        </w:rPr>
        <w:t xml:space="preserve">Av dessa skäl är det nödvändigt att avkräva årliga uppgifter om saluföringen av plastbärkassar från tillverkarna. </w:t>
      </w:r>
      <w:r>
        <w:rPr>
          <w:sz w:val="20"/>
        </w:rPr>
        <w:t>Det har föranlett skapandet av registret över varuproducenter, ett register av administrativ och förklarande natur, som ligger under ministeriet för jordbruk och fiske samt livsmedels- och miljöfrågors generaldirektorat för miljökvalitet och miljöutvärdering samt naturmiljö.</w:t>
      </w:r>
    </w:p>
    <w:p w:rsidR="001B208E" w:rsidRDefault="001B208E" w:rsidP="007D7D7B">
      <w:pPr>
        <w:pStyle w:val="Default"/>
        <w:widowControl/>
        <w:spacing w:before="120" w:after="120"/>
        <w:ind w:firstLine="720"/>
        <w:rPr>
          <w:sz w:val="20"/>
          <w:szCs w:val="20"/>
        </w:rPr>
      </w:pPr>
      <w:r>
        <w:rPr>
          <w:sz w:val="20"/>
        </w:rPr>
        <w:t>Inom registret över varuproducenter skapas avsnittet för tillverkare av plastbärkassar. Genom andra bestämmelser för regleringen av specifika avfallsströmningar kan fler avsnitt skapas i detta register.</w:t>
      </w:r>
    </w:p>
    <w:p w:rsidR="001B208E" w:rsidRDefault="001B208E" w:rsidP="007D7D7B">
      <w:pPr>
        <w:pStyle w:val="Default"/>
        <w:widowControl/>
        <w:spacing w:before="120" w:after="120"/>
        <w:ind w:firstLine="720"/>
        <w:rPr>
          <w:sz w:val="20"/>
          <w:szCs w:val="20"/>
        </w:rPr>
      </w:pPr>
      <w:r>
        <w:rPr>
          <w:sz w:val="20"/>
        </w:rPr>
        <w:t>Detta kungliga dekret anger närmare skyldigheter för tillverkare och importörer av plastbärkassar avseende deras inskrivning i avsnittet för plastbärkassar i registret över varuproducenter inom en tidsfrist på tre månader från och med ikraftträdandet av föreliggande kungliga dekret, liksom deras skyldighet att tillhandahålla uppgifter om saluföringen av plastbärkassar för att möjliggöra den årliga informationsskyldigheten avseende den årliga förbrukningen av plastbärkassar till kommissionen.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V</w:t>
      </w:r>
    </w:p>
    <w:p w:rsidR="001B208E" w:rsidRDefault="001B208E" w:rsidP="007D7D7B">
      <w:pPr>
        <w:pStyle w:val="Default"/>
        <w:widowControl/>
        <w:spacing w:before="120" w:after="120"/>
        <w:ind w:firstLine="720"/>
        <w:rPr>
          <w:sz w:val="20"/>
          <w:szCs w:val="20"/>
        </w:rPr>
      </w:pPr>
      <w:r>
        <w:rPr>
          <w:sz w:val="20"/>
        </w:rPr>
        <w:t xml:space="preserve">Detta kungliga dekret fastställs i enlighet med styckena 13 och 23 i artikel 149.1 i den spanska konstitutionen, som beviljar staten exklusiv befogenhet vad gäller principerna för och samordningen av den allmänna ekonomiska planeringen respektive lagstiftning om miljöskydd. </w:t>
      </w:r>
      <w:r>
        <w:rPr>
          <w:sz w:val="20"/>
        </w:rPr>
        <w:t>Bemyndigandet att genomföra utarbetandet av dessa bestämmelser anges i den tredje slutbestämmelsen i lag 22/2011 av den 28 juli, som ger den spanska regeringen befogenheter för att införa, inom ramen för sina befogenheter, de nödvändiga bestämmelserna för utarbetande och tillämpning av denna lag och, i synnerhet, för att fastställa regler för de olika avfallstyperna, i vilka särskilda bestämmelser avseende deras tillverkning och hantering ska fastställas, samt i den åttonde slutbestämmelsen i samma lag, som föreskriver anpassning till prognoserna i lagen avseende utvecklingsbestämmelser i fråga om avfall.</w:t>
      </w:r>
    </w:p>
    <w:p w:rsidR="001B208E" w:rsidRDefault="001B208E" w:rsidP="007D7D7B">
      <w:pPr>
        <w:pStyle w:val="Default"/>
        <w:widowControl/>
        <w:spacing w:before="120" w:after="120"/>
        <w:ind w:firstLine="720"/>
        <w:rPr>
          <w:sz w:val="20"/>
          <w:szCs w:val="20"/>
        </w:rPr>
      </w:pPr>
      <w:r>
        <w:rPr>
          <w:sz w:val="20"/>
        </w:rPr>
        <w:t>På samma vis antas åtgärderna i detta kungliga dekret i enlighet med artikel 16.1 i lag 22/2011 av den 28 juli, som föreskriver att de behöriga myndigheterna får vidta ekonomiska, finansiella och skattemässiga åtgärder för att främja förebyggande av generering av avfall, införa separat insamling, förbättra avfallshanteringen, främja och stärka återvinningsmarknaderna, liksom för att få avfallssektorn att medverka i begränsningen av växthusgasutsläpp.</w:t>
      </w:r>
    </w:p>
    <w:p w:rsidR="001B208E" w:rsidRDefault="001B208E" w:rsidP="007D7D7B">
      <w:pPr>
        <w:pStyle w:val="Default"/>
        <w:widowControl/>
        <w:spacing w:before="120" w:after="120"/>
        <w:ind w:firstLine="720"/>
        <w:rPr>
          <w:sz w:val="20"/>
          <w:szCs w:val="20"/>
        </w:rPr>
      </w:pPr>
      <w:r>
        <w:rPr>
          <w:sz w:val="20"/>
        </w:rPr>
        <w:t>Framtagandet av föreliggande kungliga dekret har föregåtts av det offentliga samråd som anges i artikel 133 i lag 39/2015 av den 1 oktober om offentliga förvaltningars gemensamma administrativa förfaranden, som genomförts via ministeriet för jordbruk och fiske samt livsmedels- och miljöfrågors webbplats, och i artikel 26.2 i lag 50/1997 av den 27 november om regeringen.</w:t>
      </w:r>
    </w:p>
    <w:p w:rsidR="00694AFB" w:rsidRDefault="001B208E" w:rsidP="007D7D7B">
      <w:pPr>
        <w:pStyle w:val="Default"/>
        <w:widowControl/>
        <w:spacing w:before="120" w:after="120"/>
        <w:ind w:firstLine="720"/>
        <w:rPr>
          <w:sz w:val="20"/>
          <w:szCs w:val="20"/>
        </w:rPr>
      </w:pPr>
      <w:r>
        <w:rPr>
          <w:sz w:val="20"/>
        </w:rPr>
        <w:t xml:space="preserve">Under utarbetandet av detta kungliga dekret har de ekonomiska och sociala aktörerna, de autonoma regionerna och städerna Ceuta och Melilla, liksom de lokala organisationer och mest representativa sektorerna som kan komma att beröras av det rådfrågats. </w:t>
      </w:r>
      <w:r>
        <w:rPr>
          <w:sz w:val="20"/>
        </w:rPr>
        <w:t>Utkastet har dessutom granskats av det rådgivande rådet i miljöfrågor, i enlighet med föreskrifterna i lag 27/2006 av den 18 juli om reglering av rättigheterna till tillgång till information, allmänhetens deltagande och tillgång till rättvisa på miljöområdet (inbegriper Europaparlamentets och rådets förordningar 2003/4/EG och 2003/35/EG) och i enlighet med lag 50/1997 av den 27 november om regeringen.</w:t>
      </w:r>
    </w:p>
    <w:p w:rsidR="001B208E" w:rsidRDefault="001B208E" w:rsidP="007D7D7B">
      <w:pPr>
        <w:pStyle w:val="Default"/>
        <w:widowControl/>
        <w:spacing w:before="120" w:after="120"/>
        <w:ind w:firstLine="720"/>
        <w:rPr>
          <w:sz w:val="20"/>
          <w:szCs w:val="20"/>
        </w:rPr>
      </w:pPr>
      <w:r>
        <w:rPr>
          <w:sz w:val="20"/>
        </w:rPr>
        <w:t>Detta kungliga dekret har även föregåtts av en anmälan till kommissionen, i enlighet med artikel 16 i Europarlamentets och rådets direktiv 94/62/EG av den 20 december 1994 om förpackningar och förpackningsavfall, enligt det förfarande som föreskrivs i Europaparlamentets och rådets direktiv (EU) 2015/1535 av den 9 september 2015 om ett informationsförfarande beträffande tekniska föreskrifter och beträffande föreskrifter för informationssamhällets tjänster samt enligt kungligt dekret 1337/1999 av den 31 juli om regler för vidarebefordrande av information om tekniska standarder och föreskrifter beträffande informationssamhällets tjänster.</w:t>
      </w:r>
    </w:p>
    <w:p w:rsidR="001B208E" w:rsidRDefault="001B208E" w:rsidP="007D7D7B">
      <w:pPr>
        <w:pStyle w:val="Default"/>
        <w:widowControl/>
        <w:spacing w:before="120" w:after="120"/>
        <w:ind w:firstLine="720"/>
        <w:rPr>
          <w:sz w:val="20"/>
          <w:szCs w:val="20"/>
        </w:rPr>
      </w:pPr>
      <w:r>
        <w:rPr>
          <w:sz w:val="20"/>
        </w:rPr>
        <w:t>Med beaktande av de beskrivna omständigheterna följer detta dekret principerna om nödvändighet, ändamålsenlighet, proportionalitet, rättssäkerhet, insyn och effektivitet vad gäller dess innehåll och behandling, i enlighet med bestämmelserna i artikel 129 i lag 39/2015 av den 1 oktober.</w:t>
      </w:r>
    </w:p>
    <w:p w:rsidR="001B208E" w:rsidRDefault="001B208E" w:rsidP="007D7D7B">
      <w:pPr>
        <w:pStyle w:val="Default"/>
        <w:widowControl/>
        <w:spacing w:before="120" w:after="120"/>
        <w:ind w:firstLine="720"/>
        <w:rPr>
          <w:sz w:val="20"/>
          <w:szCs w:val="20"/>
        </w:rPr>
      </w:pPr>
      <w:r>
        <w:rPr>
          <w:sz w:val="20"/>
        </w:rPr>
        <w:t>Dessutom finns detta dekret, i enlighet med artikel 25 i lag 50/1997 av den 27 november, inkluderat i den årliga lagstiftningsplanen för 2018.</w:t>
      </w:r>
    </w:p>
    <w:p w:rsidR="001B208E" w:rsidRDefault="001B208E" w:rsidP="007D7D7B">
      <w:pPr>
        <w:pStyle w:val="Default"/>
        <w:widowControl/>
        <w:spacing w:before="120" w:after="120"/>
        <w:ind w:firstLine="720"/>
        <w:rPr>
          <w:sz w:val="20"/>
          <w:szCs w:val="20"/>
        </w:rPr>
      </w:pPr>
      <w:r>
        <w:rPr>
          <w:sz w:val="20"/>
        </w:rPr>
        <w:t>I kraft av ovanstående, på förslag från ministern för jordbruk och fiske samt livsmedels- och miljöfrågor, med stöd från ministern för finanspolitik och offentlig förvaltning, i enlighet med lagrådet och efter överläggning med ministerrådet vid dess sammanträde den 18 maj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FÖRESKRIVS HÄRMED FÖLJANDE: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KAPITEL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Allmänna bestämmelser</w:t>
      </w:r>
    </w:p>
    <w:p w:rsidR="001B208E" w:rsidRDefault="001B208E" w:rsidP="007D7D7B">
      <w:pPr>
        <w:pStyle w:val="Default"/>
        <w:keepNext/>
        <w:keepLines/>
        <w:widowControl/>
        <w:spacing w:before="120" w:after="120"/>
        <w:ind w:firstLine="720"/>
        <w:rPr>
          <w:sz w:val="20"/>
          <w:szCs w:val="20"/>
        </w:rPr>
      </w:pPr>
      <w:r>
        <w:rPr>
          <w:sz w:val="20"/>
        </w:rPr>
        <w:t xml:space="preserve">Artikel 1. </w:t>
      </w:r>
      <w:r>
        <w:rPr>
          <w:i/>
          <w:sz w:val="20"/>
        </w:rPr>
        <w:t>Föremål och syfte.</w:t>
      </w:r>
    </w:p>
    <w:p w:rsidR="001B208E" w:rsidRDefault="001B208E" w:rsidP="007D7D7B">
      <w:pPr>
        <w:pStyle w:val="Default"/>
        <w:widowControl/>
        <w:spacing w:before="120" w:after="120"/>
        <w:ind w:firstLine="720"/>
        <w:rPr>
          <w:sz w:val="20"/>
          <w:szCs w:val="20"/>
        </w:rPr>
      </w:pPr>
      <w:r>
        <w:rPr>
          <w:sz w:val="20"/>
        </w:rPr>
        <w:t xml:space="preserve">1. </w:t>
      </w:r>
      <w:r>
        <w:rPr>
          <w:sz w:val="20"/>
        </w:rPr>
        <w:t xml:space="preserve">Syftet med detta kungliga dekret är att vidta åtgärder för att minska förbrukningen av plastbärkassar, i syfte att förhindra och minska den negativa inverkan av avfall från dessa på miljön, med särskilt fokus på skador som orsakas på akvatiska ekosystem och på särskilda ekonomiska verksamheter, såsom fiske eller turism, bland andra. </w:t>
      </w:r>
      <w:r>
        <w:rPr>
          <w:sz w:val="20"/>
        </w:rPr>
        <w:t>Likaså har det som syfte att förhindra svinnet av materiella- och ekonomiska resurser som nedskräpningen av plastbärkassar och dess spridning i miljön orsakar.</w:t>
      </w:r>
    </w:p>
    <w:p w:rsidR="001B208E" w:rsidRDefault="001B208E" w:rsidP="007D7D7B">
      <w:pPr>
        <w:pStyle w:val="Default"/>
        <w:widowControl/>
        <w:spacing w:before="120" w:after="120"/>
        <w:ind w:firstLine="720"/>
        <w:rPr>
          <w:sz w:val="20"/>
          <w:szCs w:val="20"/>
        </w:rPr>
      </w:pPr>
      <w:r>
        <w:rPr>
          <w:sz w:val="20"/>
        </w:rPr>
        <w:t xml:space="preserve">2. </w:t>
      </w:r>
      <w:r>
        <w:rPr>
          <w:sz w:val="20"/>
        </w:rPr>
        <w:t>Detta kungliga dekret har även som syfte att skapa ett register över varuproducenter, av administrativ och förklarande natur, som ligger under ministeriet för jordbruk och fiske samt livsmedels- och miljöfrågors generaldirektorat för miljökvalitet och miljöutvärdering samt naturmiljö.</w:t>
      </w:r>
    </w:p>
    <w:p w:rsidR="001B208E" w:rsidRDefault="001B208E" w:rsidP="007D7D7B">
      <w:pPr>
        <w:pStyle w:val="Default"/>
        <w:keepNext/>
        <w:keepLines/>
        <w:widowControl/>
        <w:spacing w:before="120" w:after="120"/>
        <w:ind w:firstLine="720"/>
        <w:rPr>
          <w:sz w:val="20"/>
          <w:szCs w:val="20"/>
        </w:rPr>
      </w:pPr>
      <w:r>
        <w:rPr>
          <w:sz w:val="20"/>
        </w:rPr>
        <w:t>Artikel 2.</w:t>
      </w:r>
      <w:r>
        <w:rPr>
          <w:i/>
          <w:sz w:val="20"/>
        </w:rPr>
        <w:t xml:space="preserve"> </w:t>
      </w:r>
      <w:r>
        <w:rPr>
          <w:i/>
          <w:sz w:val="20"/>
        </w:rPr>
        <w:t>Tillämpningsområde.</w:t>
      </w:r>
    </w:p>
    <w:p w:rsidR="001B208E" w:rsidRDefault="001B208E" w:rsidP="007D7D7B">
      <w:pPr>
        <w:pStyle w:val="Default"/>
        <w:widowControl/>
        <w:spacing w:before="120" w:after="120"/>
        <w:ind w:firstLine="720"/>
        <w:rPr>
          <w:sz w:val="20"/>
          <w:szCs w:val="20"/>
        </w:rPr>
      </w:pPr>
      <w:r>
        <w:rPr>
          <w:sz w:val="20"/>
        </w:rPr>
        <w:t>Alla plastbärkassar som saluförs inom den spanska statens territorium, liksom avfall från dessa, omfattas av detta kungliga dekret.</w:t>
      </w:r>
    </w:p>
    <w:p w:rsidR="001B208E" w:rsidRDefault="001B208E" w:rsidP="007D7D7B">
      <w:pPr>
        <w:pStyle w:val="Default"/>
        <w:keepNext/>
        <w:keepLines/>
        <w:widowControl/>
        <w:spacing w:before="120" w:after="120"/>
        <w:ind w:firstLine="720"/>
        <w:rPr>
          <w:sz w:val="20"/>
          <w:szCs w:val="20"/>
        </w:rPr>
      </w:pPr>
      <w:r>
        <w:rPr>
          <w:sz w:val="20"/>
        </w:rPr>
        <w:t xml:space="preserve">Artikel 3. </w:t>
      </w:r>
      <w:r>
        <w:rPr>
          <w:i/>
          <w:sz w:val="20"/>
        </w:rPr>
        <w:t>Definitioner.</w:t>
      </w:r>
    </w:p>
    <w:p w:rsidR="001B208E" w:rsidRDefault="001B208E" w:rsidP="007D7D7B">
      <w:pPr>
        <w:pStyle w:val="Default"/>
        <w:widowControl/>
        <w:spacing w:before="120" w:after="120"/>
        <w:ind w:firstLine="720"/>
        <w:rPr>
          <w:sz w:val="20"/>
          <w:szCs w:val="20"/>
        </w:rPr>
      </w:pPr>
      <w:r>
        <w:rPr>
          <w:sz w:val="20"/>
        </w:rPr>
        <w:t>Utöver definitionerna i lag 22/2011 av den 28 juli om avfall och förorenade marker, i lag 11/1997 av den 24 april om förpackningar och förpackningsavfall och i kungligt dekret 782/1998 av den 30 april om antagande av förordningen för utarbetande och genomförande av lag 11/1997 av den 24 april, ska följande definitioner gälla för detta kungliga dekret:</w:t>
      </w:r>
    </w:p>
    <w:p w:rsidR="00694AFB" w:rsidRDefault="001B208E" w:rsidP="007D7D7B">
      <w:pPr>
        <w:pStyle w:val="Default"/>
        <w:widowControl/>
        <w:spacing w:before="120" w:after="120"/>
        <w:ind w:firstLine="720"/>
        <w:rPr>
          <w:sz w:val="20"/>
          <w:szCs w:val="20"/>
        </w:rPr>
      </w:pPr>
      <w:r>
        <w:rPr>
          <w:sz w:val="20"/>
        </w:rPr>
        <w:t xml:space="preserve">a) </w:t>
      </w:r>
      <w:r>
        <w:rPr>
          <w:sz w:val="20"/>
          <w:i w:val="1"/>
        </w:rPr>
        <w:t>plast</w:t>
      </w:r>
      <w:r>
        <w:rPr>
          <w:sz w:val="20"/>
        </w:rPr>
        <w:t>: en polymer i enlighet med artikel 3.5 i Europaparlamentets och rådets förordning (EG) nr 1907/2006 av den 18 december 2006 till vilken tillsatser eller andra substanser tillförts, och som kan utgöra en grundläggande strukturell beståndsdel av kassarna,</w:t>
      </w:r>
    </w:p>
    <w:p w:rsidR="001B208E" w:rsidRDefault="001B208E" w:rsidP="007D7D7B">
      <w:pPr>
        <w:pStyle w:val="Default"/>
        <w:widowControl/>
        <w:spacing w:before="120" w:after="120"/>
        <w:ind w:firstLine="720"/>
        <w:rPr>
          <w:sz w:val="20"/>
          <w:szCs w:val="20"/>
        </w:rPr>
      </w:pPr>
      <w:r>
        <w:rPr>
          <w:sz w:val="20"/>
        </w:rPr>
        <w:t xml:space="preserve">b) </w:t>
      </w:r>
      <w:r>
        <w:rPr>
          <w:sz w:val="20"/>
          <w:i w:val="1"/>
        </w:rPr>
        <w:t>plastbärkassar</w:t>
      </w:r>
      <w:r>
        <w:rPr>
          <w:sz w:val="20"/>
        </w:rPr>
        <w:t>: kassar, med eller utan handtag, tillverkade av plast, som tillhandahålls konsumenter vid försäljningsställen för gods eller varor, vilket inkluderar onlineförsäljning och hemleverans,</w:t>
      </w:r>
    </w:p>
    <w:p w:rsidR="001B208E" w:rsidRDefault="001B208E" w:rsidP="007D7D7B">
      <w:pPr>
        <w:pStyle w:val="Default"/>
        <w:widowControl/>
        <w:spacing w:before="120" w:after="120"/>
        <w:ind w:firstLine="720"/>
        <w:rPr>
          <w:sz w:val="20"/>
          <w:szCs w:val="20"/>
        </w:rPr>
      </w:pPr>
      <w:r>
        <w:rPr>
          <w:sz w:val="20"/>
        </w:rPr>
        <w:t xml:space="preserve">c) </w:t>
      </w:r>
      <w:r>
        <w:rPr>
          <w:sz w:val="20"/>
          <w:i w:val="1"/>
        </w:rPr>
        <w:t>tunna plastbärkassar</w:t>
      </w:r>
      <w:r>
        <w:rPr>
          <w:sz w:val="20"/>
        </w:rPr>
        <w:t>: plastbärkassar med en väggtjocklek på mindre än 50 mikrometer,</w:t>
      </w:r>
    </w:p>
    <w:p w:rsidR="001B208E" w:rsidRDefault="001B208E" w:rsidP="007D7D7B">
      <w:pPr>
        <w:pStyle w:val="Default"/>
        <w:widowControl/>
        <w:spacing w:before="120" w:after="120"/>
        <w:ind w:firstLine="720"/>
        <w:rPr>
          <w:sz w:val="20"/>
          <w:szCs w:val="20"/>
        </w:rPr>
      </w:pPr>
      <w:r>
        <w:rPr>
          <w:sz w:val="20"/>
        </w:rPr>
        <w:t xml:space="preserve">d) </w:t>
      </w:r>
      <w:r>
        <w:rPr>
          <w:sz w:val="20"/>
          <w:i w:val="1"/>
        </w:rPr>
        <w:t>mycket tunna plastbärkassar</w:t>
      </w:r>
      <w:r>
        <w:rPr>
          <w:sz w:val="20"/>
        </w:rPr>
        <w:t>: plastbärkassar med en väggtjocklek på mindre än 15 mikrometer, när det krävs av hygieniska skäl, eller som tillhandahålls som primära förpackningar för livsmedel som säljs i lösvikt, så som bland annat frukt, kött, fisk, när dess användning kan förebygga svinn av dessa livsmedel,</w:t>
      </w:r>
    </w:p>
    <w:p w:rsidR="001B208E" w:rsidRDefault="001B208E" w:rsidP="007D7D7B">
      <w:pPr>
        <w:pStyle w:val="Default"/>
        <w:widowControl/>
        <w:spacing w:before="120" w:after="120"/>
        <w:ind w:firstLine="720"/>
        <w:rPr>
          <w:sz w:val="20"/>
          <w:szCs w:val="20"/>
        </w:rPr>
      </w:pPr>
      <w:r>
        <w:rPr>
          <w:sz w:val="20"/>
        </w:rPr>
        <w:t xml:space="preserve">e) </w:t>
      </w:r>
      <w:r>
        <w:rPr>
          <w:sz w:val="20"/>
          <w:i w:val="1"/>
        </w:rPr>
        <w:t>bärkassar av fragmenterbar plast</w:t>
      </w:r>
      <w:r>
        <w:rPr>
          <w:sz w:val="20"/>
        </w:rPr>
        <w:t xml:space="preserve">: plastbärkassar tillverkade av plastmaterial som innehåller tillsatsämnen som fungerar som katalysatorer när plastmaterialet fragmenteras till mikrofragment av plastmaterial. </w:t>
      </w:r>
      <w:r>
        <w:rPr>
          <w:sz w:val="20"/>
        </w:rPr>
        <w:t>Begreppet fragmenterbar plast omfattar både oxo-fragmenterbar plast och plaster som är fotofragmenterbara, fragmenterbara i värme och fragmenterbara i vatten,</w:t>
      </w:r>
    </w:p>
    <w:p w:rsidR="001B208E" w:rsidRDefault="001B208E" w:rsidP="007D7D7B">
      <w:pPr>
        <w:pStyle w:val="Default"/>
        <w:widowControl/>
        <w:spacing w:before="120" w:after="120"/>
        <w:ind w:firstLine="720"/>
        <w:rPr>
          <w:sz w:val="20"/>
          <w:szCs w:val="20"/>
        </w:rPr>
      </w:pPr>
      <w:r>
        <w:rPr>
          <w:sz w:val="20"/>
        </w:rPr>
        <w:t xml:space="preserve">f) </w:t>
      </w:r>
      <w:r>
        <w:rPr>
          <w:sz w:val="20"/>
          <w:i w:val="1"/>
        </w:rPr>
        <w:t>komposterbara plastbärkassar</w:t>
      </w:r>
      <w:r>
        <w:rPr>
          <w:sz w:val="20"/>
        </w:rPr>
        <w:t xml:space="preserve">: plastbärkassar som uppfyller kraven i gällande europeisk standard EN 13432 2000 ”Förpackningar - </w:t>
      </w:r>
      <w:r>
        <w:rPr>
          <w:sz w:val="20"/>
        </w:rPr>
        <w:t xml:space="preserve">Krav gällande förpackningar återvinningsbara genom kompostering och biologisk nedbrytning. </w:t>
      </w:r>
      <w:r>
        <w:rPr>
          <w:sz w:val="20"/>
        </w:rPr>
        <w:t>Provningsschema och utvärderingskriterier för slutgiltigt godkännande av förpackningar” och i dess efterföljande uppdateringar, samt plastbärkassar som uppfyller europeiska eller nationella standarder för biologisk nedbrytning genom hemkompostering,</w:t>
      </w:r>
    </w:p>
    <w:p w:rsidR="001B208E" w:rsidRDefault="001B208E" w:rsidP="007D7D7B">
      <w:pPr>
        <w:pStyle w:val="Default"/>
        <w:widowControl/>
        <w:spacing w:before="120" w:after="120"/>
        <w:ind w:firstLine="720"/>
        <w:rPr>
          <w:sz w:val="20"/>
          <w:szCs w:val="20"/>
        </w:rPr>
      </w:pPr>
      <w:r>
        <w:rPr>
          <w:sz w:val="20"/>
        </w:rPr>
        <w:t xml:space="preserve">g) </w:t>
      </w:r>
      <w:r>
        <w:rPr>
          <w:sz w:val="20"/>
          <w:i w:val="1"/>
        </w:rPr>
        <w:t>tillverkare av plastbärkassar</w:t>
      </w:r>
      <w:r>
        <w:rPr>
          <w:sz w:val="20"/>
        </w:rPr>
        <w:t xml:space="preserve">: den som släpper ut färdigställda plastbärkassar på den nationella marknaden. </w:t>
      </w:r>
      <w:r>
        <w:rPr>
          <w:sz w:val="20"/>
        </w:rPr>
        <w:t>Importörer av plastbärkassar ska också ges status som tillverkare av plastbärkassar.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KAPITEL II</w:t>
      </w:r>
    </w:p>
    <w:p w:rsidR="001B208E" w:rsidRDefault="001B208E" w:rsidP="007D7D7B">
      <w:pPr>
        <w:pStyle w:val="Pa1"/>
        <w:keepNext/>
        <w:keepLines/>
        <w:widowControl/>
        <w:spacing w:before="120" w:after="120" w:line="240" w:lineRule="auto"/>
        <w:jc w:val="center"/>
        <w:rPr>
          <w:sz w:val="20"/>
          <w:szCs w:val="20"/>
        </w:rPr>
      </w:pPr>
      <w:r>
        <w:rPr>
          <w:b/>
          <w:sz w:val="20"/>
        </w:rPr>
        <w:t>Åtgärder, skyldigheter och informationskampanjer för att minska förbrukningen av plastbärkassar</w:t>
      </w:r>
    </w:p>
    <w:p w:rsidR="001B208E" w:rsidRDefault="001B208E" w:rsidP="007D7D7B">
      <w:pPr>
        <w:pStyle w:val="Default"/>
        <w:keepNext/>
        <w:keepLines/>
        <w:widowControl/>
        <w:spacing w:before="120" w:after="120"/>
        <w:ind w:firstLine="720"/>
        <w:rPr>
          <w:sz w:val="20"/>
          <w:szCs w:val="20"/>
        </w:rPr>
      </w:pPr>
      <w:r>
        <w:rPr>
          <w:sz w:val="20"/>
        </w:rPr>
        <w:t xml:space="preserve">Artikel 4. </w:t>
      </w:r>
      <w:r>
        <w:rPr>
          <w:i/>
          <w:sz w:val="20"/>
        </w:rPr>
        <w:t>Åtgärder för att minska förbrukningen av plastbärkassar.</w:t>
      </w:r>
    </w:p>
    <w:p w:rsidR="001B208E" w:rsidRDefault="001B208E" w:rsidP="007D7D7B">
      <w:pPr>
        <w:pStyle w:val="Default"/>
        <w:widowControl/>
        <w:spacing w:before="120" w:after="120"/>
        <w:ind w:firstLine="720"/>
        <w:rPr>
          <w:sz w:val="20"/>
          <w:szCs w:val="20"/>
        </w:rPr>
      </w:pPr>
      <w:r>
        <w:rPr>
          <w:sz w:val="20"/>
        </w:rPr>
        <w:t>Följande åtgärder antas i syfte att minska förbrukningen av plastbärkassar, ordnade efter datum för ikraftträdande:</w:t>
      </w:r>
    </w:p>
    <w:p w:rsidR="001B208E" w:rsidRDefault="001B208E" w:rsidP="007D7D7B">
      <w:pPr>
        <w:pStyle w:val="Default"/>
        <w:keepNext/>
        <w:keepLines/>
        <w:widowControl/>
        <w:spacing w:before="120" w:after="120"/>
        <w:ind w:firstLine="720"/>
        <w:rPr>
          <w:sz w:val="20"/>
          <w:szCs w:val="20"/>
        </w:rPr>
      </w:pPr>
      <w:r>
        <w:rPr>
          <w:sz w:val="20"/>
        </w:rPr>
        <w:t xml:space="preserve">1. </w:t>
      </w:r>
      <w:r>
        <w:rPr>
          <w:sz w:val="20"/>
        </w:rPr>
        <w:t>Från och med den 1 juli 2018:</w:t>
      </w:r>
    </w:p>
    <w:p w:rsidR="001B208E" w:rsidRDefault="001B208E" w:rsidP="007D7D7B">
      <w:pPr>
        <w:pStyle w:val="Default"/>
        <w:widowControl/>
        <w:spacing w:before="120" w:after="120"/>
        <w:ind w:firstLine="720"/>
        <w:rPr>
          <w:sz w:val="20"/>
          <w:szCs w:val="20"/>
        </w:rPr>
      </w:pPr>
      <w:r>
        <w:rPr>
          <w:sz w:val="20"/>
        </w:rPr>
        <w:t>a) Kostnadsfritt tillhandahållande av plastbärkassar till konsumenter vid försäljningsställen för gods eller varor förbjuds, med undantag för mycket tunna plastbärkassar och för plastbärkassar med en väggtjocklek på 50 mikrometer eller mer som innehåller 70 % återvunnen plast eller mer.</w:t>
      </w:r>
    </w:p>
    <w:p w:rsidR="001B208E" w:rsidRDefault="001B208E" w:rsidP="007D7D7B">
      <w:pPr>
        <w:pStyle w:val="Default"/>
        <w:widowControl/>
        <w:spacing w:before="120" w:after="120"/>
        <w:ind w:firstLine="720"/>
        <w:rPr>
          <w:sz w:val="20"/>
          <w:szCs w:val="20"/>
        </w:rPr>
      </w:pPr>
      <w:r>
        <w:rPr>
          <w:sz w:val="20"/>
        </w:rPr>
        <w:t>b) När det gäller undantaget för plastbärkassar med en väggtjocklek på 50 mikrometer eller mer som nämns i föregående punkt ska handlarna inneha dokumentation från tillverkaren som intygar sagda procentsats.</w:t>
      </w:r>
    </w:p>
    <w:p w:rsidR="001B208E" w:rsidRDefault="001B208E" w:rsidP="007D7D7B">
      <w:pPr>
        <w:pStyle w:val="Default"/>
        <w:widowControl/>
        <w:spacing w:before="120" w:after="120"/>
        <w:ind w:firstLine="720"/>
        <w:rPr>
          <w:sz w:val="20"/>
          <w:szCs w:val="20"/>
        </w:rPr>
      </w:pPr>
      <w:r>
        <w:rPr>
          <w:sz w:val="20"/>
        </w:rPr>
        <w:t xml:space="preserve">c) Handlarna ska ta ut en avgift för varje plastbärkasse som tillhandahålls konsumenten. </w:t>
      </w:r>
      <w:r>
        <w:rPr>
          <w:sz w:val="20"/>
        </w:rPr>
        <w:t>För att fastställa avgiften för varje plastbärkasse kan handlarna använda sig av referenspriserna som anges i bilaga I.</w:t>
      </w:r>
    </w:p>
    <w:p w:rsidR="001B208E" w:rsidRDefault="001B208E" w:rsidP="007D7D7B">
      <w:pPr>
        <w:pStyle w:val="Default"/>
        <w:widowControl/>
        <w:spacing w:before="120" w:after="120"/>
        <w:ind w:firstLine="720"/>
        <w:rPr>
          <w:sz w:val="20"/>
          <w:szCs w:val="20"/>
        </w:rPr>
      </w:pPr>
      <w:r>
        <w:rPr>
          <w:sz w:val="20"/>
        </w:rPr>
        <w:t>d) Likaså ska handlarna informera konsumenterna om de fastställda priserna genom att sätta upp dem på en plats som är tydligt synlig för allmänheten och som innehåller en referens till uppfyllandet av skyldigheterna som föreskrivs i de föregående punkterna.</w:t>
      </w:r>
    </w:p>
    <w:p w:rsidR="001B208E" w:rsidRDefault="001B208E" w:rsidP="007D7D7B">
      <w:pPr>
        <w:pStyle w:val="Default"/>
        <w:keepNext/>
        <w:keepLines/>
        <w:widowControl/>
        <w:spacing w:before="120" w:after="120"/>
        <w:ind w:firstLine="720"/>
        <w:rPr>
          <w:sz w:val="20"/>
          <w:szCs w:val="20"/>
        </w:rPr>
      </w:pPr>
      <w:r>
        <w:rPr>
          <w:sz w:val="20"/>
        </w:rPr>
        <w:t xml:space="preserve">2. </w:t>
      </w:r>
      <w:r>
        <w:rPr>
          <w:sz w:val="20"/>
        </w:rPr>
        <w:t>Från och med den 1 januari 2020:</w:t>
      </w:r>
    </w:p>
    <w:p w:rsidR="001B208E" w:rsidRDefault="001B208E" w:rsidP="007D7D7B">
      <w:pPr>
        <w:pStyle w:val="Default"/>
        <w:widowControl/>
        <w:spacing w:before="120" w:after="120"/>
        <w:ind w:firstLine="720"/>
        <w:rPr>
          <w:sz w:val="20"/>
          <w:szCs w:val="20"/>
        </w:rPr>
      </w:pPr>
      <w:r>
        <w:rPr>
          <w:sz w:val="20"/>
        </w:rPr>
        <w:t>a) Tillhandahållande av plastbärkassar av fragmenterbar plast till konsumenter vid försäljningsställen för gods eller varor förbjuds.</w:t>
      </w:r>
    </w:p>
    <w:p w:rsidR="00694AFB" w:rsidRDefault="001B208E" w:rsidP="007D7D7B">
      <w:pPr>
        <w:pStyle w:val="Default"/>
        <w:widowControl/>
        <w:spacing w:before="120" w:after="120"/>
        <w:ind w:firstLine="720"/>
        <w:rPr>
          <w:sz w:val="20"/>
          <w:szCs w:val="20"/>
        </w:rPr>
      </w:pPr>
      <w:r>
        <w:rPr>
          <w:sz w:val="20"/>
        </w:rPr>
        <w:t>b) Plastbärkassar med en väggtjocklek på 50 mikrometer eller mer ska bestå som minst av 50 % återvunnen plast.</w:t>
      </w:r>
    </w:p>
    <w:p w:rsidR="001B208E" w:rsidRDefault="001B208E" w:rsidP="007D7D7B">
      <w:pPr>
        <w:pStyle w:val="Default"/>
        <w:widowControl/>
        <w:spacing w:before="120" w:after="120"/>
        <w:ind w:firstLine="720"/>
        <w:rPr>
          <w:sz w:val="20"/>
          <w:szCs w:val="20"/>
        </w:rPr>
      </w:pPr>
      <w:r>
        <w:rPr>
          <w:sz w:val="20"/>
        </w:rPr>
        <w:t xml:space="preserve">3. </w:t>
      </w:r>
      <w:r>
        <w:rPr>
          <w:sz w:val="20"/>
        </w:rPr>
        <w:t xml:space="preserve">Från och med den 1 januari 2021 förbjuds tillhandahållande av tunna plastbärkassar och mycket tunna plastbärkassar till konsumenter på försäljningsställen för gods eller varor, förutom om de är av komposterbar plast. </w:t>
      </w:r>
      <w:r>
        <w:rPr>
          <w:sz w:val="20"/>
        </w:rPr>
        <w:t>Handlarna kan även välja andra förpackningsformat för att ersätta plastbärkassarna.</w:t>
      </w:r>
    </w:p>
    <w:p w:rsidR="001B208E" w:rsidRDefault="001B208E" w:rsidP="007D7D7B">
      <w:pPr>
        <w:pStyle w:val="Default"/>
        <w:widowControl/>
        <w:spacing w:before="120" w:after="120"/>
        <w:ind w:firstLine="720"/>
        <w:rPr>
          <w:sz w:val="20"/>
          <w:szCs w:val="20"/>
        </w:rPr>
      </w:pPr>
      <w:r>
        <w:rPr>
          <w:sz w:val="20"/>
        </w:rPr>
        <w:t xml:space="preserve">4. </w:t>
      </w:r>
      <w:r>
        <w:rPr>
          <w:sz w:val="20"/>
        </w:rPr>
        <w:t xml:space="preserve">Alla åtgärder i denna artikel gäller både för plastbärkassar som tillhandahålls på försäljningsställen för gods eller varor och för plastbärkassar som kan tillhandahållas vid onlineköp och hemleverans. </w:t>
      </w:r>
      <w:r>
        <w:rPr>
          <w:sz w:val="20"/>
        </w:rPr>
        <w:t>Plastkuvert såsom de som används vid distansförsäljning utesluts, även om de ska betraktas som förpackningar om de överensstämmer med definitionen av förpackning och exemplen på förpackningar som anges i lag 11/1997 av den 24 april.</w:t>
      </w:r>
    </w:p>
    <w:p w:rsidR="001B208E" w:rsidRDefault="001B208E" w:rsidP="007D7D7B">
      <w:pPr>
        <w:pStyle w:val="Default"/>
        <w:keepNext/>
        <w:keepLines/>
        <w:widowControl/>
        <w:spacing w:before="120" w:after="120"/>
        <w:ind w:firstLine="720"/>
        <w:rPr>
          <w:sz w:val="20"/>
          <w:szCs w:val="20"/>
        </w:rPr>
      </w:pPr>
      <w:r>
        <w:rPr>
          <w:sz w:val="20"/>
        </w:rPr>
        <w:t xml:space="preserve">Artikel 5. </w:t>
      </w:r>
      <w:r>
        <w:rPr>
          <w:i/>
          <w:sz w:val="20"/>
        </w:rPr>
        <w:t>Skyldigheter beträffande märkning av plastbärkassar.</w:t>
      </w:r>
    </w:p>
    <w:p w:rsidR="001B208E" w:rsidRDefault="001B208E" w:rsidP="007D7D7B">
      <w:pPr>
        <w:pStyle w:val="Default"/>
        <w:widowControl/>
        <w:spacing w:before="120" w:after="120"/>
        <w:ind w:firstLine="720"/>
        <w:rPr>
          <w:sz w:val="20"/>
          <w:szCs w:val="20"/>
        </w:rPr>
      </w:pPr>
      <w:r>
        <w:rPr>
          <w:sz w:val="20"/>
        </w:rPr>
        <w:t>Senast 18 månader efter ikraftträdandet av gemenskapslagsregleringen i artikel 8a i Europaparlamentets och rådets direktiv 94/62/EG av den 20 december 1994 om förpackningar och förpackningsavfall avseende fastställandet av specifikationer för etiketter och märkningar som möjliggör igenkännandet av komposterbara plastbärkassar inom hela EU, ska komposterbara plastbärkassar som släpps ut på marknaden inom hela Spaniens territorium vara märkta i enlighet med gemenskapslagstiftningen som antas.</w:t>
      </w:r>
    </w:p>
    <w:p w:rsidR="001B208E" w:rsidRDefault="001B208E" w:rsidP="007D7D7B">
      <w:pPr>
        <w:pStyle w:val="Default"/>
        <w:keepNext/>
        <w:keepLines/>
        <w:widowControl/>
        <w:spacing w:before="120" w:after="120"/>
        <w:ind w:firstLine="720"/>
        <w:rPr>
          <w:sz w:val="20"/>
          <w:szCs w:val="20"/>
        </w:rPr>
      </w:pPr>
      <w:r>
        <w:rPr>
          <w:sz w:val="20"/>
        </w:rPr>
        <w:t xml:space="preserve">Artikel 6. </w:t>
      </w:r>
      <w:r>
        <w:rPr>
          <w:i/>
          <w:sz w:val="20"/>
        </w:rPr>
        <w:t>Informationskampanjer.</w:t>
      </w:r>
    </w:p>
    <w:p w:rsidR="001B208E" w:rsidRDefault="001B208E" w:rsidP="007D7D7B">
      <w:pPr>
        <w:pStyle w:val="Default"/>
        <w:widowControl/>
        <w:spacing w:before="120" w:after="120"/>
        <w:ind w:firstLine="720"/>
        <w:rPr>
          <w:sz w:val="20"/>
          <w:szCs w:val="20"/>
        </w:rPr>
      </w:pPr>
      <w:r>
        <w:rPr>
          <w:sz w:val="20"/>
        </w:rPr>
        <w:t xml:space="preserve">1. </w:t>
      </w:r>
      <w:r>
        <w:rPr>
          <w:sz w:val="20"/>
        </w:rPr>
        <w:t xml:space="preserve">Ministeriet för jordbruk och fiske samt livsmedels- och miljöfrågor och de autonoma regionerna ska, som behöriga myndigheter, bedriva informationskampanjer riktade mot allmänheten om de åtgärder som vidtas genom detta kungliga dekret, liksom om de negativa konsekvenser för miljön som den överdrivna förbrukningen av plastbärkassar och nedskräpningen med dessa medför samt främja tillämpningen av principen om avfallshierarki. </w:t>
      </w:r>
      <w:r>
        <w:rPr>
          <w:sz w:val="20"/>
        </w:rPr>
        <w:t>Ovannämnda kampanjer ska innehålla information om den behållare där plastbärkassar, komposterbara såväl som icke komposterbara, ska slängas när de blir till avfall.</w:t>
      </w:r>
    </w:p>
    <w:p w:rsidR="001B208E" w:rsidRDefault="001B208E" w:rsidP="007D7D7B">
      <w:pPr>
        <w:pStyle w:val="Default"/>
        <w:widowControl/>
        <w:spacing w:before="120" w:after="120"/>
        <w:ind w:firstLine="720"/>
        <w:rPr>
          <w:sz w:val="20"/>
          <w:szCs w:val="20"/>
        </w:rPr>
      </w:pPr>
      <w:r>
        <w:rPr>
          <w:sz w:val="20"/>
        </w:rPr>
        <w:t>Dessa informationskampanjer ska åtminstone äga rum inom första året från och med föreliggande kungliga dekrets ikraftträdande och kan pågå längre om det anses vara lämpligt för att uppnå de fastställda målen.</w:t>
      </w:r>
    </w:p>
    <w:p w:rsidR="001B208E" w:rsidRDefault="001B208E" w:rsidP="007D7D7B">
      <w:pPr>
        <w:pStyle w:val="Default"/>
        <w:widowControl/>
        <w:spacing w:before="120" w:after="120"/>
        <w:ind w:firstLine="720"/>
        <w:rPr>
          <w:sz w:val="20"/>
          <w:szCs w:val="20"/>
        </w:rPr>
      </w:pPr>
      <w:r>
        <w:rPr>
          <w:sz w:val="20"/>
        </w:rPr>
        <w:t xml:space="preserve">2. </w:t>
      </w:r>
      <w:r>
        <w:rPr>
          <w:sz w:val="20"/>
        </w:rPr>
        <w:t>De lokala organisationerna och handlarna kan även de genomföra informationskampanjer i överensstämmelse med behöriga myndigheters kampanjer.</w:t>
      </w:r>
    </w:p>
    <w:p w:rsidR="001B208E" w:rsidRDefault="001B208E" w:rsidP="007D7D7B">
      <w:pPr>
        <w:pStyle w:val="Default"/>
        <w:widowControl/>
        <w:spacing w:before="120" w:after="120"/>
        <w:ind w:firstLine="720"/>
        <w:rPr>
          <w:sz w:val="20"/>
          <w:szCs w:val="20"/>
        </w:rPr>
      </w:pPr>
      <w:r>
        <w:rPr>
          <w:sz w:val="20"/>
        </w:rPr>
        <w:t xml:space="preserve">3. </w:t>
      </w:r>
      <w:r>
        <w:rPr>
          <w:sz w:val="20"/>
        </w:rPr>
        <w:t>De behöriga myndigheternas informationskampanjer kan finansieras med hjälp av de kollektiva systemen för utökat producentansvar, inom ramen för dessa systems finansieringsavtal med de autonoma regionerna eller, när så är lämpligt, lokala organisationer.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KAPITEL III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Register över varuproducenter</w:t>
      </w:r>
    </w:p>
    <w:p w:rsidR="001B208E" w:rsidRDefault="001B208E" w:rsidP="007D7D7B">
      <w:pPr>
        <w:pStyle w:val="Default"/>
        <w:keepNext/>
        <w:keepLines/>
        <w:widowControl/>
        <w:spacing w:before="120" w:after="120"/>
        <w:ind w:firstLine="720"/>
        <w:rPr>
          <w:sz w:val="20"/>
          <w:szCs w:val="20"/>
        </w:rPr>
      </w:pPr>
      <w:r>
        <w:rPr>
          <w:sz w:val="20"/>
        </w:rPr>
        <w:t xml:space="preserve">Artikel 7. </w:t>
      </w:r>
      <w:r>
        <w:rPr>
          <w:i w:val="1"/>
          <w:sz w:val="20"/>
        </w:rPr>
        <w:t>Skapande av registret över varuproducenter.</w:t>
      </w:r>
    </w:p>
    <w:p w:rsidR="001B208E" w:rsidRDefault="001B208E" w:rsidP="007D7D7B">
      <w:pPr>
        <w:pStyle w:val="Default"/>
        <w:widowControl/>
        <w:spacing w:before="120" w:after="120"/>
        <w:ind w:firstLine="720"/>
        <w:rPr>
          <w:sz w:val="20"/>
          <w:szCs w:val="20"/>
        </w:rPr>
      </w:pPr>
      <w:r>
        <w:rPr>
          <w:sz w:val="20"/>
        </w:rPr>
        <w:t xml:space="preserve">1. </w:t>
      </w:r>
      <w:r>
        <w:rPr>
          <w:sz w:val="20"/>
        </w:rPr>
        <w:t>Härmed skapas registret över varuproducenter, av administrativ och förklarande natur, som ligger under ministeriet för jordbruk och fiske samt livsmedels- och miljöfrågors generaldirektorat för miljökvalitet och miljöutredning samt naturmiljö.</w:t>
      </w:r>
    </w:p>
    <w:p w:rsidR="001B208E" w:rsidRDefault="001B208E" w:rsidP="007D7D7B">
      <w:pPr>
        <w:pStyle w:val="Default"/>
        <w:widowControl/>
        <w:spacing w:before="120" w:after="120"/>
        <w:ind w:firstLine="720"/>
        <w:rPr>
          <w:sz w:val="20"/>
          <w:szCs w:val="20"/>
        </w:rPr>
      </w:pPr>
      <w:r>
        <w:rPr>
          <w:sz w:val="20"/>
        </w:rPr>
        <w:t xml:space="preserve">2. </w:t>
      </w:r>
      <w:r>
        <w:rPr>
          <w:sz w:val="20"/>
        </w:rPr>
        <w:t xml:space="preserve">Registret över varuproducenter organiseras i producentavsnitt och ska samla in uppgifterna om saluföringen av produkter i syfte att uppfylla informationsskyldigheterna i fråga om avfallshantering. </w:t>
      </w:r>
      <w:r>
        <w:rPr>
          <w:sz w:val="20"/>
        </w:rPr>
        <w:t>Registret över varuproducenter ska åtminstone innehålla avsnittet för producenter av plastbärkassar.</w:t>
      </w:r>
    </w:p>
    <w:p w:rsidR="00694AFB" w:rsidRDefault="001B208E" w:rsidP="007D7D7B">
      <w:pPr>
        <w:pStyle w:val="Default"/>
        <w:widowControl/>
        <w:spacing w:before="120" w:after="120"/>
        <w:ind w:firstLine="720"/>
        <w:rPr>
          <w:sz w:val="20"/>
          <w:szCs w:val="20"/>
        </w:rPr>
      </w:pPr>
      <w:r>
        <w:rPr>
          <w:sz w:val="20"/>
        </w:rPr>
        <w:t>Nya avsnitt kan skapas i registret över varuproducenter genom respektive regleringar för avfall, med det innehåll som fastställs i dessa regleringar.</w:t>
      </w:r>
    </w:p>
    <w:p w:rsidR="001B208E" w:rsidRDefault="001B208E" w:rsidP="007D7D7B">
      <w:pPr>
        <w:pStyle w:val="Default"/>
        <w:keepNext/>
        <w:keepLines/>
        <w:widowControl/>
        <w:spacing w:before="120" w:after="120"/>
        <w:ind w:firstLine="720"/>
        <w:rPr>
          <w:sz w:val="20"/>
          <w:szCs w:val="20"/>
        </w:rPr>
      </w:pPr>
      <w:r>
        <w:rPr>
          <w:sz w:val="20"/>
        </w:rPr>
        <w:t xml:space="preserve">Artikel 8. </w:t>
      </w:r>
      <w:r>
        <w:rPr>
          <w:i/>
          <w:sz w:val="20"/>
        </w:rPr>
        <w:t>Inskrivning av producenter av plastbärkassar i registret över varuproducenter.</w:t>
      </w:r>
    </w:p>
    <w:p w:rsidR="001B208E" w:rsidRDefault="001B208E" w:rsidP="007D7D7B">
      <w:pPr>
        <w:pStyle w:val="Default"/>
        <w:widowControl/>
        <w:spacing w:before="120" w:after="120"/>
        <w:ind w:firstLine="720"/>
        <w:rPr>
          <w:sz w:val="20"/>
          <w:szCs w:val="20"/>
        </w:rPr>
      </w:pPr>
      <w:r>
        <w:rPr>
          <w:sz w:val="20"/>
        </w:rPr>
        <w:t xml:space="preserve">Producenterna av plastbärkassar ska skriva in sig i avsnittet för producenter av plastbärkassar i ministeriet för jordbruk och fiske samt livsmedels- och miljöfrågors register för varuproducenter, inom loppet av tre månader från och med datumet för ikraftträdande av detta kungliga dekret. </w:t>
      </w:r>
      <w:r>
        <w:rPr>
          <w:sz w:val="20"/>
        </w:rPr>
        <w:t xml:space="preserve">Vid tidpunkten för inskrivningen ska den information som fastställs i det första avsnittet i bilaga II presenteras, vilken ska vara offentlig. </w:t>
      </w:r>
      <w:r>
        <w:rPr>
          <w:sz w:val="20"/>
        </w:rPr>
        <w:t>Personliga uppgifter ska skyddas enligt den nationella lagstiftningen om skydd av personliga uppgifter.</w:t>
      </w:r>
    </w:p>
    <w:p w:rsidR="001B208E" w:rsidRDefault="001B208E" w:rsidP="007D7D7B">
      <w:pPr>
        <w:pStyle w:val="Default"/>
        <w:keepNext/>
        <w:keepLines/>
        <w:widowControl/>
        <w:spacing w:before="120" w:after="120"/>
        <w:ind w:firstLine="720"/>
        <w:rPr>
          <w:sz w:val="20"/>
          <w:szCs w:val="20"/>
        </w:rPr>
      </w:pPr>
      <w:r>
        <w:rPr>
          <w:sz w:val="20"/>
        </w:rPr>
        <w:t xml:space="preserve">Artikel 9. </w:t>
      </w:r>
      <w:r>
        <w:rPr>
          <w:i/>
          <w:sz w:val="20"/>
        </w:rPr>
        <w:t>Informationsskyldigheter avseende plastbärkassar.</w:t>
      </w:r>
    </w:p>
    <w:p w:rsidR="001B208E" w:rsidRDefault="001B208E" w:rsidP="007D7D7B">
      <w:pPr>
        <w:pStyle w:val="Default"/>
        <w:widowControl/>
        <w:spacing w:before="120" w:after="120"/>
        <w:ind w:firstLine="720"/>
        <w:rPr>
          <w:sz w:val="20"/>
          <w:szCs w:val="20"/>
        </w:rPr>
      </w:pPr>
      <w:r>
        <w:rPr>
          <w:sz w:val="20"/>
        </w:rPr>
        <w:t xml:space="preserve">Producenterna av plastbärkassar ska samla in uppgifter om de bärkassar som de släppt ut på marknaden under kalenderåret, i enlighet med det som anges i andra avsnittet i bilaga II. </w:t>
      </w:r>
      <w:r>
        <w:rPr>
          <w:sz w:val="20"/>
        </w:rPr>
        <w:t>Denna information ska tillhandahållas ministeriet för jordbruk och fiske samt livsmedels- och miljöfrågor före den 31 mars nästföljande år i syfte att sammanställa uppgifterna om plastbärkassar som måste tillhandahållas kommissionen i enlighet med gällande lagstiftning, och som ska publiceras årligen.</w:t>
      </w:r>
    </w:p>
    <w:p w:rsidR="001B208E" w:rsidRDefault="001B208E" w:rsidP="007D7D7B">
      <w:pPr>
        <w:pStyle w:val="Default"/>
        <w:widowControl/>
        <w:spacing w:before="120" w:after="120"/>
        <w:ind w:firstLine="720"/>
        <w:rPr>
          <w:sz w:val="20"/>
          <w:szCs w:val="20"/>
        </w:rPr>
      </w:pPr>
      <w:r>
        <w:rPr>
          <w:sz w:val="20"/>
        </w:rPr>
        <w:t>Uppgifterna som tillhandahålls av producenterna av plastbärkassar ska vara tillgängliga för behöriga myndigheter i inspektions- och kontrollsyfte.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KAPITEL IV</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Straffbestämmelser</w:t>
      </w:r>
    </w:p>
    <w:p w:rsidR="001B208E" w:rsidRDefault="001B208E" w:rsidP="007D7D7B">
      <w:pPr>
        <w:pStyle w:val="Default"/>
        <w:keepNext/>
        <w:keepLines/>
        <w:widowControl/>
        <w:spacing w:before="120" w:after="120"/>
        <w:ind w:firstLine="720"/>
        <w:rPr>
          <w:sz w:val="20"/>
          <w:szCs w:val="20"/>
        </w:rPr>
      </w:pPr>
      <w:r>
        <w:rPr>
          <w:sz w:val="20"/>
        </w:rPr>
        <w:t xml:space="preserve">Artikel 10. </w:t>
      </w:r>
      <w:r>
        <w:rPr>
          <w:i/>
          <w:sz w:val="20"/>
        </w:rPr>
        <w:t>Straffbestämmelser.</w:t>
      </w:r>
    </w:p>
    <w:p w:rsidR="001B208E" w:rsidRDefault="001B208E" w:rsidP="007D7D7B">
      <w:pPr>
        <w:pStyle w:val="Default"/>
        <w:widowControl/>
        <w:spacing w:before="120" w:after="120"/>
        <w:ind w:firstLine="720"/>
        <w:rPr>
          <w:sz w:val="20"/>
          <w:szCs w:val="20"/>
        </w:rPr>
      </w:pPr>
      <w:r>
        <w:rPr>
          <w:sz w:val="20"/>
        </w:rPr>
        <w:t>Om bestämmelserna i detta kungliga dekret inte följs ska detta bestraffas i enlighet med lag 22/2011 av den 28 juli om avfall och förorenade marker.</w:t>
      </w:r>
    </w:p>
    <w:p w:rsidR="001B208E" w:rsidRDefault="001B208E" w:rsidP="007D7D7B">
      <w:pPr>
        <w:pStyle w:val="Default"/>
        <w:keepNext/>
        <w:keepLines/>
        <w:widowControl/>
        <w:spacing w:before="120" w:after="120"/>
        <w:ind w:firstLine="720"/>
        <w:rPr>
          <w:sz w:val="20"/>
          <w:szCs w:val="20"/>
        </w:rPr>
      </w:pPr>
      <w:r>
        <w:rPr>
          <w:sz w:val="20"/>
        </w:rPr>
        <w:t xml:space="preserve">Första tilläggsbestämmelsen. </w:t>
      </w:r>
      <w:r>
        <w:rPr>
          <w:i/>
          <w:sz w:val="20"/>
        </w:rPr>
        <w:t>Rapport om tillämpningen av det kungliga dekretet och granskning av de föreslagna åtgärderna.</w:t>
      </w:r>
    </w:p>
    <w:p w:rsidR="001B208E" w:rsidRDefault="001B208E" w:rsidP="007D7D7B">
      <w:pPr>
        <w:pStyle w:val="Default"/>
        <w:widowControl/>
        <w:spacing w:before="120" w:after="120"/>
        <w:ind w:firstLine="720"/>
        <w:rPr>
          <w:sz w:val="20"/>
          <w:szCs w:val="20"/>
        </w:rPr>
      </w:pPr>
      <w:r>
        <w:rPr>
          <w:sz w:val="20"/>
        </w:rPr>
        <w:t xml:space="preserve">Före den 1 januari 2023 ska ministeriet för jordbruk och fiske samt livsmedels- och miljöfrågor sammanställa en granskningsrapport om åtgärderna som föreskrivs i detta kungliga dekret för att minska förbrukningen av plastbärkassar, ändra konsumenternas beteende och främja förebyggandet av avfall. </w:t>
      </w:r>
      <w:r>
        <w:rPr>
          <w:sz w:val="20"/>
        </w:rPr>
        <w:t>Om granskningen visar att de vidtagna åtgärderna inte är effektiva ska ministeriet för jordbruk och fiske samt livsmedels- och miljöfrågor överväga andra möjliga åtgärder för att minska förbrukningen av plastbärkassar och, i sådana fall, lägga fram ett förslag till lagstiftning.</w:t>
      </w:r>
    </w:p>
    <w:p w:rsidR="001B208E" w:rsidRDefault="001B208E" w:rsidP="007D7D7B">
      <w:pPr>
        <w:pStyle w:val="Default"/>
        <w:keepNext/>
        <w:keepLines/>
        <w:widowControl/>
        <w:spacing w:before="120" w:after="120"/>
        <w:ind w:firstLine="720"/>
        <w:rPr>
          <w:sz w:val="20"/>
          <w:szCs w:val="20"/>
        </w:rPr>
      </w:pPr>
      <w:r>
        <w:rPr>
          <w:sz w:val="20"/>
        </w:rPr>
        <w:t xml:space="preserve">Andra tilläggsbestämmelsen. </w:t>
      </w:r>
      <w:r>
        <w:rPr>
          <w:i/>
          <w:sz w:val="20"/>
        </w:rPr>
        <w:t>Tillämpning av den andra tilläggsbestämmelsen i lag 22/2011 av den 28 juli.</w:t>
      </w:r>
    </w:p>
    <w:p w:rsidR="001B208E" w:rsidRDefault="001B208E" w:rsidP="007D7D7B">
      <w:pPr>
        <w:pStyle w:val="Default"/>
        <w:widowControl/>
        <w:spacing w:before="120" w:after="120"/>
        <w:ind w:firstLine="720"/>
        <w:rPr>
          <w:sz w:val="20"/>
          <w:szCs w:val="20"/>
        </w:rPr>
      </w:pPr>
      <w:r>
        <w:rPr>
          <w:sz w:val="20"/>
        </w:rPr>
        <w:t>Åtgärderna som anges i detta kungliga dekret för tunna plastbärkassar kommer att möjliggöra uppfyllandet av den andra tilläggsbestämmelsen i lag 22/2011 av den 28 juli, i synnerhet avseende fastställandet av tidplanen som nämns i dess avsnitt 3.</w:t>
      </w:r>
    </w:p>
    <w:p w:rsidR="00694AFB" w:rsidRDefault="001B208E" w:rsidP="007D7D7B">
      <w:pPr>
        <w:pStyle w:val="Default"/>
        <w:widowControl/>
        <w:spacing w:before="120" w:after="120"/>
        <w:ind w:firstLine="720"/>
        <w:rPr>
          <w:sz w:val="20"/>
          <w:szCs w:val="20"/>
        </w:rPr>
      </w:pPr>
      <w:r>
        <w:rPr>
          <w:sz w:val="20"/>
        </w:rPr>
        <w:t>Arbetsgruppen som nämns i avsnitt 4 i den andra tilläggsbestämmelsen i lag 22/2011 av den 28 juli kommer att vara samordningskommissionen för avfalls arbetsgrupp för förpackningar och avfall från förpackningar, som är underordnad generaldirektoratet för miljökvalitet och för miljöutredning samt naturmiljö.</w:t>
      </w:r>
    </w:p>
    <w:p w:rsidR="001B208E" w:rsidRDefault="001B208E" w:rsidP="007D7D7B">
      <w:pPr>
        <w:pStyle w:val="Default"/>
        <w:keepNext/>
        <w:keepLines/>
        <w:widowControl/>
        <w:spacing w:before="120" w:after="120"/>
        <w:ind w:firstLine="720"/>
        <w:rPr>
          <w:sz w:val="20"/>
          <w:szCs w:val="20"/>
        </w:rPr>
      </w:pPr>
      <w:r>
        <w:rPr>
          <w:sz w:val="20"/>
        </w:rPr>
        <w:t xml:space="preserve">Tredje tilläggsbestämmelsen. </w:t>
      </w:r>
      <w:r>
        <w:rPr>
          <w:i/>
          <w:sz w:val="20"/>
        </w:rPr>
        <w:t>Uppgifter om plastbärkassar avseende år 2017.</w:t>
      </w:r>
    </w:p>
    <w:p w:rsidR="001B208E" w:rsidRDefault="001B208E" w:rsidP="007D7D7B">
      <w:pPr>
        <w:pStyle w:val="Default"/>
        <w:widowControl/>
        <w:spacing w:before="120" w:after="120"/>
        <w:ind w:firstLine="720"/>
        <w:rPr>
          <w:sz w:val="20"/>
          <w:szCs w:val="20"/>
        </w:rPr>
      </w:pPr>
      <w:r>
        <w:rPr>
          <w:sz w:val="20"/>
        </w:rPr>
        <w:t>Uppgifterna om plastbärkassar som släppts ut på den nationella marknaden under år 2017 kommer att tillhandahållas av producenterna av plastbärkassar inom en tid på tre månader från och med deras inskrivning i registret över varuproducenter.</w:t>
      </w:r>
    </w:p>
    <w:p w:rsidR="001B208E" w:rsidRDefault="001B208E" w:rsidP="007D7D7B">
      <w:pPr>
        <w:pStyle w:val="Default"/>
        <w:keepNext/>
        <w:keepLines/>
        <w:widowControl/>
        <w:spacing w:before="120" w:after="120"/>
        <w:ind w:firstLine="720"/>
        <w:rPr>
          <w:sz w:val="20"/>
          <w:szCs w:val="20"/>
        </w:rPr>
      </w:pPr>
      <w:r>
        <w:rPr>
          <w:sz w:val="20"/>
        </w:rPr>
        <w:t xml:space="preserve">Fjärde tilläggsbestämmelsen. </w:t>
      </w:r>
      <w:r>
        <w:rPr>
          <w:i/>
          <w:sz w:val="20"/>
        </w:rPr>
        <w:t>Icke ökande av de offentliga utgifterna.</w:t>
      </w:r>
    </w:p>
    <w:p w:rsidR="001B208E" w:rsidRDefault="001B208E" w:rsidP="007D7D7B">
      <w:pPr>
        <w:pStyle w:val="Default"/>
        <w:widowControl/>
        <w:spacing w:before="120" w:after="120"/>
        <w:ind w:firstLine="720"/>
        <w:rPr>
          <w:sz w:val="20"/>
          <w:szCs w:val="20"/>
        </w:rPr>
      </w:pPr>
      <w:r>
        <w:rPr>
          <w:sz w:val="20"/>
        </w:rPr>
        <w:t xml:space="preserve">Åtgärderna som inkluderas i detta kungliga dekret ska finansieras med befintliga person- och materialresurser inom den statliga förvaltningen. </w:t>
      </w:r>
      <w:r>
        <w:rPr>
          <w:sz w:val="20"/>
        </w:rPr>
        <w:t>Under inga omständigheter ska dessa åtgärder kunna orsaka en ökning av de offentliga utgifterna.</w:t>
      </w:r>
    </w:p>
    <w:p w:rsidR="001B208E" w:rsidRDefault="001B208E" w:rsidP="007D7D7B">
      <w:pPr>
        <w:pStyle w:val="Default"/>
        <w:keepNext/>
        <w:keepLines/>
        <w:widowControl/>
        <w:spacing w:before="120" w:after="120"/>
        <w:ind w:firstLine="720"/>
        <w:rPr>
          <w:sz w:val="20"/>
          <w:szCs w:val="20"/>
        </w:rPr>
      </w:pPr>
      <w:r>
        <w:rPr>
          <w:sz w:val="20"/>
        </w:rPr>
        <w:t xml:space="preserve">Enda upphävandebestämmelsen. </w:t>
      </w:r>
      <w:r>
        <w:rPr>
          <w:i/>
          <w:sz w:val="20"/>
        </w:rPr>
        <w:t>Upphävande av lagstiftning.</w:t>
      </w:r>
    </w:p>
    <w:p w:rsidR="001B208E" w:rsidRDefault="001B208E" w:rsidP="007D7D7B">
      <w:pPr>
        <w:pStyle w:val="Default"/>
        <w:widowControl/>
        <w:spacing w:before="120" w:after="120"/>
        <w:ind w:firstLine="720"/>
        <w:rPr>
          <w:sz w:val="20"/>
          <w:szCs w:val="20"/>
        </w:rPr>
      </w:pPr>
      <w:r>
        <w:rPr>
          <w:sz w:val="20"/>
        </w:rPr>
        <w:t>Härmed hävs alla bestämmelser som motsätter sig, motsäger eller är oförenliga med det som fastställs i detta kungliga dekret.</w:t>
      </w:r>
    </w:p>
    <w:p w:rsidR="001B208E" w:rsidRDefault="001B208E" w:rsidP="007D7D7B">
      <w:pPr>
        <w:pStyle w:val="Default"/>
        <w:keepNext/>
        <w:keepLines/>
        <w:widowControl/>
        <w:spacing w:before="120" w:after="120"/>
        <w:ind w:firstLine="720"/>
        <w:rPr>
          <w:sz w:val="20"/>
          <w:szCs w:val="20"/>
        </w:rPr>
      </w:pPr>
      <w:r>
        <w:rPr>
          <w:sz w:val="20"/>
        </w:rPr>
        <w:t xml:space="preserve">Första slutbestämmelsen. </w:t>
      </w:r>
      <w:r>
        <w:rPr>
          <w:i/>
          <w:sz w:val="20"/>
        </w:rPr>
        <w:t>Rättsgrund.</w:t>
      </w:r>
    </w:p>
    <w:p w:rsidR="001B208E" w:rsidRDefault="001B208E" w:rsidP="007D7D7B">
      <w:pPr>
        <w:pStyle w:val="Default"/>
        <w:widowControl/>
        <w:spacing w:before="120" w:after="120"/>
        <w:ind w:firstLine="720"/>
        <w:rPr>
          <w:sz w:val="20"/>
          <w:szCs w:val="20"/>
        </w:rPr>
      </w:pPr>
      <w:r>
        <w:rPr>
          <w:sz w:val="20"/>
        </w:rPr>
        <w:t>Detta kungliga dekret har grundläggande karaktär och fastställs i enlighet med styckena 13 och 23 i artikel 149.1 i den spanska konstitutionen, som beviljar staten exklusiv befogenhet vad gäller principerna för och samordningen av den allmänna ekonomiska planeringen respektive lagstiftning om miljöskydd.</w:t>
      </w:r>
    </w:p>
    <w:p w:rsidR="001B208E" w:rsidRDefault="001B208E" w:rsidP="007D7D7B">
      <w:pPr>
        <w:pStyle w:val="Default"/>
        <w:keepNext/>
        <w:keepLines/>
        <w:widowControl/>
        <w:spacing w:before="120" w:after="120"/>
        <w:ind w:firstLine="720"/>
        <w:rPr>
          <w:sz w:val="20"/>
          <w:szCs w:val="20"/>
        </w:rPr>
      </w:pPr>
      <w:r>
        <w:rPr>
          <w:sz w:val="20"/>
        </w:rPr>
        <w:t xml:space="preserve">Andra slutbestämmelsen. </w:t>
      </w:r>
      <w:r>
        <w:rPr>
          <w:i/>
          <w:sz w:val="20"/>
        </w:rPr>
        <w:t>Införlivande av unionsrätten.</w:t>
      </w:r>
    </w:p>
    <w:p w:rsidR="001B208E" w:rsidRDefault="001B208E" w:rsidP="007D7D7B">
      <w:pPr>
        <w:pStyle w:val="Default"/>
        <w:widowControl/>
        <w:spacing w:before="120" w:after="120"/>
        <w:ind w:firstLine="720"/>
        <w:rPr>
          <w:sz w:val="20"/>
          <w:szCs w:val="20"/>
        </w:rPr>
      </w:pPr>
      <w:r>
        <w:rPr>
          <w:sz w:val="20"/>
        </w:rPr>
        <w:t>Genom detta kungliga dekret införlivas Europaparlamentets och rådets direktiv (EU) 2015/720 av den 29 april 2015 om ändring av direktiv 94/62/EG när det gäller att minska förbrukningen av tunna plastbärkassar i den spanska rättsordningen.</w:t>
      </w:r>
    </w:p>
    <w:p w:rsidR="001B208E" w:rsidRDefault="001B208E" w:rsidP="007D7D7B">
      <w:pPr>
        <w:pStyle w:val="Default"/>
        <w:keepNext/>
        <w:keepLines/>
        <w:widowControl/>
        <w:spacing w:before="120" w:after="120"/>
        <w:ind w:firstLine="720"/>
        <w:rPr>
          <w:sz w:val="20"/>
          <w:szCs w:val="20"/>
        </w:rPr>
      </w:pPr>
      <w:r>
        <w:rPr>
          <w:sz w:val="20"/>
        </w:rPr>
        <w:t xml:space="preserve">Tredje slutbestämmelsen. </w:t>
      </w:r>
      <w:r>
        <w:rPr>
          <w:i/>
          <w:sz w:val="20"/>
        </w:rPr>
        <w:t>Bemyndigande för utarbetande.</w:t>
      </w:r>
    </w:p>
    <w:p w:rsidR="001B208E" w:rsidRDefault="001B208E" w:rsidP="007D7D7B">
      <w:pPr>
        <w:pStyle w:val="Default"/>
        <w:widowControl/>
        <w:spacing w:before="120" w:after="120"/>
        <w:ind w:firstLine="720"/>
        <w:rPr>
          <w:sz w:val="20"/>
          <w:szCs w:val="20"/>
        </w:rPr>
      </w:pPr>
      <w:r>
        <w:rPr>
          <w:sz w:val="20"/>
        </w:rPr>
        <w:t>Ministern för jordbruk och fiske samt livsmedels- och miljöfrågor ges härmed befogenhet att, inom ramen för sina befogenheter, anta de nödvändiga bestämmelserna för tillämpningen och utarbetandet av det som fastställs i detta kungliga dekret, och i synnerhet för att anpassa bilagorna till bestämmelserna och ändringarna som fastställs i internationella standarder, EU-rätten och, när så är lämpligt, i slutsatserna från rapporterna som anges i den första tilläggsbestämmelsen.</w:t>
      </w:r>
    </w:p>
    <w:p w:rsidR="001B208E" w:rsidRDefault="001B208E" w:rsidP="007D7D7B">
      <w:pPr>
        <w:pStyle w:val="Default"/>
        <w:keepNext/>
        <w:keepLines/>
        <w:widowControl/>
        <w:spacing w:before="120" w:after="120"/>
        <w:ind w:firstLine="720"/>
        <w:rPr>
          <w:sz w:val="20"/>
          <w:szCs w:val="20"/>
        </w:rPr>
      </w:pPr>
      <w:r>
        <w:rPr>
          <w:sz w:val="20"/>
        </w:rPr>
        <w:t xml:space="preserve">Fjärde slutbestämmelsen. </w:t>
      </w:r>
      <w:r>
        <w:rPr>
          <w:i/>
          <w:sz w:val="20"/>
        </w:rPr>
        <w:t>Ikraftträdande.</w:t>
      </w:r>
    </w:p>
    <w:p w:rsidR="001B208E" w:rsidRDefault="001B208E" w:rsidP="007D7D7B">
      <w:pPr>
        <w:pStyle w:val="Default"/>
        <w:widowControl/>
        <w:spacing w:before="120" w:after="120"/>
        <w:ind w:firstLine="720"/>
        <w:rPr>
          <w:sz w:val="20"/>
          <w:szCs w:val="20"/>
        </w:rPr>
      </w:pPr>
      <w:r>
        <w:rPr>
          <w:sz w:val="20"/>
        </w:rPr>
        <w:t>Detta kungliga dekret träder i kraft dagen efter det att det har offentliggjorts i Spaniens officiella tidning (</w:t>
      </w:r>
      <w:r>
        <w:rPr>
          <w:sz w:val="20"/>
          <w:i w:val="1"/>
        </w:rPr>
        <w:t>Boletín Oficial del Estado</w:t>
      </w:r>
      <w:r>
        <w:rPr>
          <w:sz w:val="20"/>
        </w:rPr>
        <w:t>).</w:t>
      </w:r>
    </w:p>
    <w:p w:rsidR="001B208E" w:rsidRDefault="001B208E" w:rsidP="007D7D7B">
      <w:pPr>
        <w:pStyle w:val="Default"/>
        <w:widowControl/>
        <w:spacing w:before="120" w:after="120"/>
        <w:ind w:firstLine="720"/>
        <w:rPr>
          <w:sz w:val="20"/>
          <w:szCs w:val="20"/>
        </w:rPr>
      </w:pPr>
      <w:r>
        <w:rPr>
          <w:sz w:val="20"/>
        </w:rPr>
        <w:t>Madrid den 18 maj 2018.</w:t>
      </w:r>
    </w:p>
    <w:p w:rsidR="001B208E" w:rsidRDefault="001B208E" w:rsidP="007D7D7B">
      <w:pPr>
        <w:pStyle w:val="Default"/>
        <w:widowControl/>
        <w:spacing w:before="120" w:after="120"/>
        <w:ind w:firstLine="720"/>
        <w:jc w:val="right"/>
        <w:rPr>
          <w:sz w:val="20"/>
          <w:szCs w:val="20"/>
        </w:rPr>
      </w:pPr>
      <w:r>
        <w:rPr>
          <w:sz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rPr>
        <w:t>Ministern för jordbruk och fiske samt livsmedels- och miljöfrågor</w:t>
      </w:r>
    </w:p>
    <w:p w:rsidR="001B208E" w:rsidRDefault="001B208E" w:rsidP="007D7D7B">
      <w:pPr>
        <w:pStyle w:val="Pa1"/>
        <w:widowControl/>
        <w:spacing w:before="120" w:after="120" w:line="240" w:lineRule="auto"/>
        <w:jc w:val="center"/>
        <w:rPr>
          <w:color w:val="000000"/>
          <w:sz w:val="16"/>
          <w:szCs w:val="16"/>
        </w:rPr>
      </w:pPr>
      <w:r>
        <w:rPr>
          <w:color w:val="000000"/>
          <w:sz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BILAGA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Referenspriser för plastbärkassar</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Referenspriser för plastbärkassar beroende på deras väggtjocklek</w:t>
      </w:r>
    </w:p>
    <w:p w:rsidR="001B208E" w:rsidRDefault="001B208E" w:rsidP="007D7D7B">
      <w:pPr>
        <w:pStyle w:val="Default"/>
        <w:widowControl/>
        <w:spacing w:before="120" w:after="120"/>
        <w:ind w:firstLine="720"/>
        <w:rPr>
          <w:sz w:val="20"/>
          <w:szCs w:val="20"/>
        </w:rPr>
      </w:pPr>
      <w:r>
        <w:rPr>
          <w:sz w:val="20"/>
        </w:rPr>
        <w:t xml:space="preserve">Plastbärkassar med en väggtjocklek på mindre än 15 mikrometer avsedda för andra användningar än de som anges i definitionen för mycket tunna plastbärkassar i artikel 3 d: </w:t>
      </w:r>
      <w:r>
        <w:rPr>
          <w:sz w:val="20"/>
        </w:rPr>
        <w:t>5 eurocent/kasse</w:t>
      </w:r>
    </w:p>
    <w:p w:rsidR="001B208E" w:rsidRDefault="001B208E" w:rsidP="007D7D7B">
      <w:pPr>
        <w:pStyle w:val="Default"/>
        <w:widowControl/>
        <w:spacing w:before="120" w:after="120"/>
        <w:ind w:firstLine="720"/>
        <w:rPr>
          <w:sz w:val="20"/>
          <w:szCs w:val="20"/>
        </w:rPr>
      </w:pPr>
      <w:r>
        <w:rPr>
          <w:sz w:val="20"/>
        </w:rPr>
        <w:t xml:space="preserve">Plastbärkassar med väggtjocklekar mellan 15 och 49 mikrometer: </w:t>
      </w:r>
      <w:r>
        <w:rPr>
          <w:sz w:val="20"/>
        </w:rPr>
        <w:t>15 eurocent/kasse</w:t>
      </w:r>
    </w:p>
    <w:p w:rsidR="001B208E" w:rsidRDefault="001B208E" w:rsidP="007D7D7B">
      <w:pPr>
        <w:pStyle w:val="Default"/>
        <w:widowControl/>
        <w:spacing w:before="120" w:after="120"/>
        <w:ind w:firstLine="720"/>
        <w:rPr>
          <w:sz w:val="20"/>
          <w:szCs w:val="20"/>
        </w:rPr>
      </w:pPr>
      <w:r>
        <w:rPr>
          <w:sz w:val="20"/>
        </w:rPr>
        <w:t xml:space="preserve">Plastbärkassar med en väggtjocklek på 50 mikrometer eller mer: </w:t>
      </w:r>
      <w:r>
        <w:rPr>
          <w:sz w:val="20"/>
        </w:rPr>
        <w:t>15 eurocent/kasse</w:t>
      </w:r>
    </w:p>
    <w:p w:rsidR="001B208E" w:rsidRDefault="001B208E" w:rsidP="007D7D7B">
      <w:pPr>
        <w:pStyle w:val="Default"/>
        <w:widowControl/>
        <w:spacing w:before="120" w:after="120"/>
        <w:ind w:firstLine="720"/>
        <w:rPr>
          <w:sz w:val="20"/>
          <w:szCs w:val="20"/>
        </w:rPr>
      </w:pPr>
      <w:r>
        <w:rPr>
          <w:sz w:val="20"/>
        </w:rPr>
        <w:t xml:space="preserve">Plastbärkassar med en väggtjocklek på 50 mikrometer eller mer som innehåller 50 % eller mer, men mindre än 70 %, återvunnen plast: </w:t>
      </w:r>
      <w:r>
        <w:rPr>
          <w:sz w:val="20"/>
        </w:rPr>
        <w:t>10 eurocent/kasse</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BILAGA 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Inskrivning i och årliga uppgifter som ska tillhandahållas registret över varuproducenter avseende plastbärkassar</w:t>
      </w:r>
    </w:p>
    <w:p w:rsidR="001B208E" w:rsidRDefault="001B208E" w:rsidP="007D7D7B">
      <w:pPr>
        <w:pStyle w:val="Default"/>
        <w:widowControl/>
        <w:spacing w:before="120" w:after="120"/>
        <w:ind w:firstLine="720"/>
        <w:rPr>
          <w:sz w:val="20"/>
          <w:szCs w:val="20"/>
        </w:rPr>
      </w:pPr>
      <w:r>
        <w:rPr>
          <w:sz w:val="20"/>
        </w:rPr>
        <w:t xml:space="preserve">1. </w:t>
      </w:r>
      <w:r>
        <w:rPr>
          <w:sz w:val="20"/>
        </w:rPr>
        <w:t>Information om inskrivning i registret över varuproducenter</w:t>
      </w:r>
    </w:p>
    <w:p w:rsidR="001B208E" w:rsidRDefault="001B208E" w:rsidP="007D7D7B">
      <w:pPr>
        <w:pStyle w:val="Default"/>
        <w:widowControl/>
        <w:spacing w:before="120" w:after="120"/>
        <w:ind w:firstLine="720"/>
        <w:rPr>
          <w:sz w:val="20"/>
          <w:szCs w:val="20"/>
        </w:rPr>
      </w:pPr>
      <w:r>
        <w:rPr>
          <w:sz w:val="20"/>
        </w:rPr>
        <w:t>Tillverkarna av plastbärkassar har skyldighet att tillhandahålla och uppdatera följande information vid tidpunkten för inskrivningen:</w:t>
      </w:r>
    </w:p>
    <w:p w:rsidR="001B208E" w:rsidRDefault="001B208E" w:rsidP="007D7D7B">
      <w:pPr>
        <w:pStyle w:val="Default"/>
        <w:widowControl/>
        <w:spacing w:before="120" w:after="120"/>
        <w:ind w:firstLine="720"/>
        <w:rPr>
          <w:sz w:val="20"/>
          <w:szCs w:val="20"/>
        </w:rPr>
      </w:pPr>
      <w:r>
        <w:rPr>
          <w:sz w:val="20"/>
        </w:rPr>
        <w:t xml:space="preserve">a) Tillverkarens eller dess godkända representants namn och adress, inklusive postnummer, ort, gata och gatunummer, land, telefonnummer, faxnummer, e-postadress och kontaktperson. </w:t>
      </w:r>
      <w:r>
        <w:rPr>
          <w:sz w:val="20"/>
        </w:rPr>
        <w:t>När det gäller en godkänd representant ska även kontaktuppgifter för den representerade tillverkaren tillhandahållas.</w:t>
      </w:r>
    </w:p>
    <w:p w:rsidR="001B208E" w:rsidRDefault="001B208E" w:rsidP="007D7D7B">
      <w:pPr>
        <w:pStyle w:val="Default"/>
        <w:widowControl/>
        <w:spacing w:before="120" w:after="120"/>
        <w:ind w:firstLine="720"/>
        <w:rPr>
          <w:sz w:val="20"/>
          <w:szCs w:val="20"/>
        </w:rPr>
      </w:pPr>
      <w:r>
        <w:rPr>
          <w:sz w:val="20"/>
        </w:rPr>
        <w:t>b) Europeiskt eller spanskt skatteregistreringsnummer.</w:t>
      </w:r>
    </w:p>
    <w:p w:rsidR="001B208E" w:rsidRDefault="001B208E" w:rsidP="007D7D7B">
      <w:pPr>
        <w:pStyle w:val="Default"/>
        <w:widowControl/>
        <w:spacing w:before="120" w:after="120"/>
        <w:ind w:firstLine="720"/>
        <w:rPr>
          <w:sz w:val="20"/>
          <w:szCs w:val="20"/>
        </w:rPr>
      </w:pPr>
      <w:r>
        <w:rPr>
          <w:sz w:val="20"/>
        </w:rPr>
        <w:t>c) Intyg om den tillhandahållna informationens riktighet.</w:t>
      </w:r>
    </w:p>
    <w:p w:rsidR="001B208E" w:rsidRDefault="001B208E" w:rsidP="007D7D7B">
      <w:pPr>
        <w:pStyle w:val="Default"/>
        <w:widowControl/>
        <w:spacing w:before="120" w:after="120"/>
        <w:ind w:firstLine="720"/>
        <w:rPr>
          <w:sz w:val="20"/>
          <w:szCs w:val="20"/>
        </w:rPr>
      </w:pPr>
      <w:r>
        <w:rPr>
          <w:sz w:val="20"/>
        </w:rPr>
        <w:t xml:space="preserve">2. </w:t>
      </w:r>
      <w:r>
        <w:rPr>
          <w:sz w:val="20"/>
        </w:rPr>
        <w:t>Årlig information om plastbärkassar som saluförts på den nationella marknaden som tillverkarna måste tillhandahålla.</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5000" w:type="pct"/>
        <w:tblCellMar>
          <w:left w:w="29" w:type="dxa"/>
          <w:right w:w="29" w:type="dxa"/>
        </w:tblCellMar>
        <w:tblLook w:val="0000" w:firstRow="0" w:lastRow="0" w:firstColumn="0" w:lastColumn="0" w:noHBand="0" w:noVBand="0"/>
      </w:tblPr>
      <w:tblGrid>
        <w:gridCol w:w="868"/>
        <w:gridCol w:w="735"/>
        <w:gridCol w:w="681"/>
        <w:gridCol w:w="607"/>
        <w:gridCol w:w="788"/>
        <w:gridCol w:w="735"/>
        <w:gridCol w:w="681"/>
        <w:gridCol w:w="636"/>
        <w:gridCol w:w="788"/>
        <w:gridCol w:w="735"/>
        <w:gridCol w:w="695"/>
        <w:gridCol w:w="715"/>
        <w:gridCol w:w="735"/>
        <w:gridCol w:w="681"/>
        <w:gridCol w:w="673"/>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Väggtjocklek</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(mikrometer)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Plastbärkassar av högdensitetspolyeten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Plastbärkassar av lågdensitetspolyeten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Komposterbara plastbärkassar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Bärkassar av andra typer av plast</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Enheter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Vikt per enhet (i g/kasse)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Vikt (i ton)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Innehåll av återvunnen plast (i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Enheter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Vikt per enhet (i g/kasse)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Vikt (i ton)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Innehåll av återvunnen plast (i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Enheter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Vikt per enhet (i g/kasse)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Vikt (i ton)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Enheter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Vikt per enhet (i g/kasse)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Vikt (i ton)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Mindre än 15 och kostnadsfritt tillhandahållande.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Mindre än 15 och avgiftsbaserat tillhandahållande.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Från 15 till 49.</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Lika med eller högre än 50.</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751786" w:rsidRDefault="00751786" w:rsidP="00751786">
      <w:pPr>
        <w:spacing w:after="0" w:line="240" w:lineRule="auto"/>
      </w:pPr>
      <w:r>
        <w:separator/>
      </w:r>
    </w:p>
  </w:endnote>
  <w:endnote xmlns:w15="http://schemas.microsoft.com/office/word/2012/wordml" w:type="continuationSeparator" w:id="0">
    <w:p w:rsidR="00751786" w:rsidRDefault="00751786"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751786" w:rsidRDefault="00751786" w:rsidP="00751786">
      <w:pPr>
        <w:spacing w:after="0" w:line="240" w:lineRule="auto"/>
      </w:pPr>
      <w:r>
        <w:separator/>
      </w:r>
    </w:p>
  </w:footnote>
  <w:footnote xmlns:w15="http://schemas.microsoft.com/office/word/2012/wordml" w:type="continuationSeparator" w:id="0">
    <w:p w:rsidR="00751786" w:rsidRDefault="00751786"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C24A4"/>
    <w:rsid w:val="00651F5D"/>
    <w:rsid w:val="00694AFB"/>
    <w:rsid w:val="00700587"/>
    <w:rsid w:val="00751786"/>
    <w:rsid w:val="007D2CBC"/>
    <w:rsid w:val="007D7D7B"/>
    <w:rsid w:val="008E1C8A"/>
    <w:rsid w:val="00C1192B"/>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E9714AB-E124-4427-BD5B-7099BAD5F307}"/>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EastAsia" w:hAnsiTheme="minorHAnsi" w:cs="Times New Roman"/>
        <w:sz w:val="22"/>
        <w:szCs w:val="22"/>
        <w:lang w:val="sv-SE" w:eastAsia="sv-SE" w:bidi="sv-SE"/>
      </w:rPr>
    </w:rPrDefault>
    <w:pPrDefault>
      <w:pPr>
        <w:spacing w:after="200" w:line="276"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Pr>
      <w:lang w:val="sv-SE" w:eastAsia="sv-SE"/>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val="sv-SE" w:eastAsia="sv-SE"/>
    </w:rPr>
  </w:style>
  <w:style xmlns:w15="http://schemas.microsoft.com/office/word/2012/wordml" w:type="paragraph" w:customStyle="1" w:styleId="Pa3">
    <w:name w:val="Pa3"/>
    <w:basedOn w:val="Default"/>
    <w:next w:val="Default"/>
    <w:uiPriority w:val="99"/>
    <w:pPr>
      <w:spacing w:line="361" w:lineRule="atLeast"/>
    </w:pPr>
    <w:rPr>
      <w:color w:val="auto"/>
    </w:rPr>
  </w:style>
  <w:style xmlns:w15="http://schemas.microsoft.com/office/word/2012/wordml" w:type="paragraph" w:customStyle="1" w:styleId="Pa0">
    <w:name w:val="Pa0"/>
    <w:basedOn w:val="Default"/>
    <w:next w:val="Default"/>
    <w:uiPriority w:val="99"/>
    <w:pPr>
      <w:spacing w:line="401" w:lineRule="atLeast"/>
    </w:pPr>
    <w:rPr>
      <w:color w:val="auto"/>
    </w:rPr>
  </w:style>
  <w:style xmlns:w15="http://schemas.microsoft.com/office/word/2012/wordml" w:type="paragraph" w:customStyle="1" w:styleId="Pa1">
    <w:name w:val="Pa1"/>
    <w:basedOn w:val="Default"/>
    <w:next w:val="Default"/>
    <w:uiPriority w:val="99"/>
    <w:pPr>
      <w:spacing w:line="201" w:lineRule="atLeast"/>
    </w:pPr>
    <w:rPr>
      <w:color w:val="auto"/>
    </w:rPr>
  </w:style>
  <w:style xmlns:w15="http://schemas.microsoft.com/office/word/2012/wordml" w:type="paragraph" w:customStyle="1" w:styleId="Pa9">
    <w:name w:val="Pa9"/>
    <w:basedOn w:val="Default"/>
    <w:next w:val="Default"/>
    <w:uiPriority w:val="99"/>
    <w:pPr>
      <w:spacing w:line="141" w:lineRule="atLeast"/>
    </w:pPr>
    <w:rPr>
      <w:color w:val="auto"/>
    </w:rPr>
  </w:style>
  <w:style xmlns:w15="http://schemas.microsoft.com/office/word/2012/wordml" w:type="character" w:customStyle="1" w:styleId="A6">
    <w:name w:val="A6"/>
    <w:uiPriority w:val="99"/>
    <w:rPr>
      <w:b/>
      <w:color w:val="FFFFFF"/>
      <w:sz w:val="16"/>
    </w:rPr>
  </w:style>
  <w:style xmlns:w15="http://schemas.microsoft.com/office/word/2012/wordml" w:type="paragraph" w:customStyle="1" w:styleId="Pa6">
    <w:name w:val="Pa6"/>
    <w:basedOn w:val="Default"/>
    <w:next w:val="Default"/>
    <w:uiPriority w:val="99"/>
    <w:pPr>
      <w:spacing w:line="201" w:lineRule="atLeast"/>
    </w:pPr>
    <w:rPr>
      <w:color w:val="auto"/>
    </w:rPr>
  </w:style>
  <w:style xmlns:w15="http://schemas.microsoft.com/office/word/2012/wordml" w:type="paragraph" w:customStyle="1" w:styleId="Pa7">
    <w:name w:val="Pa7"/>
    <w:basedOn w:val="Default"/>
    <w:next w:val="Default"/>
    <w:uiPriority w:val="99"/>
    <w:pPr>
      <w:spacing w:line="201" w:lineRule="atLeast"/>
    </w:pPr>
    <w:rPr>
      <w:color w:val="auto"/>
    </w:rPr>
  </w:style>
  <w:style xmlns:w15="http://schemas.microsoft.com/office/word/2012/wordml" w:type="paragraph" w:customStyle="1" w:styleId="Pa8">
    <w:name w:val="Pa8"/>
    <w:basedOn w:val="Default"/>
    <w:next w:val="Default"/>
    <w:uiPriority w:val="99"/>
    <w:pPr>
      <w:spacing w:line="201" w:lineRule="atLeast"/>
    </w:pPr>
    <w:rPr>
      <w:color w:val="auto"/>
    </w:rPr>
  </w:style>
  <w:style xmlns:w15="http://schemas.microsoft.com/office/word/2012/wordml" w:type="paragraph" w:customStyle="1" w:styleId="Pa10">
    <w:name w:val="Pa10"/>
    <w:basedOn w:val="Default"/>
    <w:next w:val="Default"/>
    <w:uiPriority w:val="99"/>
    <w:pPr>
      <w:spacing w:line="201" w:lineRule="atLeast"/>
    </w:pPr>
    <w:rPr>
      <w:color w:val="auto"/>
    </w:rPr>
  </w:style>
  <w:style xmlns:w15="http://schemas.microsoft.com/office/word/2012/wordml" w:type="paragraph" w:customStyle="1" w:styleId="Pa11">
    <w:name w:val="Pa11"/>
    <w:basedOn w:val="Default"/>
    <w:next w:val="Default"/>
    <w:uiPriority w:val="99"/>
    <w:pPr>
      <w:spacing w:line="201" w:lineRule="atLeast"/>
    </w:pPr>
    <w:rPr>
      <w:color w:val="auto"/>
    </w:rPr>
  </w:style>
  <w:style xmlns:w15="http://schemas.microsoft.com/office/word/2012/wordml" w:type="paragraph" w:customStyle="1" w:styleId="Pa14">
    <w:name w:val="Pa14"/>
    <w:basedOn w:val="Default"/>
    <w:next w:val="Default"/>
    <w:uiPriority w:val="99"/>
    <w:pPr>
      <w:spacing w:line="161" w:lineRule="atLeast"/>
    </w:pPr>
    <w:rPr>
      <w:color w:val="auto"/>
    </w:rPr>
  </w:style>
  <w:style xmlns:w15="http://schemas.microsoft.com/office/word/2012/wordml" w:type="paragraph" w:customStyle="1" w:styleId="Pa16">
    <w:name w:val="Pa16"/>
    <w:basedOn w:val="Default"/>
    <w:next w:val="Default"/>
    <w:uiPriority w:val="99"/>
    <w:pPr>
      <w:spacing w:line="161" w:lineRule="atLeast"/>
    </w:pPr>
    <w:rPr>
      <w:color w:val="auto"/>
    </w:rPr>
  </w:style>
  <w:style xmlns:w15="http://schemas.microsoft.com/office/word/2012/wordml" w:type="paragraph" w:customStyle="1" w:styleId="Pa17">
    <w:name w:val="Pa17"/>
    <w:basedOn w:val="Default"/>
    <w:next w:val="Default"/>
    <w:uiPriority w:val="99"/>
    <w:pPr>
      <w:spacing w:line="181" w:lineRule="atLeast"/>
    </w:pPr>
    <w:rPr>
      <w:color w:val="auto"/>
    </w:rPr>
  </w:style>
  <w:style xmlns:w15="http://schemas.microsoft.com/office/word/2012/wordml" w:type="paragraph" w:styleId="Header">
    <w:name w:val="header"/>
    <w:basedOn w:val="Normal"/>
    <w:link w:val="HeaderChar"/>
    <w:uiPriority w:val="99"/>
    <w:rsid w:val="00751786"/>
    <w:pPr>
      <w:tabs>
        <w:tab w:val="center" w:pos="4320"/>
        <w:tab w:val="right" w:pos="8640"/>
      </w:tabs>
      <w:spacing w:after="0" w:line="240" w:lineRule="auto"/>
    </w:pPr>
  </w:style>
  <w:style xmlns:w15="http://schemas.microsoft.com/office/word/2012/wordml" w:type="character" w:customStyle="1" w:styleId="HeaderChar">
    <w:name w:val="Header Char"/>
    <w:basedOn w:val="DefaultParagraphFont"/>
    <w:link w:val="Header"/>
    <w:uiPriority w:val="99"/>
    <w:rsid w:val="00751786"/>
    <w:rPr>
      <w:lang w:val="sv-SE" w:eastAsia="sv-SE"/>
    </w:rPr>
  </w:style>
  <w:style xmlns:w15="http://schemas.microsoft.com/office/word/2012/wordml" w:type="paragraph" w:styleId="Footer">
    <w:name w:val="footer"/>
    <w:basedOn w:val="Normal"/>
    <w:link w:val="FooterChar"/>
    <w:uiPriority w:val="99"/>
    <w:rsid w:val="00751786"/>
    <w:pPr>
      <w:tabs>
        <w:tab w:val="center" w:pos="4320"/>
        <w:tab w:val="right" w:pos="8640"/>
      </w:tabs>
      <w:spacing w:after="0" w:line="240" w:lineRule="auto"/>
    </w:pPr>
  </w:style>
  <w:style xmlns:w15="http://schemas.microsoft.com/office/word/2012/wordml" w:type="character" w:customStyle="1" w:styleId="FooterChar">
    <w:name w:val="Footer Char"/>
    <w:basedOn w:val="DefaultParagraphFont"/>
    <w:link w:val="Footer"/>
    <w:uiPriority w:val="99"/>
    <w:rsid w:val="00751786"/>
    <w:rPr>
      <w:lang w:val="sv-SE" w:eastAsia="sv-SE"/>
    </w:rPr>
  </w:style>
  <w:style xmlns:w15="http://schemas.microsoft.com/office/word/2012/wordml"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lang w:val="sv-SE" w:eastAsia="sv-SE"/>
    </w:rPr>
  </w:style>
  <w:style xmlns:w15="http://schemas.microsoft.com/office/word/2012/wordml" w:type="character" w:customStyle="1" w:styleId="PlainTextChar">
    <w:name w:val="Plain Text Char"/>
    <w:basedOn w:val="DefaultParagraphFont"/>
    <w:link w:val="PlainText"/>
    <w:uiPriority w:val="99"/>
    <w:rsid w:val="007D2CBC"/>
    <w:rPr>
      <w:rFonts w:ascii="Consolas" w:eastAsia="Times New Roman" w:hAnsi="Consolas"/>
      <w:sz w:val="21"/>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19A7-2565-465D-A78F-82FDFE45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6297</Words>
  <Characters>33249</Characters>
  <Application>Microsoft Office Word</Application>
  <DocSecurity>0</DocSecurity>
  <Lines>678</Lines>
  <Paragraphs>373</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Tordai, Vera</cp:lastModifiedBy>
  <cp:revision>2</cp:revision>
  <dcterms:created xsi:type="dcterms:W3CDTF">2018-05-23T01:31:00Z</dcterms:created>
  <dcterms:modified xsi:type="dcterms:W3CDTF">2018-09-20T15:50:00Z</dcterms:modified>
</cp:coreProperties>
</file>