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8EB1" w14:textId="7642D454" w:rsidR="00D8319D" w:rsidRPr="00D8319D" w:rsidRDefault="00D8319D" w:rsidP="00D83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</w:rPr>
        <w:t xml:space="preserve">Uredba br. 2021-1110 od 23. kolovoza 2021. o stavljanju na raspolaganje informacija koje pomažu u utvrđivanju endokrinih </w:t>
      </w:r>
      <w:proofErr w:type="spellStart"/>
      <w:r>
        <w:rPr>
          <w:rFonts w:ascii="Times New Roman" w:hAnsi="Times New Roman"/>
          <w:b/>
          <w:color w:val="000000"/>
          <w:sz w:val="36"/>
        </w:rPr>
        <w:t>disruptora</w:t>
      </w:r>
      <w:proofErr w:type="spellEnd"/>
      <w:r>
        <w:rPr>
          <w:rFonts w:ascii="Times New Roman" w:hAnsi="Times New Roman"/>
          <w:b/>
          <w:color w:val="000000"/>
          <w:sz w:val="36"/>
        </w:rPr>
        <w:t xml:space="preserve"> u proizvodu</w:t>
      </w:r>
    </w:p>
    <w:p w14:paraId="04AB0115" w14:textId="77777777" w:rsidR="00D8319D" w:rsidRPr="00D8319D" w:rsidRDefault="00D8319D" w:rsidP="00D8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Zainteresirane strane: Sve osobe koje stavljaju na tržište proizvode za potrošače koji po završetku proizvodnje sadrže tvari čija endokrino štetna svojstva Državna agencija za sigurnost hrane, zaštitu okoliša i rada (</w:t>
      </w:r>
      <w:proofErr w:type="spellStart"/>
      <w:r>
        <w:rPr>
          <w:rFonts w:ascii="Times New Roman" w:hAnsi="Times New Roman"/>
          <w:color w:val="000000"/>
          <w:sz w:val="27"/>
        </w:rPr>
        <w:t>fr</w:t>
      </w:r>
      <w:proofErr w:type="spellEnd"/>
      <w:r>
        <w:rPr>
          <w:rFonts w:ascii="Times New Roman" w:hAnsi="Times New Roman"/>
          <w:color w:val="000000"/>
          <w:sz w:val="27"/>
        </w:rPr>
        <w:t xml:space="preserve">. </w:t>
      </w:r>
      <w:proofErr w:type="spellStart"/>
      <w:r>
        <w:rPr>
          <w:rFonts w:ascii="Times New Roman" w:hAnsi="Times New Roman"/>
          <w:color w:val="000000"/>
          <w:sz w:val="27"/>
        </w:rPr>
        <w:t>Agence</w:t>
      </w:r>
      <w:proofErr w:type="spellEnd"/>
      <w:r>
        <w:rPr>
          <w:rFonts w:ascii="Times New Roman" w:hAnsi="Times New Roman"/>
          <w:color w:val="000000"/>
          <w:sz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</w:rPr>
        <w:t>nationale</w:t>
      </w:r>
      <w:proofErr w:type="spellEnd"/>
      <w:r>
        <w:rPr>
          <w:rFonts w:ascii="Times New Roman" w:hAnsi="Times New Roman"/>
          <w:color w:val="000000"/>
          <w:sz w:val="27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7"/>
        </w:rPr>
        <w:t>sécurité</w:t>
      </w:r>
      <w:proofErr w:type="spellEnd"/>
      <w:r>
        <w:rPr>
          <w:rFonts w:ascii="Times New Roman" w:hAnsi="Times New Roman"/>
          <w:color w:val="000000"/>
          <w:sz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</w:rPr>
        <w:t>sanitaire</w:t>
      </w:r>
      <w:proofErr w:type="spellEnd"/>
      <w:r>
        <w:rPr>
          <w:rFonts w:ascii="Times New Roman" w:hAnsi="Times New Roman"/>
          <w:color w:val="000000"/>
          <w:sz w:val="27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7"/>
        </w:rPr>
        <w:t>l'alimentation</w:t>
      </w:r>
      <w:proofErr w:type="spellEnd"/>
      <w:r>
        <w:rPr>
          <w:rFonts w:ascii="Times New Roman" w:hAnsi="Times New Roman"/>
          <w:color w:val="000000"/>
          <w:sz w:val="27"/>
        </w:rPr>
        <w:t xml:space="preserve">, de </w:t>
      </w:r>
      <w:proofErr w:type="spellStart"/>
      <w:r>
        <w:rPr>
          <w:rFonts w:ascii="Times New Roman" w:hAnsi="Times New Roman"/>
          <w:color w:val="000000"/>
          <w:sz w:val="27"/>
        </w:rPr>
        <w:t>l'environnement</w:t>
      </w:r>
      <w:proofErr w:type="spellEnd"/>
      <w:r>
        <w:rPr>
          <w:rFonts w:ascii="Times New Roman" w:hAnsi="Times New Roman"/>
          <w:color w:val="000000"/>
          <w:sz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</w:rPr>
        <w:t>et</w:t>
      </w:r>
      <w:proofErr w:type="spellEnd"/>
      <w:r>
        <w:rPr>
          <w:rFonts w:ascii="Times New Roman" w:hAnsi="Times New Roman"/>
          <w:color w:val="000000"/>
          <w:sz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</w:rPr>
        <w:t>du</w:t>
      </w:r>
      <w:proofErr w:type="spellEnd"/>
      <w:r>
        <w:rPr>
          <w:rFonts w:ascii="Times New Roman" w:hAnsi="Times New Roman"/>
          <w:color w:val="000000"/>
          <w:sz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</w:rPr>
        <w:t>travail</w:t>
      </w:r>
      <w:proofErr w:type="spellEnd"/>
      <w:r>
        <w:rPr>
          <w:rFonts w:ascii="Times New Roman" w:hAnsi="Times New Roman"/>
          <w:color w:val="000000"/>
          <w:sz w:val="27"/>
        </w:rPr>
        <w:t xml:space="preserve"> (ANSES)) smatra potvrđenima, pretpostavljenima ili mogućima</w:t>
      </w:r>
      <w:r>
        <w:rPr>
          <w:rFonts w:ascii="Times New Roman" w:hAnsi="Times New Roman"/>
          <w:color w:val="000000"/>
          <w:sz w:val="27"/>
        </w:rPr>
        <w:br/>
        <w:t xml:space="preserve">Predmet: Člankom 1. ove Uredbe uvode se nacionalne odredbe potrebne kako bi se dostupnima učinile informacije koje omogućuju utvrđivanje endokrinih </w:t>
      </w:r>
      <w:proofErr w:type="spellStart"/>
      <w:r>
        <w:rPr>
          <w:rFonts w:ascii="Times New Roman" w:hAnsi="Times New Roman"/>
          <w:color w:val="000000"/>
          <w:sz w:val="27"/>
        </w:rPr>
        <w:t>disruptora</w:t>
      </w:r>
      <w:proofErr w:type="spellEnd"/>
      <w:r>
        <w:rPr>
          <w:rFonts w:ascii="Times New Roman" w:hAnsi="Times New Roman"/>
          <w:color w:val="000000"/>
          <w:sz w:val="27"/>
        </w:rPr>
        <w:t xml:space="preserve"> u proizvodu.</w:t>
      </w:r>
      <w:r>
        <w:rPr>
          <w:rFonts w:ascii="Times New Roman" w:hAnsi="Times New Roman"/>
          <w:color w:val="000000"/>
          <w:sz w:val="27"/>
        </w:rPr>
        <w:br/>
        <w:t>Stupanje na snagu: Uredba stupa na snagu 1. siječnja 2022.</w:t>
      </w:r>
      <w:r>
        <w:rPr>
          <w:rFonts w:ascii="Times New Roman" w:hAnsi="Times New Roman"/>
          <w:color w:val="000000"/>
          <w:sz w:val="27"/>
        </w:rPr>
        <w:br/>
        <w:t xml:space="preserve">Sažetak: Zakonom br. 2020-105 od 10. veljače 2020. o borbi protiv otpada i o kružnom gospodarstvu, takozvanim „Zakonom AGEC”, u članku 13-II. predviđeno je da se uredbom Državnog vijeća utvrde načini provedbe stavljanja na raspolaganje informacija kojima se mogu utvrditi endokrini </w:t>
      </w:r>
      <w:proofErr w:type="spellStart"/>
      <w:r>
        <w:rPr>
          <w:rFonts w:ascii="Times New Roman" w:hAnsi="Times New Roman"/>
          <w:color w:val="000000"/>
          <w:sz w:val="27"/>
        </w:rPr>
        <w:t>disruptori</w:t>
      </w:r>
      <w:proofErr w:type="spellEnd"/>
      <w:r>
        <w:rPr>
          <w:rFonts w:ascii="Times New Roman" w:hAnsi="Times New Roman"/>
          <w:color w:val="000000"/>
          <w:sz w:val="27"/>
        </w:rPr>
        <w:t xml:space="preserve"> u proizvodu stavljenom na tržište. Cilj naveden u obrazloženju u potporu tom članku jest „osigurati građanima transparentne informacije o prisutnosti tvari koje imaju endokrino štetna svojstva u proizvodima. Tako je predviđeno da svaka osoba koja stavlja na tržište proizvode koji sadrže tvari s endokrino štetnim svojstvima prema ANSES-u objavljuje popis tih proizvoda i tvari koje svaki od njih sadrži. Popis se objavljuje u otvorenom formatu koji platformama za suradnju omogućuje pretraživanje tih informacija i bolje informiranje potrošača.</w:t>
      </w:r>
      <w:r>
        <w:rPr>
          <w:rFonts w:ascii="Times New Roman" w:hAnsi="Times New Roman"/>
          <w:color w:val="000000"/>
          <w:sz w:val="27"/>
        </w:rPr>
        <w:br/>
        <w:t xml:space="preserve">Druga nacionalna strategija o endokrinim </w:t>
      </w:r>
      <w:proofErr w:type="spellStart"/>
      <w:r>
        <w:rPr>
          <w:rFonts w:ascii="Times New Roman" w:hAnsi="Times New Roman"/>
          <w:color w:val="000000"/>
          <w:sz w:val="27"/>
        </w:rPr>
        <w:t>disruptorima</w:t>
      </w:r>
      <w:proofErr w:type="spellEnd"/>
      <w:r>
        <w:rPr>
          <w:rFonts w:ascii="Times New Roman" w:hAnsi="Times New Roman"/>
          <w:color w:val="000000"/>
          <w:sz w:val="27"/>
        </w:rPr>
        <w:t xml:space="preserve"> (SNPE2) sadrži element o poboljšanju informiranja potrošača. </w:t>
      </w:r>
      <w:proofErr w:type="spellStart"/>
      <w:r>
        <w:rPr>
          <w:rFonts w:ascii="Times New Roman" w:hAnsi="Times New Roman"/>
          <w:color w:val="000000"/>
          <w:sz w:val="27"/>
        </w:rPr>
        <w:t>Anses</w:t>
      </w:r>
      <w:proofErr w:type="spellEnd"/>
      <w:r>
        <w:rPr>
          <w:rFonts w:ascii="Times New Roman" w:hAnsi="Times New Roman"/>
          <w:color w:val="000000"/>
          <w:sz w:val="27"/>
        </w:rPr>
        <w:t xml:space="preserve"> se već snažno angažirao putem izrade popisa tvari s endokrino štetnim svojstvima (mjera br. 3 Strategije SNPE2). Ovaj propis u skladu je s tim djelovanjem i njegova je svrha osigurati građanima transparentne informacije o prisutnosti tvari koje imaju endokrino štetna svojstva u proizvodima, odnosno u tvarima, smjesama, predmetima i hrani. Za potrebe članka, proizvodima u skladu s člankom L. 5232-5.</w:t>
      </w:r>
      <w:r>
        <w:rPr>
          <w:rFonts w:ascii="Times New Roman" w:hAnsi="Times New Roman"/>
          <w:color w:val="000000"/>
          <w:sz w:val="27"/>
        </w:rPr>
        <w:br/>
        <w:t xml:space="preserve">Zakonika o javnom zdravlju smatraju se tvari, smjese i proizvodi kako su definirani u članku 3. Uredbe (EU) br. 1907/2006 (osim lijekova), </w:t>
      </w:r>
      <w:proofErr w:type="spellStart"/>
      <w:r>
        <w:rPr>
          <w:rFonts w:ascii="Times New Roman" w:hAnsi="Times New Roman"/>
          <w:color w:val="000000"/>
          <w:sz w:val="27"/>
        </w:rPr>
        <w:t>biocidni</w:t>
      </w:r>
      <w:proofErr w:type="spellEnd"/>
      <w:r>
        <w:rPr>
          <w:rFonts w:ascii="Times New Roman" w:hAnsi="Times New Roman"/>
          <w:color w:val="000000"/>
          <w:sz w:val="27"/>
        </w:rPr>
        <w:t xml:space="preserve"> proizvodi kako su definirani u članku 3. Uredbe (EU) br. 528/2012, sredstva za zaštitu bilja kako su definirana u članku 2. Uredbe (EZ) br. 1107/2009, medicinski proizvodi kako su definirani u članku 2. Uredbe (EU) br. 2017/745, materijali i proizvodi, uključujući aktivne i inteligentne materijale, koji dolaze u dodir s hranom, kako su definirani u članku 2. Uredbe (EU) br. 1935/2004, igračke kako su definirane u članku 2. Direktive 2009/48/EZ, kozmetički proizvodi kako su definirani u članku 2. Uredbe (EZ) br. 1223/2009, proizvodi kako su definirani u članku 2. Direktive 2001/95/EZ i hrana kako je definirana u članku 2. Uredbe (EZ) br. 178/2002.</w:t>
      </w:r>
      <w:r>
        <w:rPr>
          <w:rFonts w:ascii="Times New Roman" w:hAnsi="Times New Roman"/>
          <w:color w:val="000000"/>
          <w:sz w:val="27"/>
        </w:rPr>
        <w:br/>
        <w:t xml:space="preserve">Obveza stavljanja na raspolaganje informacija kojima se identificiraju endokrini </w:t>
      </w:r>
      <w:proofErr w:type="spellStart"/>
      <w:r>
        <w:rPr>
          <w:rFonts w:ascii="Times New Roman" w:hAnsi="Times New Roman"/>
          <w:color w:val="000000"/>
          <w:sz w:val="27"/>
        </w:rPr>
        <w:t>disruptori</w:t>
      </w:r>
      <w:proofErr w:type="spellEnd"/>
      <w:r>
        <w:rPr>
          <w:rFonts w:ascii="Times New Roman" w:hAnsi="Times New Roman"/>
          <w:color w:val="000000"/>
          <w:sz w:val="27"/>
        </w:rPr>
        <w:t xml:space="preserve"> u proizvodu stavljenom na tržište primjenjuje se najkasnije šest mjeseci </w:t>
      </w:r>
      <w:r>
        <w:rPr>
          <w:rFonts w:ascii="Times New Roman" w:hAnsi="Times New Roman"/>
          <w:color w:val="000000"/>
          <w:sz w:val="27"/>
        </w:rPr>
        <w:lastRenderedPageBreak/>
        <w:t xml:space="preserve">nakon objave Odluke u kojoj se navode tvari s kvalificiranim endokrino </w:t>
      </w:r>
      <w:proofErr w:type="spellStart"/>
      <w:r>
        <w:rPr>
          <w:rFonts w:ascii="Times New Roman" w:hAnsi="Times New Roman"/>
          <w:color w:val="000000"/>
          <w:sz w:val="27"/>
        </w:rPr>
        <w:t>disruptivnim</w:t>
      </w:r>
      <w:proofErr w:type="spellEnd"/>
      <w:r>
        <w:rPr>
          <w:rFonts w:ascii="Times New Roman" w:hAnsi="Times New Roman"/>
          <w:color w:val="000000"/>
          <w:sz w:val="27"/>
        </w:rPr>
        <w:t xml:space="preserve"> svojstvima, u skladu s razinom znanstvenih dokaza o provjerenim, pretpostavljenim ili osumnjičenim osobama i popisom kategorija proizvoda koje predstavljaju poseban rizik od izloženosti. Obveza pružanja informacija o prisutnosti endokrino </w:t>
      </w:r>
      <w:proofErr w:type="spellStart"/>
      <w:r>
        <w:rPr>
          <w:rFonts w:ascii="Times New Roman" w:hAnsi="Times New Roman"/>
          <w:color w:val="000000"/>
          <w:sz w:val="27"/>
        </w:rPr>
        <w:t>disruptivnih</w:t>
      </w:r>
      <w:proofErr w:type="spellEnd"/>
      <w:r>
        <w:rPr>
          <w:rFonts w:ascii="Times New Roman" w:hAnsi="Times New Roman"/>
          <w:color w:val="000000"/>
          <w:sz w:val="27"/>
        </w:rPr>
        <w:t xml:space="preserve"> tvari koje su razvrstane kao sumnjive primjenjuje se samo na kategorije proizvoda s posebnim rizikom od izloženosti utvrđene u tom nalogu.</w:t>
      </w:r>
      <w:r>
        <w:rPr>
          <w:rFonts w:ascii="Times New Roman" w:hAnsi="Times New Roman"/>
          <w:color w:val="000000"/>
          <w:sz w:val="27"/>
        </w:rPr>
        <w:br/>
        <w:t xml:space="preserve">Upućivanja: Zakonik o javnom zdravlju izmijenjen uredbom dostupan je u verziji koja proizlazi iz ove izmjene na mrežnoj stranici </w:t>
      </w:r>
      <w:proofErr w:type="spellStart"/>
      <w:r>
        <w:rPr>
          <w:rFonts w:ascii="Times New Roman" w:hAnsi="Times New Roman"/>
          <w:color w:val="000000"/>
          <w:sz w:val="27"/>
        </w:rPr>
        <w:t>Légifrance</w:t>
      </w:r>
      <w:proofErr w:type="spellEnd"/>
      <w:r>
        <w:rPr>
          <w:rFonts w:ascii="Times New Roman" w:hAnsi="Times New Roman"/>
          <w:color w:val="000000"/>
          <w:sz w:val="27"/>
        </w:rPr>
        <w:t xml:space="preserve"> (https://www.legifrance.fr).</w:t>
      </w:r>
    </w:p>
    <w:p w14:paraId="2F5541DF" w14:textId="52202201" w:rsidR="00D8319D" w:rsidRDefault="00D8319D" w:rsidP="00D8319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br/>
        <w:t>Predsjednik Vlade,</w:t>
      </w:r>
      <w:r>
        <w:rPr>
          <w:rFonts w:ascii="Times New Roman" w:hAnsi="Times New Roman"/>
          <w:color w:val="000000"/>
          <w:sz w:val="27"/>
        </w:rPr>
        <w:br/>
        <w:t>na temelju izvješća ministra ekološke tranzicije,</w:t>
      </w:r>
      <w:r>
        <w:rPr>
          <w:rFonts w:ascii="Times New Roman" w:hAnsi="Times New Roman"/>
          <w:color w:val="000000"/>
          <w:sz w:val="27"/>
        </w:rPr>
        <w:br/>
        <w:t>uzimajući u obzir Uredbu (EZ) br. 178/2002 Europskog parlamenta i Vijeća od 28. siječnja 2002. o utvrđivanju općih načela i uvjeta zakona o hrani, osnivanju Europske agencije za sigurnost hrane te utvrđivanju postupaka u područjima sigurnosti hrane,</w:t>
      </w:r>
      <w:r>
        <w:rPr>
          <w:rFonts w:ascii="Times New Roman" w:hAnsi="Times New Roman"/>
          <w:color w:val="000000"/>
          <w:sz w:val="27"/>
        </w:rPr>
        <w:br/>
        <w:t>uzimajući u obzir Uredbu (EZ) br. 1907/2006 Europskog parlamenta i Vijeća od 18. prosinca 2006. o registraciji, evaluaciji, autorizaciji i ograničavanju kemikalija (REACH) i osnivanju Europske agencije za kemikalije te o izmjeni Direktive 1999/45/EZ i stavljanju izvan snage Uredbe Vijeća (EEZ) br. 793/93 i Uredbe Komisije (EZ) br. 1488/94 kao i Direktive Vijeća 76/769/EEZ i direktiva Komisije 91/155/EEZ, 93/67/EEZ, 93/105/EZ i 2000/21/EZ,</w:t>
      </w:r>
      <w:r>
        <w:rPr>
          <w:rFonts w:ascii="Times New Roman" w:hAnsi="Times New Roman"/>
          <w:color w:val="000000"/>
          <w:sz w:val="27"/>
        </w:rPr>
        <w:br/>
        <w:t>uzimajući u obzir Uredbu (EU) br. 2017/745 Europskog parlamenta i Vijeća od 5. travnja 2017. o medicinskim proizvodima, o izmjeni Direktive 2001/83/EZ, Uredbe (EZ) br. 178/2002 i Uredbe (EZ) br. 1223/2009 te o stavljanju izvan snage direktiva Vijeća 90/385/EEZ i 93/42/EEZ,</w:t>
      </w:r>
      <w:r>
        <w:rPr>
          <w:rFonts w:ascii="Times New Roman" w:hAnsi="Times New Roman"/>
          <w:color w:val="000000"/>
          <w:sz w:val="27"/>
        </w:rPr>
        <w:br/>
        <w:t>uzimajući u obzir Direktivu (EU) 2015/1535 Europskog parlamenta i Vijeća od 9. rujna 2015. o utvrđivanju postupka pružanja informacija u području tehničkih propisa i pravila o uslugama informacijskog društva, a osobito obavijest br. 2020/832/F,</w:t>
      </w:r>
      <w:r>
        <w:rPr>
          <w:rFonts w:ascii="Times New Roman" w:hAnsi="Times New Roman"/>
          <w:color w:val="000000"/>
          <w:sz w:val="27"/>
        </w:rPr>
        <w:br/>
        <w:t>uzimajući u obzir Zakonik o zaštiti okoliša, posebice njegov članak L. 541.-9-1.,</w:t>
      </w:r>
      <w:r>
        <w:rPr>
          <w:rFonts w:ascii="Times New Roman" w:hAnsi="Times New Roman"/>
          <w:color w:val="000000"/>
          <w:sz w:val="27"/>
        </w:rPr>
        <w:br/>
        <w:t>uzimajući u obzir Kazneni zakonik, posebice njegov članak R. 610-1.,</w:t>
      </w:r>
      <w:r>
        <w:rPr>
          <w:rFonts w:ascii="Times New Roman" w:hAnsi="Times New Roman"/>
          <w:color w:val="000000"/>
          <w:sz w:val="27"/>
        </w:rPr>
        <w:br/>
        <w:t>uzimajući u obzir Zakonik o javnom zdravlju, posebice njegov članak L. 5232-5.,</w:t>
      </w:r>
      <w:r>
        <w:rPr>
          <w:rFonts w:ascii="Times New Roman" w:hAnsi="Times New Roman"/>
          <w:color w:val="000000"/>
          <w:sz w:val="27"/>
        </w:rPr>
        <w:br/>
        <w:t>uzimajući u obzir Zakon br. 2020-105 od 10. veljače 2020. o borbi protiv otpada i kružnom gospodarstvu, osobito njegove članke 13. i 130.,</w:t>
      </w:r>
      <w:r>
        <w:rPr>
          <w:rFonts w:ascii="Times New Roman" w:hAnsi="Times New Roman"/>
          <w:color w:val="000000"/>
          <w:sz w:val="27"/>
        </w:rPr>
        <w:br/>
        <w:t>uzimajući u obzir obavijest br. 2020/0832/F poslanu Europskoj komisiji 21. prosinca 2020. i njezine odgovore od 25. siječnja i 22. ožujka 2021.,</w:t>
      </w:r>
      <w:r>
        <w:rPr>
          <w:rFonts w:ascii="Times New Roman" w:hAnsi="Times New Roman"/>
          <w:color w:val="000000"/>
          <w:sz w:val="27"/>
        </w:rPr>
        <w:br/>
        <w:t>nakon savjetovanja s Državnim vijećem (odjelom za socijalna pitanja),</w:t>
      </w:r>
      <w:r>
        <w:rPr>
          <w:rFonts w:ascii="Times New Roman" w:hAnsi="Times New Roman"/>
          <w:color w:val="000000"/>
          <w:sz w:val="27"/>
        </w:rPr>
        <w:br/>
        <w:t>donosi Uredbu:</w:t>
      </w:r>
    </w:p>
    <w:p w14:paraId="35C55436" w14:textId="6E3C58E8" w:rsidR="00801E48" w:rsidRDefault="00801E48" w:rsidP="00D8319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</w:rPr>
      </w:pPr>
    </w:p>
    <w:p w14:paraId="1C2BAC74" w14:textId="77777777" w:rsidR="00801E48" w:rsidRPr="00D8319D" w:rsidRDefault="00801E48" w:rsidP="00D8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4CCC72C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lastRenderedPageBreak/>
        <w:t>Članak 1.</w:t>
      </w:r>
    </w:p>
    <w:p w14:paraId="6F01E7E8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Nakon odjeljka 2. poglavlja II. glave III. sveska II. petog dijela Zakonika o javnom zdravlju dodaje se odjeljak 3. koji glasi kako slijedi:</w:t>
      </w:r>
    </w:p>
    <w:p w14:paraId="372A921D" w14:textId="0518829A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„Odjeljak 3.</w:t>
      </w:r>
      <w:r>
        <w:rPr>
          <w:rFonts w:ascii="Times New Roman" w:hAnsi="Times New Roman"/>
          <w:color w:val="000000"/>
          <w:sz w:val="27"/>
        </w:rPr>
        <w:br/>
      </w:r>
      <w:r w:rsidR="00801E48" w:rsidRPr="00801E48">
        <w:rPr>
          <w:rFonts w:ascii="Times New Roman" w:hAnsi="Times New Roman"/>
          <w:color w:val="000000"/>
          <w:sz w:val="27"/>
        </w:rPr>
        <w:t>„</w:t>
      </w:r>
      <w:r>
        <w:rPr>
          <w:rFonts w:ascii="Times New Roman" w:hAnsi="Times New Roman"/>
          <w:color w:val="000000"/>
          <w:sz w:val="27"/>
        </w:rPr>
        <w:t xml:space="preserve">Informacije o endokrinim </w:t>
      </w:r>
      <w:proofErr w:type="spellStart"/>
      <w:r>
        <w:rPr>
          <w:rFonts w:ascii="Times New Roman" w:hAnsi="Times New Roman"/>
          <w:color w:val="000000"/>
          <w:sz w:val="27"/>
        </w:rPr>
        <w:t>disruptorima</w:t>
      </w:r>
      <w:proofErr w:type="spellEnd"/>
      <w:r>
        <w:rPr>
          <w:rFonts w:ascii="Times New Roman" w:hAnsi="Times New Roman"/>
          <w:color w:val="000000"/>
          <w:sz w:val="27"/>
        </w:rPr>
        <w:t xml:space="preserve"> u proizvodima</w:t>
      </w:r>
    </w:p>
    <w:p w14:paraId="77342C7D" w14:textId="38FDF59C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„Pododjeljak 1.</w:t>
      </w:r>
      <w:r>
        <w:rPr>
          <w:rFonts w:ascii="Times New Roman" w:hAnsi="Times New Roman"/>
          <w:color w:val="000000"/>
          <w:sz w:val="27"/>
        </w:rPr>
        <w:br/>
      </w:r>
      <w:r w:rsidR="00801E48" w:rsidRPr="00801E48">
        <w:rPr>
          <w:rFonts w:ascii="Times New Roman" w:hAnsi="Times New Roman"/>
          <w:color w:val="000000"/>
          <w:sz w:val="27"/>
        </w:rPr>
        <w:t>„</w:t>
      </w:r>
      <w:r>
        <w:rPr>
          <w:rFonts w:ascii="Times New Roman" w:hAnsi="Times New Roman"/>
          <w:color w:val="000000"/>
          <w:sz w:val="27"/>
        </w:rPr>
        <w:t xml:space="preserve">Utvrđivanje popisa tvari s potvrđenim, pretpostavljenim ili mogućim svojstvima endokrine </w:t>
      </w:r>
      <w:proofErr w:type="spellStart"/>
      <w:r>
        <w:rPr>
          <w:rFonts w:ascii="Times New Roman" w:hAnsi="Times New Roman"/>
          <w:color w:val="000000"/>
          <w:sz w:val="27"/>
        </w:rPr>
        <w:t>disrupcije</w:t>
      </w:r>
      <w:proofErr w:type="spellEnd"/>
      <w:r>
        <w:rPr>
          <w:rFonts w:ascii="Times New Roman" w:hAnsi="Times New Roman"/>
          <w:color w:val="000000"/>
          <w:sz w:val="27"/>
        </w:rPr>
        <w:t xml:space="preserve"> i kategorija proizvoda koji predstavljaju poseban rizik od izlaganja</w:t>
      </w:r>
    </w:p>
    <w:p w14:paraId="279B9BF7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„Čl. R.5232-19. - Za potrebe ovog odjeljka, hranom u smislu članka 2. Uredbe (EZ) br. 178/2002 i tvarima, smjesama i proizvodima u smislu članka 3. Uredbe (EU) br. 1907/2006, osim lijekova, smatraju se proizvodi u smislu članka L. 5232-5.</w:t>
      </w:r>
      <w:r>
        <w:rPr>
          <w:rFonts w:ascii="Times New Roman" w:hAnsi="Times New Roman"/>
          <w:color w:val="000000"/>
          <w:sz w:val="27"/>
        </w:rPr>
        <w:br/>
        <w:t>„Zajedničkom odlukom ministara zdravlja i okoliša, nakon savjetovanja s francuskom Agencijom za zdravstvenu sigurnost hrane, zaštitu okoliša i zaštitu na radu utvrđuje se:</w:t>
      </w:r>
      <w:r>
        <w:rPr>
          <w:rFonts w:ascii="Times New Roman" w:hAnsi="Times New Roman"/>
          <w:color w:val="000000"/>
          <w:sz w:val="27"/>
        </w:rPr>
        <w:br/>
        <w:t xml:space="preserve">„1. Popis tvari sa svojstvima endokrine </w:t>
      </w:r>
      <w:proofErr w:type="spellStart"/>
      <w:r>
        <w:rPr>
          <w:rFonts w:ascii="Times New Roman" w:hAnsi="Times New Roman"/>
          <w:color w:val="000000"/>
          <w:sz w:val="27"/>
        </w:rPr>
        <w:t>disrupcije</w:t>
      </w:r>
      <w:proofErr w:type="spellEnd"/>
      <w:r>
        <w:rPr>
          <w:rFonts w:ascii="Times New Roman" w:hAnsi="Times New Roman"/>
          <w:color w:val="000000"/>
          <w:sz w:val="27"/>
        </w:rPr>
        <w:t xml:space="preserve"> navedenima u stavku I. članka L.5232-5, podijeljen u dvije kategorije, potvrđene i pretpostavljene, ovisno o razini znanstvenog dokaza.</w:t>
      </w:r>
      <w:r>
        <w:rPr>
          <w:rFonts w:ascii="Times New Roman" w:hAnsi="Times New Roman"/>
          <w:color w:val="000000"/>
          <w:sz w:val="27"/>
        </w:rPr>
        <w:br/>
        <w:t xml:space="preserve">„2. Popis tvari za koje se sumnja da imaju svojstva endokrine </w:t>
      </w:r>
      <w:proofErr w:type="spellStart"/>
      <w:r>
        <w:rPr>
          <w:rFonts w:ascii="Times New Roman" w:hAnsi="Times New Roman"/>
          <w:color w:val="000000"/>
          <w:sz w:val="27"/>
        </w:rPr>
        <w:t>disrupcije</w:t>
      </w:r>
      <w:proofErr w:type="spellEnd"/>
      <w:r>
        <w:rPr>
          <w:rFonts w:ascii="Times New Roman" w:hAnsi="Times New Roman"/>
          <w:color w:val="000000"/>
          <w:sz w:val="27"/>
        </w:rPr>
        <w:t xml:space="preserve"> navedene u stavku II. članka L. 5232-5.;</w:t>
      </w:r>
      <w:r>
        <w:rPr>
          <w:rFonts w:ascii="Times New Roman" w:hAnsi="Times New Roman"/>
          <w:color w:val="000000"/>
          <w:sz w:val="27"/>
        </w:rPr>
        <w:br/>
        <w:t>„3. Kategorije proizvoda s posebnim opasnostima od izlaganja navedene u stavku II. članka L.5232-5. s obzirom na izložene skupine stanovništva, uvjete uporabe i zbrinjavanja tih proizvoda i ostale relevantne kriterije.</w:t>
      </w:r>
    </w:p>
    <w:p w14:paraId="17BB2395" w14:textId="6840DF6E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„Pododjeljak 2.</w:t>
      </w:r>
      <w:r>
        <w:rPr>
          <w:rFonts w:ascii="Times New Roman" w:hAnsi="Times New Roman"/>
          <w:color w:val="000000"/>
          <w:sz w:val="27"/>
        </w:rPr>
        <w:br/>
      </w:r>
      <w:r w:rsidR="00801E48" w:rsidRPr="00801E48">
        <w:rPr>
          <w:rFonts w:ascii="Times New Roman" w:hAnsi="Times New Roman"/>
          <w:color w:val="000000"/>
          <w:sz w:val="27"/>
        </w:rPr>
        <w:t>„</w:t>
      </w:r>
      <w:r>
        <w:rPr>
          <w:rFonts w:ascii="Times New Roman" w:hAnsi="Times New Roman"/>
          <w:color w:val="000000"/>
          <w:sz w:val="27"/>
        </w:rPr>
        <w:t>Stavljanje informacija na raspolaganje javnosti</w:t>
      </w:r>
    </w:p>
    <w:p w14:paraId="0150BE3C" w14:textId="613A6964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„Čl. R.5232-20 – I. – Informacije iz stavaka I. i II. članka L. 5232-5. dostupne su u nematerijalnom obliku, besplatne i ponovno upotrebljive na način da njihovo dodavanje bude moguće. U tu svrhu svaka osoba koja stavlja proizvode na tržište u smislu članka L. 5232-5 stavlja na raspolaganje informacije na posebnoj internetskoj stranici koja sadržava sučelje za programiranje aplikacija ili putem aplikacije koju zajednički određuju ministri nadležni za zdravlje i okoliš.</w:t>
      </w:r>
      <w:r>
        <w:rPr>
          <w:rFonts w:ascii="Times New Roman" w:hAnsi="Times New Roman"/>
          <w:color w:val="000000"/>
          <w:sz w:val="27"/>
        </w:rPr>
        <w:br/>
      </w:r>
      <w:r>
        <w:rPr>
          <w:rFonts w:ascii="Times New Roman" w:hAnsi="Times New Roman"/>
          <w:color w:val="000000"/>
          <w:sz w:val="27"/>
        </w:rPr>
        <w:lastRenderedPageBreak/>
        <w:t>„Ako predmetni proizvod također podliježe obvezi obavještavanja potrošača u skladu s člankom L. 541-9-1. Zakonika o okolišu, informacije predviđene stavcima I. i II. članka L. 5332-5. ovog Zakonika, stavljaju se na raspolaganje na istim medijima kao i informacije o okolišnim svojstvima i karakteristikama tih proizvoda ili kategorijama proizvoda definiranih u skladu s člankom L. 541-9-1. Zakonika o okolišu.</w:t>
      </w:r>
      <w:r>
        <w:rPr>
          <w:rFonts w:ascii="Times New Roman" w:hAnsi="Times New Roman"/>
          <w:color w:val="000000"/>
          <w:sz w:val="27"/>
        </w:rPr>
        <w:br/>
        <w:t>„Postupci u vezi sa sadržajem i uvjetima prezentacije informacija iz stavaka I. i II. članka L. 5232-5. ovog Zakonika utvrđuju se zajedničkom odlukom ministra zdravstva i ministra zaštite okoliša.</w:t>
      </w:r>
      <w:r>
        <w:rPr>
          <w:rFonts w:ascii="Times New Roman" w:hAnsi="Times New Roman"/>
          <w:color w:val="000000"/>
          <w:sz w:val="27"/>
        </w:rPr>
        <w:br/>
        <w:t>„Informacije iz stavaka I. i II. članka L. 5232-5. na raspolaganje javnosti stavljaju se najkasnije šest mjeseci nakon objave odluke iz članka R. 5232-19.</w:t>
      </w:r>
    </w:p>
    <w:p w14:paraId="119EB2A1" w14:textId="1867CD44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„Pododjeljak 3.</w:t>
      </w:r>
      <w:r>
        <w:rPr>
          <w:rFonts w:ascii="Times New Roman" w:hAnsi="Times New Roman"/>
          <w:color w:val="000000"/>
          <w:sz w:val="27"/>
        </w:rPr>
        <w:br/>
      </w:r>
      <w:r w:rsidR="00801E48" w:rsidRPr="00801E48">
        <w:rPr>
          <w:rFonts w:ascii="Times New Roman" w:hAnsi="Times New Roman"/>
          <w:color w:val="000000"/>
          <w:sz w:val="27"/>
        </w:rPr>
        <w:t>„</w:t>
      </w:r>
      <w:r>
        <w:rPr>
          <w:rFonts w:ascii="Times New Roman" w:hAnsi="Times New Roman"/>
          <w:color w:val="000000"/>
          <w:sz w:val="27"/>
        </w:rPr>
        <w:t>Kaznene sankcije</w:t>
      </w:r>
    </w:p>
    <w:p w14:paraId="10379220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„Čl. R. 5232-21. – Osoba koja ne stavi na raspolaganje javnosti informacije iz stavaka I. i II. članka L. 5232-5. pod uvjetima utvrđenima u članku R. 5232-20. kažnjava se novčanom kaznom predviđenom za prekršaje petog razreda.</w:t>
      </w:r>
      <w:r>
        <w:rPr>
          <w:rFonts w:ascii="Times New Roman" w:hAnsi="Times New Roman"/>
          <w:color w:val="000000"/>
          <w:sz w:val="27"/>
        </w:rPr>
        <w:br/>
        <w:t>„Osoba koja se ne pridržava roka predviđenog u članku R. 5232-20. kažnjava se novčanom kaznom predviđenom za prekršaje petog razreda.</w:t>
      </w:r>
    </w:p>
    <w:p w14:paraId="3EED871E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„Čl. R.5232-22. – Ponavljanje prekršaja iz članka R.5232-21. kažnjava se u skladu s člancima 132.-11. i 132.-15. Kaznenog zakonika. ”</w:t>
      </w:r>
    </w:p>
    <w:p w14:paraId="39654F8C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Članak 2.</w:t>
      </w:r>
    </w:p>
    <w:p w14:paraId="7EA96E25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Uredba stupa na snagu 1. siječnja 2022.</w:t>
      </w:r>
    </w:p>
    <w:p w14:paraId="44F37BCD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Članak 3.</w:t>
      </w:r>
    </w:p>
    <w:p w14:paraId="4BE132C6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Ministrica ekološke tranzicije, čuvar pečata, ministar pravosuđa i ministar solidarnosti i zdravstva zaduženi su, svaki u svom resoru, za provođenje ove Uredbe koja će biti objavljena u Službenom listu Francuske Republike.</w:t>
      </w:r>
    </w:p>
    <w:p w14:paraId="1965C4D4" w14:textId="77777777" w:rsidR="00D8319D" w:rsidRPr="00D8319D" w:rsidRDefault="00D8319D" w:rsidP="00D8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Sastavljeno 23. kolovoza 2021.</w:t>
      </w:r>
    </w:p>
    <w:p w14:paraId="703CA5E5" w14:textId="77777777" w:rsidR="00D8319D" w:rsidRPr="00D8319D" w:rsidRDefault="00D8319D" w:rsidP="00D8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Jean </w:t>
      </w:r>
      <w:proofErr w:type="spellStart"/>
      <w:r>
        <w:rPr>
          <w:rFonts w:ascii="Times New Roman" w:hAnsi="Times New Roman"/>
          <w:color w:val="000000"/>
          <w:sz w:val="27"/>
        </w:rPr>
        <w:t>Castex</w:t>
      </w:r>
      <w:proofErr w:type="spellEnd"/>
      <w:r>
        <w:rPr>
          <w:rFonts w:ascii="Times New Roman" w:hAnsi="Times New Roman"/>
          <w:color w:val="000000"/>
          <w:sz w:val="27"/>
        </w:rPr>
        <w:br/>
        <w:t>po ovlaštenju predsjednika Vlade:</w:t>
      </w:r>
    </w:p>
    <w:p w14:paraId="61B53AD3" w14:textId="77777777" w:rsidR="00D8319D" w:rsidRPr="00D8319D" w:rsidRDefault="00D8319D" w:rsidP="00D8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lastRenderedPageBreak/>
        <w:br/>
        <w:t>Ministrica ekološke tranzicije,</w:t>
      </w:r>
      <w:r>
        <w:rPr>
          <w:rFonts w:ascii="Times New Roman" w:hAnsi="Times New Roman"/>
          <w:color w:val="000000"/>
          <w:sz w:val="27"/>
        </w:rPr>
        <w:br/>
        <w:t>Barbara POMPILI</w:t>
      </w:r>
    </w:p>
    <w:p w14:paraId="009E9B94" w14:textId="77777777" w:rsidR="00D8319D" w:rsidRPr="00D8319D" w:rsidRDefault="00D8319D" w:rsidP="00D8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Čuvar državnog pečata, ministar pravosuđa,</w:t>
      </w:r>
      <w:r>
        <w:rPr>
          <w:rFonts w:ascii="Times New Roman" w:hAnsi="Times New Roman"/>
          <w:color w:val="000000"/>
          <w:sz w:val="27"/>
        </w:rPr>
        <w:br/>
        <w:t xml:space="preserve">Éric </w:t>
      </w:r>
      <w:proofErr w:type="spellStart"/>
      <w:r>
        <w:rPr>
          <w:rFonts w:ascii="Times New Roman" w:hAnsi="Times New Roman"/>
          <w:color w:val="000000"/>
          <w:sz w:val="27"/>
        </w:rPr>
        <w:t>Dupond-Moretti</w:t>
      </w:r>
      <w:proofErr w:type="spellEnd"/>
    </w:p>
    <w:p w14:paraId="5FC337F5" w14:textId="18EA0A4E" w:rsidR="00D8319D" w:rsidRPr="00D8319D" w:rsidRDefault="00D8319D" w:rsidP="00D8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Ministar solidarnosti i zdravstva</w:t>
      </w:r>
      <w:r w:rsidR="00801E48">
        <w:rPr>
          <w:rFonts w:ascii="Times New Roman" w:hAnsi="Times New Roman"/>
          <w:color w:val="000000"/>
          <w:sz w:val="27"/>
        </w:rPr>
        <w:t>,</w:t>
      </w:r>
      <w:r>
        <w:rPr>
          <w:rFonts w:ascii="Times New Roman" w:hAnsi="Times New Roman"/>
          <w:color w:val="000000"/>
          <w:sz w:val="27"/>
        </w:rPr>
        <w:br/>
        <w:t>Olivier VERAN</w:t>
      </w:r>
    </w:p>
    <w:p w14:paraId="5F469EE0" w14:textId="77777777" w:rsidR="00B026BB" w:rsidRDefault="00B026BB"/>
    <w:sectPr w:rsidR="00B0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9D"/>
    <w:rsid w:val="00801E48"/>
    <w:rsid w:val="00840AF1"/>
    <w:rsid w:val="00B026BB"/>
    <w:rsid w:val="00D8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ADE9"/>
  <w15:chartTrackingRefBased/>
  <w15:docId w15:val="{43535567-19CF-442F-AF98-2A79B775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7980</Characters>
  <Application>Microsoft Office Word</Application>
  <DocSecurity>0</DocSecurity>
  <Lines>169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2022-02-11T12:09:00Z</dcterms:created>
  <dcterms:modified xsi:type="dcterms:W3CDTF">2022-02-11T12:09:00Z</dcterms:modified>
</cp:coreProperties>
</file>