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924"/>
        <w:gridCol w:w="218"/>
        <w:gridCol w:w="4265"/>
      </w:tblGrid>
      <w:tr w:rsidR="00CF0688" w14:paraId="429F2D36" w14:textId="77777777">
        <w:trPr>
          <w:trHeight w:val="2157"/>
        </w:trPr>
        <w:tc>
          <w:tcPr>
            <w:tcW w:w="5141" w:type="dxa"/>
            <w:gridSpan w:val="2"/>
          </w:tcPr>
          <w:p w14:paraId="6F38873B" w14:textId="202F2861" w:rsidR="00CF0688" w:rsidRDefault="00FE2D8D">
            <w:pPr>
              <w:widowControl w:val="0"/>
              <w:tabs>
                <w:tab w:val="left" w:pos="45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 wp14:anchorId="79FF3C85" wp14:editId="2E380978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-17" y="0"/>
                      <wp:lineTo x="-17" y="20948"/>
                      <wp:lineTo x="20956" y="20948"/>
                      <wp:lineTo x="20956" y="0"/>
                      <wp:lineTo x="-17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</w:rPr>
              <w:tab/>
            </w:r>
          </w:p>
          <w:p w14:paraId="66A8C9D5" w14:textId="5172A3C2" w:rsidR="00CF0688" w:rsidRDefault="00CF0688">
            <w:pPr>
              <w:widowControl w:val="0"/>
              <w:spacing w:line="360" w:lineRule="auto"/>
              <w:rPr>
                <w:b/>
                <w:color w:val="1F3864"/>
                <w:sz w:val="20"/>
                <w:szCs w:val="20"/>
              </w:rPr>
            </w:pPr>
          </w:p>
          <w:p w14:paraId="7453E3B1" w14:textId="4C2CDF8A" w:rsidR="00CF0688" w:rsidRDefault="006E2E77">
            <w:pPr>
              <w:widowControl w:val="0"/>
              <w:spacing w:before="240" w:line="360" w:lineRule="auto"/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noProof/>
                <w:color w:val="1F3864"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836B99" wp14:editId="46763D42">
                      <wp:simplePos x="0" y="0"/>
                      <wp:positionH relativeFrom="column">
                        <wp:posOffset>502525</wp:posOffset>
                      </wp:positionH>
                      <wp:positionV relativeFrom="paragraph">
                        <wp:posOffset>358559</wp:posOffset>
                      </wp:positionV>
                      <wp:extent cx="1837426" cy="6540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7426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B59B2F" w14:textId="77777777" w:rsidR="005D031B" w:rsidRDefault="006E2E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7365D" w:themeColor="text2" w:themeShade="BF"/>
                                      <w:sz w:val="28"/>
                                    </w:rPr>
                                    <w:t>IAPR</w:t>
                                  </w:r>
                                </w:p>
                                <w:p w14:paraId="5529BD9B" w14:textId="543FD405" w:rsidR="006E2E77" w:rsidRPr="006E2E77" w:rsidRDefault="006E2E77">
                                  <w:pPr>
                                    <w:rPr>
                                      <w:rFonts w:ascii="Arial" w:hAnsi="Arial" w:cs="Arial"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7365D" w:themeColor="text2" w:themeShade="BF"/>
                                    </w:rPr>
                                    <w:t>Nezávislý orgán pro veřejné příjmy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9836B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9.55pt;margin-top:28.25pt;width:144.7pt;height:5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" fillcolor="white [3201]" stroked="f" strokeweight=".5pt">
                      <v:textbox>
                        <w:txbxContent>
                          <w:p w14:paraId="2FB59B2F" w14:textId="77777777" w:rsidR="005D031B" w:rsidRDefault="006E2E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7365D" w:themeColor="text2" w:themeShade="BF"/>
                                <w:sz w:val="28"/>
                              </w:rPr>
                              <w:t>IAPR</w:t>
                            </w:r>
                          </w:p>
                          <w:p w14:paraId="5529BD9B" w14:textId="543FD405" w:rsidR="006E2E77" w:rsidRPr="006E2E77" w:rsidRDefault="006E2E77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Arial" w:hAnsi="Arial"/>
                                <w:color w:val="17365D" w:themeColor="text2" w:themeShade="BF"/>
                              </w:rPr>
                              <w:t>Nezávislý orgán pro veřejné příjmy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1F3864"/>
                <w:sz w:val="20"/>
              </w:rPr>
              <w:t>ŘECKÁ REPUBLIKA</w:t>
            </w:r>
          </w:p>
          <w:p w14:paraId="5152EC0B" w14:textId="4CDD04C2" w:rsidR="00CF0688" w:rsidRDefault="00CF0688">
            <w:pPr>
              <w:widowControl w:val="0"/>
              <w:spacing w:line="360" w:lineRule="auto"/>
              <w:rPr>
                <w:b/>
                <w:color w:val="1F3864"/>
                <w:sz w:val="2"/>
                <w:szCs w:val="20"/>
              </w:rPr>
            </w:pPr>
          </w:p>
          <w:p w14:paraId="75364DD1" w14:textId="4CAF2F0A" w:rsidR="00CF0688" w:rsidRDefault="00FE2D8D">
            <w:pPr>
              <w:widowControl w:val="0"/>
              <w:spacing w:before="120" w:line="360" w:lineRule="auto"/>
              <w:rPr>
                <w:color w:val="1F3864"/>
                <w:sz w:val="20"/>
                <w:szCs w:val="20"/>
              </w:rPr>
            </w:pPr>
            <w:r>
              <w:rPr>
                <w:noProof/>
                <w:color w:val="1F3864"/>
                <w:sz w:val="20"/>
              </w:rPr>
              <w:drawing>
                <wp:anchor distT="0" distB="0" distL="114300" distR="114300" simplePos="0" relativeHeight="3" behindDoc="0" locked="0" layoutInCell="1" allowOverlap="1" wp14:anchorId="570347B7" wp14:editId="33E3276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5" w:type="dxa"/>
          </w:tcPr>
          <w:p w14:paraId="3F543360" w14:textId="77777777" w:rsidR="00CF0688" w:rsidRDefault="00CF0688">
            <w:pPr>
              <w:pStyle w:val="Heading3"/>
              <w:widowControl w:val="0"/>
              <w:rPr>
                <w:rFonts w:ascii="Franklin Gothic Medium" w:hAnsi="Franklin Gothic Medium"/>
                <w:b w:val="0"/>
                <w:sz w:val="24"/>
              </w:rPr>
            </w:pPr>
          </w:p>
          <w:p w14:paraId="1C43CBCF" w14:textId="77777777" w:rsidR="00CF0688" w:rsidRDefault="00CF0688">
            <w:pPr>
              <w:pStyle w:val="Heading3"/>
              <w:widowControl w:val="0"/>
              <w:rPr>
                <w:rFonts w:ascii="Franklin Gothic Medium" w:hAnsi="Franklin Gothic Medium"/>
                <w:b w:val="0"/>
                <w:sz w:val="24"/>
              </w:rPr>
            </w:pPr>
          </w:p>
          <w:p w14:paraId="6FEE872F" w14:textId="77777777" w:rsidR="00CF0688" w:rsidRDefault="00CF0688">
            <w:pPr>
              <w:pStyle w:val="Heading3"/>
              <w:widowControl w:val="0"/>
              <w:rPr>
                <w:rFonts w:ascii="Franklin Gothic Medium" w:hAnsi="Franklin Gothic Medium"/>
                <w:b w:val="0"/>
                <w:sz w:val="24"/>
              </w:rPr>
            </w:pPr>
          </w:p>
          <w:p w14:paraId="2CC4FEC0" w14:textId="77777777" w:rsidR="00CF0688" w:rsidRDefault="00CF0688">
            <w:pPr>
              <w:pStyle w:val="Heading3"/>
              <w:widowControl w:val="0"/>
              <w:spacing w:line="360" w:lineRule="auto"/>
              <w:rPr>
                <w:rFonts w:ascii="Franklin Gothic Medium" w:hAnsi="Franklin Gothic Medium"/>
                <w:b w:val="0"/>
                <w:sz w:val="24"/>
              </w:rPr>
            </w:pPr>
          </w:p>
          <w:p w14:paraId="1C6DDC27" w14:textId="1C4AB405" w:rsidR="00CF0688" w:rsidRDefault="00FE2D8D">
            <w:pPr>
              <w:pStyle w:val="Heading3"/>
              <w:widowControl w:val="0"/>
              <w:spacing w:line="360" w:lineRule="auto"/>
              <w:rPr>
                <w:rFonts w:ascii="Franklin Gothic Medium" w:hAnsi="Franklin Gothic Medium"/>
                <w:b w:val="0"/>
                <w:sz w:val="24"/>
              </w:rPr>
            </w:pPr>
            <w:r>
              <w:rPr>
                <w:rFonts w:ascii="Franklin Gothic Medium" w:hAnsi="Franklin Gothic Medium"/>
                <w:b w:val="0"/>
                <w:sz w:val="24"/>
              </w:rPr>
              <w:t xml:space="preserve">  Atény 17. října 2022         </w:t>
            </w:r>
          </w:p>
          <w:p w14:paraId="3DA373D3" w14:textId="77777777" w:rsidR="00CF0688" w:rsidRDefault="00FE2D8D">
            <w:pPr>
              <w:pStyle w:val="Heading3"/>
              <w:widowControl w:val="0"/>
              <w:spacing w:line="360" w:lineRule="auto"/>
              <w:rPr>
                <w:rFonts w:ascii="Franklin Gothic Medium" w:hAnsi="Franklin Gothic Medium"/>
                <w:b w:val="0"/>
                <w:sz w:val="24"/>
              </w:rPr>
            </w:pPr>
            <w:r>
              <w:rPr>
                <w:rFonts w:ascii="Franklin Gothic Medium" w:hAnsi="Franklin Gothic Medium"/>
                <w:b w:val="0"/>
                <w:sz w:val="24"/>
              </w:rPr>
              <w:t xml:space="preserve">  Protokol č.:  30/010/000/</w:t>
            </w:r>
            <w:r>
              <w:rPr>
                <w:rFonts w:ascii="Franklin Gothic Medium" w:hAnsi="Franklin Gothic Medium"/>
                <w:sz w:val="24"/>
              </w:rPr>
              <w:t xml:space="preserve">30/2022 </w:t>
            </w:r>
          </w:p>
        </w:tc>
      </w:tr>
      <w:tr w:rsidR="00CF0688" w14:paraId="38178BDF" w14:textId="77777777">
        <w:trPr>
          <w:trHeight w:val="287"/>
        </w:trPr>
        <w:tc>
          <w:tcPr>
            <w:tcW w:w="5141" w:type="dxa"/>
            <w:gridSpan w:val="2"/>
          </w:tcPr>
          <w:p w14:paraId="6F963600" w14:textId="77777777" w:rsidR="00CF0688" w:rsidRDefault="00CF0688">
            <w:pPr>
              <w:widowControl w:val="0"/>
              <w:spacing w:line="276" w:lineRule="auto"/>
              <w:rPr>
                <w:rFonts w:ascii="Franklin Gothic Medium" w:eastAsia="Calibri" w:hAnsi="Franklin Gothic Medium" w:cs="Arial"/>
                <w:b/>
                <w:bCs/>
                <w:lang w:eastAsia="en-US"/>
              </w:rPr>
            </w:pPr>
          </w:p>
          <w:p w14:paraId="70A27F7B" w14:textId="77777777" w:rsidR="00CF0688" w:rsidRDefault="00FE2D8D">
            <w:pPr>
              <w:widowControl w:val="0"/>
              <w:spacing w:line="276" w:lineRule="auto"/>
              <w:rPr>
                <w:rFonts w:ascii="Franklin Gothic Medium" w:eastAsia="Calibri" w:hAnsi="Franklin Gothic Medium" w:cs="Arial"/>
                <w:b/>
                <w:bCs/>
              </w:rPr>
            </w:pPr>
            <w:r>
              <w:rPr>
                <w:rFonts w:ascii="Franklin Gothic Medium" w:hAnsi="Franklin Gothic Medium"/>
                <w:b/>
              </w:rPr>
              <w:t>NEJVYŠŠÍ RADA PRO CHEMICKÉ LÁTKY</w:t>
            </w:r>
          </w:p>
          <w:p w14:paraId="250177AA" w14:textId="77777777" w:rsidR="00CF0688" w:rsidRDefault="00CF0688">
            <w:pPr>
              <w:widowControl w:val="0"/>
              <w:spacing w:line="276" w:lineRule="auto"/>
              <w:rPr>
                <w:rFonts w:ascii="Franklin Gothic Medium" w:hAnsi="Franklin Gothic Medium" w:cs="Arial"/>
                <w:b/>
              </w:rPr>
            </w:pPr>
          </w:p>
          <w:p w14:paraId="4458707A" w14:textId="77777777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>Poštovní adresa:</w:t>
            </w:r>
            <w:r>
              <w:rPr>
                <w:rFonts w:ascii="Franklin Gothic Medium" w:hAnsi="Franklin Gothic Medium"/>
              </w:rPr>
              <w:t xml:space="preserve">  16, Tsocha Street, Atény  </w:t>
            </w:r>
          </w:p>
        </w:tc>
        <w:tc>
          <w:tcPr>
            <w:tcW w:w="4265" w:type="dxa"/>
            <w:vMerge w:val="restart"/>
          </w:tcPr>
          <w:p w14:paraId="0FDFC93F" w14:textId="77777777" w:rsidR="00CF0688" w:rsidRDefault="00FE2D8D">
            <w:pPr>
              <w:pStyle w:val="Heading3"/>
              <w:widowControl w:val="0"/>
              <w:spacing w:line="276" w:lineRule="auto"/>
              <w:rPr>
                <w:rFonts w:ascii="Franklin Gothic Medium" w:hAnsi="Franklin Gothic Medium"/>
                <w:b w:val="0"/>
                <w:sz w:val="24"/>
              </w:rPr>
            </w:pPr>
            <w:r>
              <w:rPr>
                <w:rFonts w:ascii="Franklin Gothic Medium" w:hAnsi="Franklin Gothic Medium"/>
                <w:b w:val="0"/>
                <w:sz w:val="24"/>
              </w:rPr>
              <w:t xml:space="preserve">                          </w:t>
            </w:r>
          </w:p>
          <w:p w14:paraId="17382FF5" w14:textId="77777777" w:rsidR="00CF0688" w:rsidRDefault="00FE2D8D">
            <w:pPr>
              <w:pStyle w:val="Heading3"/>
              <w:widowControl w:val="0"/>
              <w:spacing w:line="276" w:lineRule="auto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b w:val="0"/>
                <w:sz w:val="24"/>
              </w:rPr>
              <w:t xml:space="preserve">                     </w:t>
            </w:r>
            <w:r>
              <w:rPr>
                <w:rFonts w:ascii="Franklin Gothic Medium" w:hAnsi="Franklin Gothic Medium"/>
                <w:sz w:val="24"/>
              </w:rPr>
              <w:t>K RUKÁM:</w:t>
            </w:r>
          </w:p>
          <w:p w14:paraId="61949B13" w14:textId="77777777" w:rsidR="00CF0688" w:rsidRDefault="00CF0688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</w:p>
          <w:p w14:paraId="1D0E1646" w14:textId="77777777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</w:rPr>
              <w:t>Všeobecná státní chemická laboratoř</w:t>
            </w:r>
          </w:p>
          <w:p w14:paraId="40794443" w14:textId="77777777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</w:rPr>
              <w:t xml:space="preserve">Ředitelství pro energetiku, průmysl a chemické výrobky </w:t>
            </w:r>
          </w:p>
          <w:p w14:paraId="073C8719" w14:textId="77777777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</w:rPr>
              <w:t>Oddíl A</w:t>
            </w:r>
          </w:p>
        </w:tc>
      </w:tr>
      <w:tr w:rsidR="00CF0688" w14:paraId="6F873E1E" w14:textId="77777777">
        <w:trPr>
          <w:trHeight w:val="287"/>
        </w:trPr>
        <w:tc>
          <w:tcPr>
            <w:tcW w:w="5141" w:type="dxa"/>
            <w:gridSpan w:val="2"/>
          </w:tcPr>
          <w:p w14:paraId="7A5DAFEB" w14:textId="47E1FE56" w:rsidR="00CF0688" w:rsidRDefault="00FE2D8D" w:rsidP="00165215">
            <w:pPr>
              <w:widowControl w:val="0"/>
              <w:tabs>
                <w:tab w:val="left" w:pos="1810"/>
              </w:tabs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>PSČ:</w:t>
            </w:r>
            <w:r>
              <w:rPr>
                <w:rFonts w:ascii="Franklin Gothic Medium" w:hAnsi="Franklin Gothic Medium"/>
              </w:rPr>
              <w:t xml:space="preserve">  </w:t>
            </w:r>
            <w:r w:rsidR="00165215">
              <w:rPr>
                <w:rFonts w:ascii="Franklin Gothic Medium" w:hAnsi="Franklin Gothic Medium"/>
              </w:rPr>
              <w:tab/>
            </w:r>
            <w:r>
              <w:rPr>
                <w:rFonts w:ascii="Franklin Gothic Medium" w:hAnsi="Franklin Gothic Medium"/>
              </w:rPr>
              <w:t>115 21</w:t>
            </w:r>
          </w:p>
        </w:tc>
        <w:tc>
          <w:tcPr>
            <w:tcW w:w="4265" w:type="dxa"/>
            <w:vMerge/>
          </w:tcPr>
          <w:p w14:paraId="7732B644" w14:textId="77777777" w:rsidR="00CF0688" w:rsidRDefault="00CF0688">
            <w:pPr>
              <w:pStyle w:val="Heading3"/>
              <w:widowControl w:val="0"/>
              <w:rPr>
                <w:b w:val="0"/>
                <w:sz w:val="22"/>
                <w:szCs w:val="22"/>
              </w:rPr>
            </w:pPr>
          </w:p>
        </w:tc>
      </w:tr>
      <w:tr w:rsidR="00CF0688" w:rsidRPr="006E2E77" w14:paraId="35B4FE51" w14:textId="77777777">
        <w:trPr>
          <w:trHeight w:val="175"/>
        </w:trPr>
        <w:tc>
          <w:tcPr>
            <w:tcW w:w="5141" w:type="dxa"/>
            <w:gridSpan w:val="2"/>
          </w:tcPr>
          <w:p w14:paraId="32670900" w14:textId="602276F2" w:rsidR="00CF0688" w:rsidRDefault="00FE2D8D" w:rsidP="00165215">
            <w:pPr>
              <w:widowControl w:val="0"/>
              <w:tabs>
                <w:tab w:val="left" w:pos="1810"/>
              </w:tabs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 xml:space="preserve">Informace : </w:t>
            </w:r>
            <w:r w:rsidR="00165215">
              <w:rPr>
                <w:rFonts w:ascii="Franklin Gothic Medium" w:hAnsi="Franklin Gothic Medium"/>
                <w:b/>
              </w:rPr>
              <w:tab/>
            </w:r>
            <w:r>
              <w:rPr>
                <w:rFonts w:ascii="Franklin Gothic Medium" w:hAnsi="Franklin Gothic Medium"/>
              </w:rPr>
              <w:t>E. Bania-Georgopoulou</w:t>
            </w:r>
          </w:p>
          <w:p w14:paraId="35D10178" w14:textId="0E865098" w:rsidR="00CF0688" w:rsidRDefault="00FE2D8D" w:rsidP="00165215">
            <w:pPr>
              <w:widowControl w:val="0"/>
              <w:tabs>
                <w:tab w:val="left" w:pos="1810"/>
              </w:tabs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 xml:space="preserve">Telefon: </w:t>
            </w:r>
            <w:r>
              <w:rPr>
                <w:rFonts w:ascii="Franklin Gothic Medium" w:hAnsi="Franklin Gothic Medium"/>
              </w:rPr>
              <w:t xml:space="preserve">  </w:t>
            </w:r>
            <w:r w:rsidR="00165215">
              <w:rPr>
                <w:rFonts w:ascii="Franklin Gothic Medium" w:hAnsi="Franklin Gothic Medium"/>
              </w:rPr>
              <w:tab/>
            </w:r>
            <w:r>
              <w:rPr>
                <w:rFonts w:ascii="Franklin Gothic Medium" w:hAnsi="Franklin Gothic Medium"/>
              </w:rPr>
              <w:t>210-6479244,230</w:t>
            </w:r>
          </w:p>
          <w:p w14:paraId="2E322279" w14:textId="122B682B" w:rsidR="00CF0688" w:rsidRPr="006E2E77" w:rsidRDefault="00FE2D8D" w:rsidP="00165215">
            <w:pPr>
              <w:widowControl w:val="0"/>
              <w:tabs>
                <w:tab w:val="left" w:pos="1810"/>
              </w:tabs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>Ε-mail:</w:t>
            </w:r>
            <w:r>
              <w:rPr>
                <w:rFonts w:ascii="Franklin Gothic Medium" w:hAnsi="Franklin Gothic Medium"/>
              </w:rPr>
              <w:t xml:space="preserve">  </w:t>
            </w:r>
            <w:r w:rsidR="00165215">
              <w:rPr>
                <w:rFonts w:ascii="Franklin Gothic Medium" w:hAnsi="Franklin Gothic Medium"/>
              </w:rPr>
              <w:tab/>
            </w:r>
            <w:hyperlink r:id="rId7">
              <w:r>
                <w:rPr>
                  <w:rStyle w:val="Hyperlink"/>
                  <w:rFonts w:ascii="Franklin Gothic Medium" w:hAnsi="Franklin Gothic Medium"/>
                  <w:u w:val="none"/>
                </w:rPr>
                <w:t>axs@aade.gr</w:t>
              </w:r>
            </w:hyperlink>
            <w:r>
              <w:rPr>
                <w:rStyle w:val="Hyperlink"/>
                <w:rFonts w:ascii="Franklin Gothic Medium" w:hAnsi="Franklin Gothic Medium"/>
                <w:u w:val="none"/>
              </w:rPr>
              <w:t xml:space="preserve"> </w:t>
            </w:r>
          </w:p>
        </w:tc>
        <w:tc>
          <w:tcPr>
            <w:tcW w:w="4265" w:type="dxa"/>
            <w:vMerge/>
          </w:tcPr>
          <w:p w14:paraId="5461598B" w14:textId="77777777" w:rsidR="00CF0688" w:rsidRPr="006E2E77" w:rsidRDefault="00CF0688">
            <w:pPr>
              <w:pStyle w:val="Heading3"/>
              <w:widowControl w:val="0"/>
              <w:rPr>
                <w:b w:val="0"/>
                <w:sz w:val="22"/>
                <w:szCs w:val="22"/>
                <w:lang w:val="fr-FR"/>
              </w:rPr>
            </w:pPr>
          </w:p>
        </w:tc>
      </w:tr>
      <w:tr w:rsidR="00CF0688" w14:paraId="383A7ED8" w14:textId="77777777">
        <w:trPr>
          <w:trHeight w:val="341"/>
        </w:trPr>
        <w:tc>
          <w:tcPr>
            <w:tcW w:w="4923" w:type="dxa"/>
          </w:tcPr>
          <w:p w14:paraId="7B8D3493" w14:textId="77777777" w:rsidR="00CF0688" w:rsidRPr="006E2E77" w:rsidRDefault="00CF0688">
            <w:pPr>
              <w:widowControl w:val="0"/>
              <w:spacing w:line="276" w:lineRule="auto"/>
              <w:rPr>
                <w:rFonts w:ascii="Comic Sans MS" w:hAnsi="Comic Sans MS" w:cs="Arial"/>
                <w:sz w:val="22"/>
                <w:szCs w:val="22"/>
                <w:lang w:val="fr-FR"/>
              </w:rPr>
            </w:pPr>
          </w:p>
        </w:tc>
        <w:tc>
          <w:tcPr>
            <w:tcW w:w="4483" w:type="dxa"/>
            <w:gridSpan w:val="2"/>
          </w:tcPr>
          <w:p w14:paraId="7326F2B8" w14:textId="77777777" w:rsidR="00CF0688" w:rsidRDefault="00165215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sdt>
              <w:sdtPr>
                <w:alias w:val=""/>
                <w:id w:val="-1923944758"/>
                <w:dropDownList>
                  <w:listItem w:displayText="Ředitelství pro potraviny " w:value="Διεύθυνση Τροφίμων "/>
                  <w:listItem w:displayText="Ředitelství pro petrochemii " w:value="Διεύθυνση Πετροχημικών "/>
                  <w:listItem w:displayText="Vyberte si položku." w:value="Choose an item."/>
                  <w:listItem w:displayText="." w:value="."/>
                </w:dropDownList>
              </w:sdtPr>
              <w:sdtEndPr/>
              <w:sdtContent>
                <w:r w:rsidR="00FE2D8D">
                  <w:t>.</w:t>
                </w:r>
              </w:sdtContent>
            </w:sdt>
          </w:p>
        </w:tc>
      </w:tr>
    </w:tbl>
    <w:p w14:paraId="37210401" w14:textId="77777777" w:rsidR="00CF0688" w:rsidRDefault="00FE2D8D">
      <w:pPr>
        <w:pStyle w:val="BodyTextIndent2"/>
        <w:spacing w:after="240" w:line="276" w:lineRule="auto"/>
        <w:ind w:firstLine="0"/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b/>
          <w:sz w:val="24"/>
          <w:u w:val="single"/>
        </w:rPr>
        <w:t>VĚC</w:t>
      </w:r>
      <w:r>
        <w:rPr>
          <w:rFonts w:ascii="Franklin Gothic Medium" w:hAnsi="Franklin Gothic Medium"/>
          <w:b/>
          <w:sz w:val="24"/>
        </w:rPr>
        <w:t>:  Rozhodnutí Nejvyšší rady pro chemické látky (SCC) 30/2022</w:t>
      </w:r>
    </w:p>
    <w:p w14:paraId="08A3648C" w14:textId="77777777" w:rsidR="00CF0688" w:rsidRDefault="00CF0688">
      <w:pPr>
        <w:pStyle w:val="BodyTextIndent2"/>
        <w:spacing w:line="276" w:lineRule="auto"/>
        <w:ind w:firstLine="0"/>
        <w:rPr>
          <w:rFonts w:ascii="Franklin Gothic Medium" w:hAnsi="Franklin Gothic Medium"/>
          <w:sz w:val="24"/>
          <w:szCs w:val="24"/>
        </w:rPr>
      </w:pPr>
    </w:p>
    <w:p w14:paraId="7F54FB97" w14:textId="26B50FC3" w:rsidR="00CF0688" w:rsidRDefault="00FE2D8D">
      <w:pPr>
        <w:jc w:val="both"/>
        <w:rPr>
          <w:rFonts w:ascii="Franklin Gothic Medium" w:hAnsi="Franklin Gothic Medium" w:cs="Franklin Gothic Medium"/>
        </w:rPr>
      </w:pPr>
      <w:r>
        <w:rPr>
          <w:rFonts w:ascii="Franklin Gothic Medium" w:hAnsi="Franklin Gothic Medium"/>
        </w:rPr>
        <w:t>V reakci na Váš dopis č.j. 30/004/000/1249/23-9-2022, kterým jste nám zaslali svůj návrh na přijetí rozhodnutí SSD nazvaného</w:t>
      </w:r>
      <w:r>
        <w:rPr>
          <w:rFonts w:ascii="Franklin Gothic Medium" w:hAnsi="Franklin Gothic Medium"/>
          <w:b/>
        </w:rPr>
        <w:t xml:space="preserve">: </w:t>
      </w:r>
      <w:r>
        <w:rPr>
          <w:rFonts w:ascii="Franklin Gothic Medium" w:hAnsi="Franklin Gothic Medium"/>
          <w:b/>
          <w:color w:val="000000"/>
        </w:rPr>
        <w:t>„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 xml:space="preserve">Provedení do vnitrostátního práva prováděcího rozhodnutí Komise </w:t>
      </w:r>
      <w:bookmarkStart w:id="0" w:name="page230R_mcid1"/>
      <w:bookmarkEnd w:id="0"/>
      <w:r>
        <w:rPr>
          <w:rFonts w:ascii="Franklin Gothic Medium" w:hAnsi="Franklin Gothic Medium"/>
          <w:b/>
          <w:color w:val="000000"/>
          <w:shd w:val="clear" w:color="auto" w:fill="FFFFFF"/>
        </w:rPr>
        <w:t>(EU) 2022/197 ze dne 17.1.2022 o určení ACCUTRACE</w:t>
      </w:r>
      <w:r>
        <w:rPr>
          <w:rFonts w:ascii="Franklin Gothic Medium" w:hAnsi="Franklin Gothic Medium"/>
          <w:b/>
          <w:color w:val="000000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 xml:space="preserve"> PLUS jako společné látky pro daňové značení topného plynového oleje, lodního plynového oleje a lodní motorové nafty, jakož i pro petrolej pro domácnosti (topný petrolej), zkušební metody pro její určení a související technické požadavky“</w:t>
      </w:r>
      <w:r>
        <w:rPr>
          <w:rFonts w:ascii="Franklin Gothic Medium" w:hAnsi="Franklin Gothic Medium"/>
          <w:b/>
        </w:rPr>
        <w:t xml:space="preserve">, </w:t>
      </w:r>
      <w:r>
        <w:rPr>
          <w:rFonts w:ascii="Franklin Gothic Medium" w:hAnsi="Franklin Gothic Medium"/>
        </w:rPr>
        <w:t xml:space="preserve">tímto Vás informujeme, že Nejvyšší rada pro chemické látky, které předsedáme, na základě prošetření této záležitosti na jednání dne </w:t>
      </w:r>
      <w:r>
        <w:rPr>
          <w:rFonts w:ascii="Franklin Gothic Medium" w:hAnsi="Franklin Gothic Medium"/>
          <w:b/>
        </w:rPr>
        <w:t>29. září 2022</w:t>
      </w:r>
      <w:r>
        <w:rPr>
          <w:rFonts w:ascii="Franklin Gothic Medium" w:hAnsi="Franklin Gothic Medium"/>
        </w:rPr>
        <w:t xml:space="preserve">, zákonně zpracovala dotčený návrh a jednomyslně </w:t>
      </w:r>
    </w:p>
    <w:p w14:paraId="7A44BA8D" w14:textId="77777777" w:rsidR="00CF0688" w:rsidRDefault="00CF0688">
      <w:pPr>
        <w:jc w:val="both"/>
        <w:rPr>
          <w:rFonts w:ascii="Franklin Gothic Medium" w:hAnsi="Franklin Gothic Medium" w:cs="Franklin Gothic Medium"/>
        </w:rPr>
      </w:pPr>
    </w:p>
    <w:p w14:paraId="39B5A63D" w14:textId="77777777" w:rsidR="00CF0688" w:rsidRDefault="00FE2D8D">
      <w:pPr>
        <w:jc w:val="center"/>
        <w:rPr>
          <w:rFonts w:ascii="Franklin Gothic Medium" w:hAnsi="Franklin Gothic Medium" w:cs="Franklin Gothic Medium"/>
          <w:b/>
          <w:color w:val="000000"/>
        </w:rPr>
      </w:pPr>
      <w:r>
        <w:rPr>
          <w:rFonts w:ascii="Franklin Gothic Medium" w:hAnsi="Franklin Gothic Medium"/>
          <w:u w:val="single"/>
        </w:rPr>
        <w:t>přijala toto usnesení</w:t>
      </w:r>
      <w:r>
        <w:rPr>
          <w:rFonts w:ascii="Franklin Gothic Medium" w:hAnsi="Franklin Gothic Medium"/>
        </w:rPr>
        <w:t>:</w:t>
      </w:r>
    </w:p>
    <w:p w14:paraId="08B7451C" w14:textId="77777777" w:rsidR="00CF0688" w:rsidRDefault="00CF0688">
      <w:pPr>
        <w:pStyle w:val="BodyTextIndent2"/>
        <w:spacing w:line="276" w:lineRule="auto"/>
        <w:ind w:firstLine="0"/>
        <w:rPr>
          <w:rFonts w:ascii="Franklin Gothic Medium" w:hAnsi="Franklin Gothic Medium"/>
          <w:sz w:val="24"/>
          <w:szCs w:val="24"/>
        </w:rPr>
      </w:pPr>
    </w:p>
    <w:p w14:paraId="79E2F991" w14:textId="77777777" w:rsidR="00CF0688" w:rsidRDefault="00CF0688">
      <w:pPr>
        <w:pStyle w:val="BodyTextIndent2"/>
        <w:spacing w:line="276" w:lineRule="auto"/>
        <w:ind w:firstLine="0"/>
        <w:rPr>
          <w:rFonts w:ascii="Franklin Gothic Medium" w:hAnsi="Franklin Gothic Medium"/>
          <w:sz w:val="24"/>
          <w:szCs w:val="24"/>
        </w:rPr>
      </w:pPr>
    </w:p>
    <w:p w14:paraId="138D2AF0" w14:textId="77777777" w:rsidR="00CF0688" w:rsidRDefault="00FE2D8D">
      <w:pPr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„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>Provedení do vnitrostátního práva prováděcího rozhodnutí Komise (EU) 2022/197 ze dne 17.1.2022 o určení ACCUTRACE</w:t>
      </w:r>
      <w:r>
        <w:rPr>
          <w:rFonts w:ascii="Franklin Gothic Medium" w:hAnsi="Franklin Gothic Medium"/>
          <w:b/>
          <w:color w:val="000000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 xml:space="preserve"> PLUS jako společné látky pro daňové značení topného plynového oleje, lodního plynového oleje a lodní motorové nafty, jakož i pro petrolej pro domácnosti (topný petrolej), zkušební metody pro její určení a související technické požadavky.</w:t>
      </w:r>
      <w:r>
        <w:rPr>
          <w:rFonts w:ascii="Franklin Gothic Medium" w:hAnsi="Franklin Gothic Medium"/>
          <w:b/>
          <w:color w:val="000000"/>
        </w:rPr>
        <w:t>“</w:t>
      </w:r>
    </w:p>
    <w:p w14:paraId="29B4E506" w14:textId="77777777" w:rsidR="00CF0688" w:rsidRDefault="00CF0688">
      <w:pPr>
        <w:tabs>
          <w:tab w:val="left" w:pos="0"/>
        </w:tabs>
        <w:jc w:val="center"/>
        <w:rPr>
          <w:rFonts w:ascii="Franklin Gothic Medium" w:hAnsi="Franklin Gothic Medium" w:cs="Franklin Gothic Medium"/>
          <w:b/>
          <w:color w:val="000000"/>
        </w:rPr>
      </w:pPr>
    </w:p>
    <w:p w14:paraId="1BC2D4A0" w14:textId="77777777" w:rsidR="00CF0688" w:rsidRDefault="00CF0688">
      <w:pPr>
        <w:tabs>
          <w:tab w:val="left" w:pos="0"/>
        </w:tabs>
        <w:jc w:val="center"/>
        <w:rPr>
          <w:rFonts w:ascii="Franklin Gothic Medium" w:hAnsi="Franklin Gothic Medium" w:cs="Franklin Gothic Medium"/>
          <w:b/>
          <w:color w:val="000000"/>
        </w:rPr>
      </w:pPr>
    </w:p>
    <w:p w14:paraId="1C63AF81" w14:textId="77777777" w:rsidR="00CF0688" w:rsidRDefault="00FE2D8D">
      <w:pPr>
        <w:tabs>
          <w:tab w:val="left" w:pos="0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Článek 1</w:t>
      </w:r>
    </w:p>
    <w:p w14:paraId="3750B63D" w14:textId="77777777" w:rsidR="00CF0688" w:rsidRDefault="00FE2D8D">
      <w:pPr>
        <w:tabs>
          <w:tab w:val="left" w:pos="0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Účel a oblast působnosti</w:t>
      </w:r>
    </w:p>
    <w:p w14:paraId="2E6C1BDA" w14:textId="77777777" w:rsidR="00CF0688" w:rsidRDefault="00CF0688">
      <w:pPr>
        <w:tabs>
          <w:tab w:val="left" w:pos="0"/>
        </w:tabs>
        <w:ind w:left="1077" w:hanging="1077"/>
        <w:jc w:val="center"/>
        <w:rPr>
          <w:rFonts w:ascii="Franklin Gothic Medium" w:hAnsi="Franklin Gothic Medium" w:cs="Franklin Gothic Medium"/>
          <w:b/>
          <w:color w:val="000000"/>
        </w:rPr>
      </w:pPr>
    </w:p>
    <w:p w14:paraId="04753DE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Účelem tohoto rozhodnutí je vytvořit společnou evropskou daňovou značku stanovenou ve směrnici 95/60/ES o označování ropných produktů. </w:t>
      </w:r>
    </w:p>
    <w:p w14:paraId="20D5B51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Toto rozhodnutí upravuje následující: </w:t>
      </w:r>
    </w:p>
    <w:p w14:paraId="4191273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1) Chemický název molekuly stopovací látky podle IUPAC.</w:t>
      </w:r>
    </w:p>
    <w:p w14:paraId="78997BF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2) Procentní podíl přidaný k energetickým produktům.</w:t>
      </w:r>
    </w:p>
    <w:p w14:paraId="33355B31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3) Ověřená laboratorní metoda a zařízení pro kvantitativní stanovení určení stopovací látky v energetických produktech.</w:t>
      </w:r>
    </w:p>
    <w:p w14:paraId="20F843F0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4) Kvalitativní charakteristiky této metody.</w:t>
      </w:r>
    </w:p>
    <w:p w14:paraId="6F531F8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5) Metoda a vybavení použité při kontrolách na místě pro určení stopovací látky.</w:t>
      </w:r>
    </w:p>
    <w:p w14:paraId="62EE94D4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75D067CC" w14:textId="77777777" w:rsidR="00CF0688" w:rsidRPr="00165215" w:rsidRDefault="00CF0688">
      <w:pPr>
        <w:pStyle w:val="-HTML1"/>
        <w:ind w:left="57" w:right="57"/>
        <w:jc w:val="both"/>
        <w:rPr>
          <w:rFonts w:ascii="Franklin Gothic Medium" w:hAnsi="Franklin Gothic Medium" w:cs="Franklin Gothic Medium"/>
          <w:color w:val="000000"/>
          <w:sz w:val="24"/>
          <w:szCs w:val="24"/>
        </w:rPr>
      </w:pPr>
    </w:p>
    <w:p w14:paraId="572AF4B2" w14:textId="77777777" w:rsidR="00CF0688" w:rsidRDefault="00FE2D8D">
      <w:pPr>
        <w:pStyle w:val="-HTML1"/>
        <w:shd w:val="clear" w:color="auto" w:fill="FFFFFF"/>
        <w:ind w:left="57" w:right="57"/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  <w:sz w:val="24"/>
        </w:rPr>
        <w:t>Článek 2</w:t>
      </w:r>
    </w:p>
    <w:p w14:paraId="25FA269C" w14:textId="77777777" w:rsidR="00CF0688" w:rsidRDefault="00FE2D8D">
      <w:pPr>
        <w:pStyle w:val="-HTML1"/>
        <w:shd w:val="clear" w:color="auto" w:fill="FFFFFF"/>
        <w:ind w:left="57" w:right="57"/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  <w:sz w:val="24"/>
        </w:rPr>
        <w:t>Určení stopovací látky</w:t>
      </w:r>
    </w:p>
    <w:p w14:paraId="08A7EF44" w14:textId="77777777" w:rsidR="00CF0688" w:rsidRPr="00165215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bCs/>
          <w:color w:val="000000"/>
          <w:sz w:val="24"/>
          <w:szCs w:val="24"/>
          <w:lang w:eastAsia="en-US"/>
        </w:rPr>
      </w:pPr>
    </w:p>
    <w:p w14:paraId="2D92A6D9" w14:textId="77777777" w:rsidR="00CF0688" w:rsidRDefault="00FE2D8D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sz w:val="24"/>
        </w:rPr>
        <w:tab/>
      </w:r>
      <w:r>
        <w:rPr>
          <w:rFonts w:ascii="Franklin Gothic Medium" w:hAnsi="Franklin Gothic Medium"/>
          <w:color w:val="000000"/>
          <w:sz w:val="24"/>
          <w:shd w:val="clear" w:color="auto" w:fill="FFFFFF"/>
        </w:rPr>
        <w:t>Do topného plynového oleje, lodního plynového oleje a lodní motorové nafty, jakož i do petroleje pro domácnost kódu (topný petrolej</w:t>
      </w:r>
      <w:r>
        <w:rPr>
          <w:rFonts w:ascii="Franklin Gothic Medium" w:hAnsi="Franklin Gothic Medium"/>
          <w:b/>
          <w:color w:val="000000"/>
          <w:sz w:val="24"/>
          <w:shd w:val="clear" w:color="auto" w:fill="FFFFFF"/>
        </w:rPr>
        <w:t>)</w:t>
      </w:r>
      <w:r>
        <w:rPr>
          <w:rFonts w:ascii="Franklin Gothic Medium" w:hAnsi="Franklin Gothic Medium"/>
          <w:color w:val="000000"/>
          <w:sz w:val="24"/>
          <w:shd w:val="clear" w:color="auto" w:fill="FFFFFF"/>
        </w:rPr>
        <w:t xml:space="preserve"> se přidává látka ACCUTRACE</w:t>
      </w:r>
      <w:r>
        <w:rPr>
          <w:rFonts w:ascii="Franklin Gothic Medium" w:hAnsi="Franklin Gothic Medium"/>
          <w:color w:val="000000"/>
          <w:sz w:val="24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color w:val="000000"/>
          <w:sz w:val="24"/>
          <w:shd w:val="clear" w:color="auto" w:fill="FFFFFF"/>
        </w:rPr>
        <w:t xml:space="preserve"> PLUS, s butoxybenzenem jako účinnou látkou (číslo registru CAS 1126-79-0) jako společná látka pro daňové značení stanovená ve směrnici 95/60/ES o označování všech ropných produktů spadajících pod kódy KN 2710 19 43, 2710 19 46, 2710 19 47, 2710 19 48, 2710 20 11, 2710 20 16 a 2710 20 19, jakož i petroleje pro domácnost</w:t>
      </w:r>
      <w:r>
        <w:rPr>
          <w:rFonts w:ascii="Franklin Gothic Medium" w:hAnsi="Franklin Gothic Medium"/>
          <w:b/>
          <w:color w:val="000000"/>
          <w:sz w:val="24"/>
          <w:shd w:val="clear" w:color="auto" w:fill="FFFFFF"/>
        </w:rPr>
        <w:t>)</w:t>
      </w:r>
      <w:r>
        <w:rPr>
          <w:rFonts w:ascii="Franklin Gothic Medium" w:hAnsi="Franklin Gothic Medium"/>
          <w:color w:val="000000"/>
          <w:sz w:val="24"/>
          <w:shd w:val="clear" w:color="auto" w:fill="FFFFFF"/>
        </w:rPr>
        <w:t xml:space="preserve">, který spadá pod kód KN 2710 19 25. </w:t>
      </w:r>
    </w:p>
    <w:p w14:paraId="6E178D93" w14:textId="77777777" w:rsidR="00CF0688" w:rsidRDefault="00FE2D8D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</w:rPr>
      </w:pPr>
      <w:r>
        <w:rPr>
          <w:rFonts w:ascii="Franklin Gothic Medium" w:hAnsi="Franklin Gothic Medium"/>
          <w:noProof/>
          <w:color w:val="000000"/>
          <w:sz w:val="24"/>
        </w:rPr>
        <w:drawing>
          <wp:anchor distT="0" distB="0" distL="0" distR="0" simplePos="0" relativeHeight="4" behindDoc="0" locked="0" layoutInCell="0" allowOverlap="1" wp14:anchorId="2C6C4250" wp14:editId="5038B600">
            <wp:simplePos x="0" y="0"/>
            <wp:positionH relativeFrom="column">
              <wp:posOffset>2583815</wp:posOffset>
            </wp:positionH>
            <wp:positionV relativeFrom="paragraph">
              <wp:posOffset>57785</wp:posOffset>
            </wp:positionV>
            <wp:extent cx="673735" cy="1471930"/>
            <wp:effectExtent l="0" t="0" r="0" b="0"/>
            <wp:wrapSquare wrapText="bothSides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F29D4" w14:textId="77777777" w:rsidR="00CF0688" w:rsidRPr="00165215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2D14735F" w14:textId="77777777" w:rsidR="00CF0688" w:rsidRPr="00165215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049AD6B0" w14:textId="77777777" w:rsidR="00CF0688" w:rsidRPr="00165215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highlight w:val="white"/>
        </w:rPr>
      </w:pPr>
    </w:p>
    <w:p w14:paraId="432AC2E1" w14:textId="77777777" w:rsidR="00CF0688" w:rsidRPr="00165215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highlight w:val="white"/>
        </w:rPr>
      </w:pPr>
    </w:p>
    <w:p w14:paraId="5A82FA44" w14:textId="77777777" w:rsidR="00CF0688" w:rsidRPr="00165215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highlight w:val="white"/>
        </w:rPr>
      </w:pPr>
    </w:p>
    <w:p w14:paraId="6DC7FC4F" w14:textId="77777777" w:rsidR="00CF0688" w:rsidRPr="00165215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highlight w:val="white"/>
        </w:rPr>
      </w:pPr>
    </w:p>
    <w:p w14:paraId="2C275B56" w14:textId="77777777" w:rsidR="00CF0688" w:rsidRPr="00165215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7CE7B6CC" w14:textId="77777777" w:rsidR="00CF0688" w:rsidRPr="00165215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605CB807" w14:textId="77777777" w:rsidR="00CF0688" w:rsidRPr="00165215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600CD190" w14:textId="77777777" w:rsidR="00CF0688" w:rsidRPr="00165215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66D0662A" w14:textId="77777777" w:rsidR="00CF0688" w:rsidRDefault="00FE2D8D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sz w:val="24"/>
          <w:shd w:val="clear" w:color="auto" w:fill="FFFFFF"/>
        </w:rPr>
        <w:t>12,5 miligramů na litr energetického produktu je definována jako úroveň značení pomocí látky ACCUTRACE</w:t>
      </w:r>
      <w:r>
        <w:rPr>
          <w:rFonts w:ascii="Franklin Gothic Medium" w:hAnsi="Franklin Gothic Medium"/>
          <w:color w:val="000000"/>
          <w:sz w:val="24"/>
          <w:vertAlign w:val="superscript"/>
        </w:rPr>
        <w:t>TM</w:t>
      </w:r>
      <w:r>
        <w:rPr>
          <w:rFonts w:ascii="Franklin Gothic Medium" w:hAnsi="Franklin Gothic Medium"/>
          <w:color w:val="000000"/>
          <w:sz w:val="24"/>
        </w:rPr>
        <w:t xml:space="preserve"> PLUS. To odpovídá úrovni značení nejméně 9,5 miligramu butoxybenzenu na litr energetického produktu.  </w:t>
      </w:r>
    </w:p>
    <w:p w14:paraId="63EC45D4" w14:textId="77777777" w:rsidR="00CF0688" w:rsidRPr="00165215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sz w:val="24"/>
          <w:szCs w:val="24"/>
        </w:rPr>
      </w:pPr>
    </w:p>
    <w:p w14:paraId="7A3FB76B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 w:cs="Franklin Gothic Medium"/>
          <w:color w:val="000000"/>
        </w:rPr>
      </w:pPr>
    </w:p>
    <w:p w14:paraId="796C892A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Článek 3</w:t>
      </w:r>
    </w:p>
    <w:p w14:paraId="53D715D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Laboratorní zkušební metoda</w:t>
      </w:r>
    </w:p>
    <w:p w14:paraId="7D6E474D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 w:cs="Franklin Gothic Medium"/>
          <w:b/>
          <w:color w:val="000000"/>
        </w:rPr>
      </w:pPr>
    </w:p>
    <w:p w14:paraId="0AB23F86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Pro stanovení butoxybenzenu – účinné složky </w:t>
      </w:r>
      <w:r>
        <w:rPr>
          <w:rFonts w:ascii="Franklin Gothic Medium" w:hAnsi="Franklin Gothic Medium"/>
          <w:color w:val="000000"/>
          <w:shd w:val="clear" w:color="auto" w:fill="FFFFFF"/>
        </w:rPr>
        <w:t>ACCUTRACE</w:t>
      </w:r>
      <w:r>
        <w:rPr>
          <w:rFonts w:ascii="Franklin Gothic Medium" w:hAnsi="Franklin Gothic Medium"/>
          <w:color w:val="000000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color w:val="000000"/>
          <w:shd w:val="clear" w:color="auto" w:fill="FFFFFF"/>
        </w:rPr>
        <w:t>PLUS,</w:t>
      </w:r>
      <w:r>
        <w:rPr>
          <w:rFonts w:ascii="Franklin Gothic Medium" w:hAnsi="Franklin Gothic Medium"/>
          <w:color w:val="000000"/>
        </w:rPr>
        <w:t xml:space="preserve"> v topném plynovém oleji, 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lodním plynovém oleji a lodní morové naftě, jakož i v petroleji pro domácnost (topení petroleje) </w:t>
      </w:r>
      <w:r>
        <w:rPr>
          <w:rFonts w:ascii="Franklin Gothic Medium" w:hAnsi="Franklin Gothic Medium"/>
          <w:color w:val="000000"/>
        </w:rPr>
        <w:t>v koncentraci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9,5 miligramů butoxybenzenu na litr energetického produktu</w:t>
      </w:r>
      <w:r>
        <w:rPr>
          <w:rFonts w:ascii="Franklin Gothic Medium" w:hAnsi="Franklin Gothic Medium"/>
          <w:color w:val="000000"/>
        </w:rPr>
        <w:t xml:space="preserve"> se používá dvourozměrný plynový chromatograf s hmotnostním detektorem spektrometrie (GC – MS). </w:t>
      </w:r>
      <w:r>
        <w:rPr>
          <w:rFonts w:ascii="Franklin Gothic Medium" w:hAnsi="Franklin Gothic Medium"/>
          <w:color w:val="000000"/>
          <w:highlight w:val="white"/>
          <w:shd w:val="clear" w:color="auto" w:fill="FFFFFF"/>
        </w:rPr>
        <w:t xml:space="preserve">Metoda je založena na výzkumné zprávě Dow s názvem „Ověření metody dvourozměrné plynové chromatografie pro kvantifikaci stopovacího butylfenyletheru (BPE) v motorvé naftě“ („Validation of a Two-Dimensional Gas Chromatography Method for Quantification of the tracer butyl Phenyl Ether (BPE) in Diesel Fuel“), kterou Evropská komise oznámila členským státům. </w:t>
      </w:r>
    </w:p>
    <w:p w14:paraId="733BB68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highlight w:val="white"/>
          <w:shd w:val="clear" w:color="auto" w:fill="FFFFFF"/>
        </w:rPr>
        <w:t>Je třeba poznamenat, že sloučenina butylfenyletheru je totožná se sloučeninou s chemickým názvem IUPAC butoxybenzen.</w:t>
      </w:r>
    </w:p>
    <w:p w14:paraId="54D6DB8B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51B156CF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1B5C31F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u w:val="single"/>
        </w:rPr>
        <w:t>Začátek</w:t>
      </w:r>
      <w:r>
        <w:rPr>
          <w:rFonts w:ascii="Franklin Gothic Medium" w:hAnsi="Franklin Gothic Medium"/>
          <w:color w:val="000000"/>
        </w:rPr>
        <w:t xml:space="preserve">  </w:t>
      </w:r>
    </w:p>
    <w:p w14:paraId="3AF4D639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shd w:val="clear" w:color="auto" w:fill="FFFFFF"/>
        </w:rPr>
        <w:t>Energetický produkt</w:t>
      </w:r>
      <w:r>
        <w:rPr>
          <w:rFonts w:ascii="Franklin Gothic Medium" w:hAnsi="Franklin Gothic Medium"/>
          <w:color w:val="000000"/>
        </w:rPr>
        <w:t xml:space="preserve"> se analyzuje metodou dvourozměrné plynové chromatografie s kapilárními kolonami a vhodným teplotním plánem s použitím detektorů plamenové ionizace (FID) a hmotnostních (MS).  Používá se Deanův spínač a 3 kolony různé polarity. </w:t>
      </w:r>
    </w:p>
    <w:p w14:paraId="5DCB2338" w14:textId="77777777" w:rsidR="00CF0688" w:rsidRDefault="00FE2D8D">
      <w:pPr>
        <w:pStyle w:val="ListParagraph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Kvantifikace butoxybenzenu se provádí pomocí detektoru hmotnostní spektrometrie pomocí elektronové ionizace dopadu a vybraného iontu (SIM), konkrétně iontu s m/z 94 (kvantifikační iont) a iontu s m/z 150 (potvrzovací iont). </w:t>
      </w:r>
    </w:p>
    <w:p w14:paraId="5513055E" w14:textId="77777777" w:rsidR="00CF0688" w:rsidRDefault="00FE2D8D">
      <w:pPr>
        <w:pStyle w:val="ListParagraph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Fungování chromatografu a výpočet výsledků jsou upraveny vhodným softwarem.</w:t>
      </w:r>
    </w:p>
    <w:p w14:paraId="55C1C1D0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  <w:u w:val="single"/>
        </w:rPr>
      </w:pPr>
    </w:p>
    <w:p w14:paraId="05351A2A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u w:val="single"/>
        </w:rPr>
        <w:t>Činidla a jiné materiály</w:t>
      </w:r>
    </w:p>
    <w:p w14:paraId="61396950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1. Obecně</w:t>
      </w:r>
    </w:p>
    <w:p w14:paraId="728A1AC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lastRenderedPageBreak/>
        <w:t>— Héliový inertní plyn chromatografické čistoty</w:t>
      </w:r>
    </w:p>
    <w:p w14:paraId="3731E94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— Nesledovaný topný plynový olej </w:t>
      </w:r>
      <w:r>
        <w:rPr>
          <w:rFonts w:ascii="Franklin Gothic Medium" w:hAnsi="Franklin Gothic Medium"/>
          <w:color w:val="000000"/>
          <w:shd w:val="clear" w:color="auto" w:fill="FFFFFF"/>
        </w:rPr>
        <w:t>lodní plynový olej a lodní naftový olej, stejně jako petrolej pro domácnost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 xml:space="preserve"> 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(topný petrolej), </w:t>
      </w:r>
      <w:r>
        <w:rPr>
          <w:rFonts w:ascii="Franklin Gothic Medium" w:hAnsi="Franklin Gothic Medium"/>
          <w:color w:val="000000"/>
        </w:rPr>
        <w:t>pro přípravu kalibračních norem.</w:t>
      </w:r>
    </w:p>
    <w:p w14:paraId="10D04B5A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Správná rozpouštědla pro čištění automatického vzorkovače.</w:t>
      </w:r>
    </w:p>
    <w:p w14:paraId="21E77265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471C571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2. Kalibrační normy</w:t>
      </w:r>
    </w:p>
    <w:p w14:paraId="25461BB9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Standardní roztoky </w:t>
      </w:r>
      <w:r>
        <w:rPr>
          <w:rFonts w:ascii="Franklin Gothic Medium" w:hAnsi="Franklin Gothic Medium"/>
          <w:color w:val="000000"/>
          <w:highlight w:val="white"/>
        </w:rPr>
        <w:t>butoxybenzenu</w:t>
      </w:r>
      <w:r>
        <w:rPr>
          <w:rFonts w:ascii="Franklin Gothic Medium" w:hAnsi="Franklin Gothic Medium"/>
          <w:color w:val="000000"/>
        </w:rPr>
        <w:t xml:space="preserve"> se připravují z certifikovaného referenčního materiálu (CRM) nebo ze zásobního roztoku známé koncentrace.</w:t>
      </w:r>
    </w:p>
    <w:p w14:paraId="0DA2402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Pro vytvoření kalibrační křivky se používá nesledovaný topný plynový olej, </w:t>
      </w:r>
      <w:r>
        <w:rPr>
          <w:rFonts w:ascii="Franklin Gothic Medium" w:hAnsi="Franklin Gothic Medium"/>
          <w:color w:val="000000"/>
          <w:shd w:val="clear" w:color="auto" w:fill="FFFFFF"/>
        </w:rPr>
        <w:t>lodní plynový olej a lodní motorová nafta, stejně jako petrolej pro domácnost (topný petrolej</w:t>
      </w:r>
      <w:r>
        <w:rPr>
          <w:rFonts w:ascii="Franklin Gothic Medium" w:hAnsi="Franklin Gothic Medium"/>
          <w:color w:val="000000"/>
        </w:rPr>
        <w:t xml:space="preserve">) a 7 standardních roztoků butoxybenzenu se připravuje v koncentračním rozmezí </w:t>
      </w:r>
      <w:r>
        <w:rPr>
          <w:rFonts w:ascii="Franklin Gothic Medium" w:hAnsi="Franklin Gothic Medium"/>
          <w:color w:val="000000"/>
          <w:shd w:val="clear" w:color="auto" w:fill="FFFFFF"/>
        </w:rPr>
        <w:t>0,095–11,875 mg.L</w:t>
      </w:r>
      <w:r>
        <w:rPr>
          <w:rFonts w:ascii="Franklin Gothic Medium" w:hAnsi="Franklin Gothic Medium"/>
          <w:color w:val="000000"/>
          <w:shd w:val="clear" w:color="auto" w:fill="FFFFFF"/>
          <w:vertAlign w:val="superscript"/>
        </w:rPr>
        <w:t>-1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z butoxybenzenu v energetickém produktu.</w:t>
      </w:r>
    </w:p>
    <w:p w14:paraId="2484F27D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1B576DB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u w:val="single"/>
        </w:rPr>
        <w:t>Vybavení</w:t>
      </w:r>
    </w:p>
    <w:p w14:paraId="0418EA30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1. Plynový chromatograf vybavený elektronickým systémem řízení tlaku a nerozděleným vstřikovačem.</w:t>
      </w:r>
    </w:p>
    <w:p w14:paraId="4ADCEBB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2.  Plamenový ionizační detektor (FID).</w:t>
      </w:r>
    </w:p>
    <w:p w14:paraId="184B686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3. Detektor hmotnostní spektrometrie s technikou ionizace elektronového paprsku, připojený k chromatografu přenosovou linkou.</w:t>
      </w:r>
    </w:p>
    <w:p w14:paraId="1FF1159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4. Tři (3) kapilární kolony různé polarity: první, 50 % fenylový typ (15x0,25x0,15) spojuje vstřikovač s Deanovým přepínačem, druhý, voskový typ (30x0.25x1.00) připojuje Deanův přepínač k MSD a třetí je tavená kolona z křemenného skla (0,64x0.1), který spojuje Deanův přepínač s FID.</w:t>
      </w:r>
    </w:p>
    <w:p w14:paraId="7ED69B2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5. Automatický vzorkovač se stříkačkou schopnou s přesností poskytovat objem 5 μl.</w:t>
      </w:r>
    </w:p>
    <w:p w14:paraId="0A0AD15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6. Počítač se správným softwarem, který stahuje a zpracovává data.</w:t>
      </w:r>
    </w:p>
    <w:p w14:paraId="5C0E4DB9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2BC89ED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u w:val="single"/>
        </w:rPr>
        <w:t>Postup</w:t>
      </w:r>
    </w:p>
    <w:p w14:paraId="4A82F99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Nejprve je vytvořena kalibrační křivka s výše uvedenými kalibračními standardy.</w:t>
      </w:r>
    </w:p>
    <w:p w14:paraId="1DAD30D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Pro detekci sledovací látky se používá ionizace elektronového paprsku a</w:t>
      </w:r>
    </w:p>
    <w:p w14:paraId="1837FAB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technika SIM: iontu s m/z 94 (kvantifikační iont) a iontu s m/z 150 (potvrzovací iont). </w:t>
      </w:r>
    </w:p>
    <w:p w14:paraId="369AA21D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Jako optimální provozní parametry GC – MS se doporučují následující:</w:t>
      </w:r>
    </w:p>
    <w:p w14:paraId="654A05A1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  <w:u w:val="single"/>
        </w:rPr>
      </w:pPr>
    </w:p>
    <w:p w14:paraId="63C6DC2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Teplota kolony (pec)</w:t>
      </w:r>
    </w:p>
    <w:p w14:paraId="5EF9EA16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Podle teplotního schématu trouby je počáteční teplota 100 °C udržována po dobu 0,5 min a zvyšuje se rychlostí 10 °C.min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 xml:space="preserve"> až 180 °C, kde je stabilizována na </w:t>
      </w:r>
      <w:r>
        <w:rPr>
          <w:rFonts w:ascii="Franklin Gothic Medium" w:hAnsi="Franklin Gothic Medium"/>
          <w:color w:val="000000"/>
          <w:highlight w:val="white"/>
        </w:rPr>
        <w:t>0,0​​</w:t>
      </w:r>
      <w:r>
        <w:rPr>
          <w:rFonts w:ascii="Franklin Gothic Medium" w:hAnsi="Franklin Gothic Medium"/>
          <w:color w:val="000000"/>
        </w:rPr>
        <w:t xml:space="preserve"> min, pak se zvyšuje rychlostí 30 °C.min.</w:t>
      </w:r>
      <w:r>
        <w:rPr>
          <w:rFonts w:ascii="Franklin Gothic Medium" w:hAnsi="Franklin Gothic Medium"/>
          <w:color w:val="000000"/>
          <w:vertAlign w:val="superscript"/>
        </w:rPr>
        <w:t>-1,</w:t>
      </w:r>
      <w:r>
        <w:rPr>
          <w:rFonts w:ascii="Franklin Gothic Medium" w:hAnsi="Franklin Gothic Medium"/>
          <w:color w:val="000000"/>
        </w:rPr>
        <w:t xml:space="preserve"> až 260 °C, kde je stabilizována po dobu 4,0 min. </w:t>
      </w:r>
    </w:p>
    <w:p w14:paraId="3496473A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043751DE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Vstřikovač (rozdělený/nerozdělený)</w:t>
      </w:r>
    </w:p>
    <w:p w14:paraId="594C644C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Teplota děleného/nerozděleného injektoru s děleným poměrem 100:1 je 250 °C a objem vstřikovaného vzorku je 1μl. Tok nosného plynu (helia) ve kolonách je: Pro první kolonu: 1,0 mL.min.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 xml:space="preserve"> po dobu 5,0 min, změna při 99 mL.min.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>, stabilizace po dobu 10,1 min (krok vymytí).  Pro druhou kolonu: 2,5 ml.min.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 xml:space="preserve"> konstantní průtok.</w:t>
      </w:r>
    </w:p>
    <w:p w14:paraId="62B0AFB8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 w:cs="Franklin Gothic Medium"/>
          <w:color w:val="000000"/>
        </w:rPr>
      </w:pPr>
    </w:p>
    <w:p w14:paraId="2F520634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Plamenový ionizační detektor (FID)</w:t>
      </w:r>
    </w:p>
    <w:p w14:paraId="78C4C2FE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Použije se plamenový ionizační detektor (FID) pracující při teplotě 260 °C.</w:t>
      </w:r>
    </w:p>
    <w:p w14:paraId="2F797CC4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 w:cs="Franklin Gothic Medium"/>
          <w:color w:val="000000"/>
        </w:rPr>
      </w:pPr>
    </w:p>
    <w:p w14:paraId="62B433A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Detektor hmotnosti (MS Detector)</w:t>
      </w:r>
    </w:p>
    <w:p w14:paraId="362EA6AC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 Hmotnostní detektor (MS Detector) se používá spolu s ionizací elektronových paprsků a vybraným monitorováním iontů (SIM), které funguje za těchto podmínek:</w:t>
      </w:r>
      <w:r>
        <w:rPr>
          <w:rFonts w:ascii="Franklin Gothic Medium" w:hAnsi="Franklin Gothic Medium"/>
          <w:color w:val="000000"/>
        </w:rPr>
        <w:br/>
        <w:t>Teplota iontového zdroje je 250 °C.  Teplota kvadrupólu (MS Quad) je 200 °C. Teplota přenosového vedení je 260 °C. Doba zpoždění rozpouštědla je 3,00 min. m/z: 94 se použije jako kvantifikační iont a m/z: 150 jako potvrzovací iont.  Čas setrvání je 100 ms.</w:t>
      </w:r>
    </w:p>
    <w:p w14:paraId="36BCEAE1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 w:cs="Franklin Gothic Medium"/>
          <w:color w:val="000000"/>
        </w:rPr>
      </w:pPr>
    </w:p>
    <w:p w14:paraId="088B7DC7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lastRenderedPageBreak/>
        <w:t>Aby byla zajištěna kvalita výsledků, doporučuje se používat interní systém kontroly kvality s pravidelnou analýzou vzorku kontroly kvality.</w:t>
      </w:r>
    </w:p>
    <w:p w14:paraId="6A64EC12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3CC151E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Pro společné určení </w:t>
      </w:r>
      <w:r>
        <w:rPr>
          <w:rFonts w:ascii="Franklin Gothic Medium" w:hAnsi="Franklin Gothic Medium"/>
          <w:color w:val="000000"/>
          <w:shd w:val="clear" w:color="auto" w:fill="FFFFFF"/>
        </w:rPr>
        <w:t>ACCUTRACE</w:t>
      </w:r>
      <w:r>
        <w:rPr>
          <w:rFonts w:ascii="Franklin Gothic Medium" w:hAnsi="Franklin Gothic Medium"/>
          <w:color w:val="000000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PLUS a vnitrostátních molekulárních technologických stopovacích látek FT36 a FT39</w:t>
      </w:r>
      <w:r>
        <w:rPr>
          <w:rFonts w:ascii="Franklin Gothic Medium" w:hAnsi="Franklin Gothic Medium"/>
          <w:color w:val="000000"/>
        </w:rPr>
        <w:t xml:space="preserve"> může být použita alternativní metoda plynové chromatografie s vhodnými kolonami a detektory, pokud lze prokázat, že poskytuje alespoň stejnou přesnost a alespoň stejnou úroveň přesnosti jako analytická metoda, kterou nahrazuje.</w:t>
      </w:r>
    </w:p>
    <w:p w14:paraId="5F6F927C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56538626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</w:p>
    <w:p w14:paraId="5D4E373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 </w:t>
      </w:r>
    </w:p>
    <w:p w14:paraId="1CAA44C1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Článek 4</w:t>
      </w:r>
    </w:p>
    <w:p w14:paraId="4B1C63EC" w14:textId="43DE501A" w:rsidR="00CF0688" w:rsidRDefault="00FE2D8D">
      <w:pPr>
        <w:tabs>
          <w:tab w:val="left" w:pos="0"/>
        </w:tabs>
        <w:ind w:hanging="1080"/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Kvalitativní charakteristiky zkušební metody</w:t>
      </w:r>
    </w:p>
    <w:p w14:paraId="1B323D56" w14:textId="77777777" w:rsidR="00CF0688" w:rsidRDefault="00FE2D8D">
      <w:pPr>
        <w:tabs>
          <w:tab w:val="left" w:pos="0"/>
        </w:tabs>
        <w:ind w:hanging="108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</w:p>
    <w:p w14:paraId="7167D598" w14:textId="77777777" w:rsidR="00CF0688" w:rsidRDefault="00FE2D8D">
      <w:pPr>
        <w:tabs>
          <w:tab w:val="left" w:pos="0"/>
        </w:tabs>
        <w:ind w:hanging="108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  <w:t xml:space="preserve">Výkonnostní charakteristiky metody se stanoví po jejím ověření v souladu s požadavky ELOT EN ISO IEC 17025. </w:t>
      </w:r>
    </w:p>
    <w:p w14:paraId="377A21C1" w14:textId="77777777" w:rsidR="00CF0688" w:rsidRDefault="00FE2D8D">
      <w:pPr>
        <w:shd w:val="clear" w:color="auto" w:fill="FFFFFF"/>
        <w:tabs>
          <w:tab w:val="left" w:pos="0"/>
        </w:tabs>
        <w:ind w:hanging="108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ab/>
      </w:r>
      <w:r>
        <w:rPr>
          <w:rFonts w:ascii="Franklin Gothic Medium" w:hAnsi="Franklin Gothic Medium"/>
          <w:b/>
          <w:color w:val="000000"/>
        </w:rPr>
        <w:tab/>
      </w:r>
      <w:r>
        <w:rPr>
          <w:rFonts w:ascii="Franklin Gothic Medium" w:hAnsi="Franklin Gothic Medium"/>
          <w:color w:val="000000"/>
        </w:rPr>
        <w:t>V případě pochybností o výsledcích zkoušek musí být tyto výsledky vyhodnoceny a interpretovány v souladu s normou ELOT EN ISO 4259:2018.</w:t>
      </w:r>
    </w:p>
    <w:p w14:paraId="636DB490" w14:textId="77777777" w:rsidR="00CF0688" w:rsidRDefault="00CF0688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Franklin Gothic Medium" w:hAnsi="Franklin Gothic Medium" w:cs="Franklin Gothic Medium"/>
          <w:b/>
          <w:color w:val="000000"/>
          <w:highlight w:val="yellow"/>
        </w:rPr>
      </w:pPr>
    </w:p>
    <w:p w14:paraId="02B4F526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Franklin Gothic Medium" w:hAnsi="Franklin Gothic Medium" w:cs="Franklin Gothic Medium"/>
          <w:b/>
          <w:color w:val="000000"/>
          <w:highlight w:val="yellow"/>
        </w:rPr>
      </w:pPr>
    </w:p>
    <w:p w14:paraId="732D5771" w14:textId="77777777" w:rsidR="00CF0688" w:rsidRDefault="00FE2D8D">
      <w:pPr>
        <w:tabs>
          <w:tab w:val="left" w:pos="0"/>
        </w:tabs>
        <w:ind w:hanging="108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</w:p>
    <w:p w14:paraId="2D808370" w14:textId="77777777" w:rsidR="00CF0688" w:rsidRDefault="00FE2D8D">
      <w:pPr>
        <w:pStyle w:val="Heading8"/>
        <w:jc w:val="center"/>
        <w:rPr>
          <w:rFonts w:ascii="Franklin Gothic Medium" w:hAnsi="Franklin Gothic Medium" w:cs="Franklin Gothic Medium"/>
          <w:b/>
          <w:color w:val="000000"/>
          <w:sz w:val="24"/>
          <w:szCs w:val="24"/>
        </w:rPr>
      </w:pPr>
      <w:r>
        <w:rPr>
          <w:rFonts w:ascii="Franklin Gothic Medium" w:hAnsi="Franklin Gothic Medium"/>
          <w:b/>
          <w:color w:val="000000"/>
          <w:sz w:val="24"/>
        </w:rPr>
        <w:t>Článek 5</w:t>
      </w:r>
    </w:p>
    <w:p w14:paraId="363F342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Zkušební metoda pro kontroly na místě</w:t>
      </w:r>
      <w:r>
        <w:rPr>
          <w:rFonts w:ascii="Franklin Gothic Medium" w:hAnsi="Franklin Gothic Medium"/>
          <w:color w:val="000000"/>
        </w:rPr>
        <w:t xml:space="preserve"> </w:t>
      </w:r>
    </w:p>
    <w:p w14:paraId="31BFCB07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 w:cs="Franklin Gothic Medium"/>
          <w:color w:val="000000"/>
        </w:rPr>
      </w:pPr>
    </w:p>
    <w:p w14:paraId="25DC9ABE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Pro orientační kontroly na místě se vzorek </w:t>
      </w:r>
      <w:r>
        <w:rPr>
          <w:rFonts w:ascii="Franklin Gothic Medium" w:hAnsi="Franklin Gothic Medium"/>
          <w:color w:val="000000"/>
          <w:highlight w:val="white"/>
        </w:rPr>
        <w:t>energetického produktu</w:t>
      </w:r>
      <w:r>
        <w:rPr>
          <w:rFonts w:ascii="Franklin Gothic Medium" w:hAnsi="Franklin Gothic Medium"/>
          <w:color w:val="000000"/>
        </w:rPr>
        <w:t xml:space="preserve"> bez předchozího ošetření analyzuje vhodným plynovým chromatografem, kapilárními kolonami a vhodným teplotním plánem za použití vhodných detektorů (FID a/nebo MS).  </w:t>
      </w:r>
    </w:p>
    <w:p w14:paraId="1B2944A4" w14:textId="77777777" w:rsidR="00CF0688" w:rsidRDefault="00CF0688">
      <w:pPr>
        <w:tabs>
          <w:tab w:val="left" w:pos="0"/>
        </w:tabs>
        <w:rPr>
          <w:rFonts w:ascii="Franklin Gothic Medium" w:hAnsi="Franklin Gothic Medium" w:cs="Franklin Gothic Medium"/>
          <w:color w:val="000000"/>
        </w:rPr>
      </w:pPr>
    </w:p>
    <w:p w14:paraId="193B0459" w14:textId="77777777" w:rsidR="00CF0688" w:rsidRDefault="00CF0688">
      <w:pPr>
        <w:tabs>
          <w:tab w:val="left" w:pos="0"/>
        </w:tabs>
        <w:jc w:val="center"/>
        <w:rPr>
          <w:rFonts w:ascii="Franklin Gothic Medium" w:hAnsi="Franklin Gothic Medium" w:cs="Franklin Gothic Medium"/>
          <w:color w:val="000000"/>
        </w:rPr>
      </w:pPr>
    </w:p>
    <w:p w14:paraId="082289BA" w14:textId="77777777" w:rsidR="00CF0688" w:rsidRDefault="00FE2D8D">
      <w:pPr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b/>
          <w:color w:val="000000"/>
        </w:rPr>
        <w:t>Článek 6</w:t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</w:p>
    <w:p w14:paraId="300A4B4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Zrušená ustanovení</w:t>
      </w:r>
    </w:p>
    <w:p w14:paraId="15F7EC05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632638E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>Okamžikem vstupu tohoto rozhodnutí v platnost pozbývají platnost tato ustanovení:</w:t>
      </w:r>
    </w:p>
    <w:p w14:paraId="4C61115D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(1) Čl. 3 odst. 3.2 rozhodnutí </w:t>
      </w:r>
      <w:r>
        <w:rPr>
          <w:rFonts w:ascii="Franklin Gothic Medium" w:hAnsi="Franklin Gothic Medium"/>
          <w:color w:val="000000"/>
          <w:highlight w:val="white"/>
        </w:rPr>
        <w:t>SCC</w:t>
      </w:r>
      <w:r>
        <w:rPr>
          <w:rFonts w:ascii="Franklin Gothic Medium" w:hAnsi="Franklin Gothic Medium"/>
          <w:color w:val="000000"/>
        </w:rPr>
        <w:t xml:space="preserve"> </w:t>
      </w:r>
      <w:r>
        <w:rPr>
          <w:rFonts w:ascii="Franklin Gothic Medium" w:hAnsi="Franklin Gothic Medium"/>
          <w:color w:val="000000"/>
          <w:highlight w:val="white"/>
        </w:rPr>
        <w:t>53/2015, „Potraviny pro dodávky lodí – Požadavky, zkušební metody a postupy pro barvení a vysledování lodního plynového oleje.“</w:t>
      </w:r>
      <w:r>
        <w:rPr>
          <w:rFonts w:ascii="Franklin Gothic Medium" w:hAnsi="Franklin Gothic Medium"/>
          <w:color w:val="000000"/>
        </w:rPr>
        <w:t xml:space="preserve"> (Vládní věstník Β’ 987/2015/16)</w:t>
      </w:r>
    </w:p>
    <w:p w14:paraId="42E3FFC4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highlight w:val="white"/>
        </w:rPr>
        <w:t>(2) Čl. 2 odst. 2 rozhodnutí SCC 468/2002 (Vládní věstník Β’ 1273/05.09.2003), „Postupy při barvení a stopování topného plynového oleje“ (Vládní věstník č. 1273/2002/03)</w:t>
      </w:r>
    </w:p>
    <w:p w14:paraId="3FD7DA0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highlight w:val="white"/>
        </w:rPr>
        <w:t>(3) Čl. 2 odst. 1 rozhodnutí SCC 469/2002 (Vládní věstník Β’ 1273/2003), „Specifikace a metody zkoušení topného petroleje.“ (Vládní věstník Β’ 1273/2002/03)</w:t>
      </w:r>
    </w:p>
    <w:p w14:paraId="56D3C729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  <w:lang w:val="en-US"/>
        </w:rPr>
      </w:pPr>
    </w:p>
    <w:p w14:paraId="158C4577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 w:cs="Franklin Gothic Medium"/>
          <w:color w:val="000000"/>
          <w:lang w:val="en-US"/>
        </w:rPr>
      </w:pPr>
    </w:p>
    <w:p w14:paraId="4151AA57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 </w:t>
      </w:r>
    </w:p>
    <w:p w14:paraId="7500A9B6" w14:textId="77777777" w:rsidR="00CF0688" w:rsidRDefault="00CF0688">
      <w:pPr>
        <w:spacing w:line="276" w:lineRule="auto"/>
        <w:rPr>
          <w:rFonts w:ascii="Franklin Gothic Medium" w:hAnsi="Franklin Gothic Medium"/>
        </w:rPr>
      </w:pPr>
    </w:p>
    <w:tbl>
      <w:tblPr>
        <w:tblpPr w:leftFromText="180" w:rightFromText="180" w:vertAnchor="text" w:horzAnchor="page" w:tblpX="1397" w:tblpY="195"/>
        <w:tblW w:w="10212" w:type="dxa"/>
        <w:tblLayout w:type="fixed"/>
        <w:tblLook w:val="01E0" w:firstRow="1" w:lastRow="1" w:firstColumn="1" w:lastColumn="1" w:noHBand="0" w:noVBand="0"/>
      </w:tblPr>
      <w:tblGrid>
        <w:gridCol w:w="364"/>
        <w:gridCol w:w="4368"/>
        <w:gridCol w:w="457"/>
        <w:gridCol w:w="1590"/>
        <w:gridCol w:w="2934"/>
        <w:gridCol w:w="499"/>
      </w:tblGrid>
      <w:tr w:rsidR="00CF0688" w14:paraId="5C783656" w14:textId="77777777">
        <w:trPr>
          <w:trHeight w:val="1326"/>
        </w:trPr>
        <w:tc>
          <w:tcPr>
            <w:tcW w:w="4731" w:type="dxa"/>
            <w:gridSpan w:val="2"/>
          </w:tcPr>
          <w:p w14:paraId="357BB0B7" w14:textId="77777777" w:rsidR="00CF0688" w:rsidRDefault="00FE2D8D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t xml:space="preserve">       PŘEDSEDA</w:t>
            </w:r>
          </w:p>
          <w:p w14:paraId="65373139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11684242" w14:textId="77777777" w:rsidR="00CF0688" w:rsidRDefault="00CF0688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  <w:p w14:paraId="67C29CB0" w14:textId="42B3C372" w:rsidR="00CF0688" w:rsidRDefault="00FE2D8D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t>EVANGELOS BAKEAS</w:t>
            </w:r>
          </w:p>
        </w:tc>
        <w:tc>
          <w:tcPr>
            <w:tcW w:w="457" w:type="dxa"/>
          </w:tcPr>
          <w:p w14:paraId="30020D6A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59C9708D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1FEFB148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4970EBC0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  <w:tc>
          <w:tcPr>
            <w:tcW w:w="4524" w:type="dxa"/>
            <w:gridSpan w:val="2"/>
          </w:tcPr>
          <w:p w14:paraId="0C11015D" w14:textId="77777777" w:rsidR="00CF0688" w:rsidRDefault="00FE2D8D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t xml:space="preserve">          TAJEMNICE</w:t>
            </w:r>
          </w:p>
          <w:p w14:paraId="036E13BF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30F83A63" w14:textId="77777777" w:rsidR="00CF0688" w:rsidRDefault="00CF0688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3DE4C40D" w14:textId="77777777" w:rsidR="00CF0688" w:rsidRDefault="00FE2D8D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t>ELENI BANIA-GEORGOPOULOU</w:t>
            </w:r>
          </w:p>
        </w:tc>
        <w:tc>
          <w:tcPr>
            <w:tcW w:w="499" w:type="dxa"/>
          </w:tcPr>
          <w:p w14:paraId="0C4209A2" w14:textId="77777777" w:rsidR="00CF0688" w:rsidRDefault="00CF0688">
            <w:pPr>
              <w:widowControl w:val="0"/>
            </w:pPr>
          </w:p>
        </w:tc>
      </w:tr>
      <w:tr w:rsidR="00CF0688" w14:paraId="3658E900" w14:textId="77777777">
        <w:trPr>
          <w:trHeight w:val="267"/>
        </w:trPr>
        <w:tc>
          <w:tcPr>
            <w:tcW w:w="363" w:type="dxa"/>
          </w:tcPr>
          <w:p w14:paraId="0AC95AB6" w14:textId="77777777" w:rsidR="00CF0688" w:rsidRDefault="00CF0688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4825" w:type="dxa"/>
            <w:gridSpan w:val="2"/>
          </w:tcPr>
          <w:p w14:paraId="69A9A6F2" w14:textId="77777777" w:rsidR="00CF0688" w:rsidRDefault="00CF0688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2C767FE9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  <w:tc>
          <w:tcPr>
            <w:tcW w:w="3433" w:type="dxa"/>
            <w:gridSpan w:val="2"/>
          </w:tcPr>
          <w:p w14:paraId="5915D9FF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</w:tr>
    </w:tbl>
    <w:p w14:paraId="0BEF64EB" w14:textId="77777777" w:rsidR="00CF0688" w:rsidRDefault="00CF0688">
      <w:pPr>
        <w:pStyle w:val="BodyTextIndent"/>
        <w:spacing w:line="276" w:lineRule="auto"/>
        <w:ind w:left="0"/>
        <w:jc w:val="both"/>
        <w:rPr>
          <w:rFonts w:ascii="Franklin Gothic Medium" w:hAnsi="Franklin Gothic Medium" w:cs="Arial"/>
        </w:rPr>
      </w:pPr>
    </w:p>
    <w:sectPr w:rsidR="00CF0688">
      <w:pgSz w:w="11906" w:h="16838"/>
      <w:pgMar w:top="851" w:right="1106" w:bottom="1440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88"/>
    <w:rsid w:val="00165215"/>
    <w:rsid w:val="00425E76"/>
    <w:rsid w:val="004F5269"/>
    <w:rsid w:val="005D031B"/>
    <w:rsid w:val="006E2E77"/>
    <w:rsid w:val="00B63334"/>
    <w:rsid w:val="00CF0688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9E7E"/>
  <w15:docId w15:val="{047C9FB7-6C49-406C-B3BC-D97FA686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84"/>
    <w:rPr>
      <w:sz w:val="24"/>
      <w:szCs w:val="24"/>
      <w:lang w:eastAsia="el-GR"/>
    </w:rPr>
  </w:style>
  <w:style w:type="paragraph" w:styleId="Heading1">
    <w:name w:val="heading 1"/>
    <w:basedOn w:val="Normal"/>
    <w:next w:val="Normal"/>
    <w:qFormat/>
    <w:rsid w:val="00942284"/>
    <w:pPr>
      <w:keepNext/>
      <w:jc w:val="both"/>
      <w:outlineLvl w:val="0"/>
    </w:pPr>
    <w:rPr>
      <w:rFonts w:ascii="Arial" w:eastAsia="Arial Unicode MS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942284"/>
    <w:pPr>
      <w:keepNext/>
      <w:outlineLvl w:val="2"/>
    </w:pPr>
    <w:rPr>
      <w:rFonts w:ascii="Arial" w:eastAsia="Arial Unicode MS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E59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22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9352AE"/>
    <w:rPr>
      <w:rFonts w:ascii="Arial" w:hAnsi="Arial" w:cs="Arial"/>
      <w:sz w:val="24"/>
      <w:szCs w:val="24"/>
      <w:lang w:val="cs-CZ" w:eastAsia="el-GR" w:bidi="ar-SA"/>
    </w:rPr>
  </w:style>
  <w:style w:type="character" w:styleId="PlaceholderText">
    <w:name w:val="Placeholder Text"/>
    <w:basedOn w:val="DefaultParagraphFont"/>
    <w:uiPriority w:val="99"/>
    <w:semiHidden/>
    <w:qFormat/>
    <w:rsid w:val="00671BD0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671BD0"/>
    <w:rPr>
      <w:rFonts w:ascii="Comic Sans MS" w:hAnsi="Comic Sans MS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F7BA1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17D4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17D4B"/>
    <w:rPr>
      <w:lang w:val="cs-CZ" w:eastAsia="el-G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17D4B"/>
    <w:rPr>
      <w:b/>
      <w:bCs/>
      <w:lang w:val="cs-CZ" w:eastAsia="el-GR"/>
    </w:rPr>
  </w:style>
  <w:style w:type="character" w:customStyle="1" w:styleId="BodyTextIndent2Char">
    <w:name w:val="Body Text Indent 2 Char"/>
    <w:qFormat/>
    <w:rsid w:val="00334B2A"/>
    <w:rPr>
      <w:sz w:val="24"/>
      <w:szCs w:val="24"/>
    </w:rPr>
  </w:style>
  <w:style w:type="character" w:customStyle="1" w:styleId="Char">
    <w:name w:val="Απλό κείμενο Char"/>
    <w:basedOn w:val="DefaultParagraphFont"/>
    <w:uiPriority w:val="99"/>
    <w:semiHidden/>
    <w:qFormat/>
    <w:rsid w:val="003D1F0F"/>
    <w:rPr>
      <w:rFonts w:ascii="Consolas" w:hAnsi="Consolas"/>
      <w:sz w:val="21"/>
      <w:szCs w:val="21"/>
      <w:lang w:val="cs-CZ" w:eastAsia="el-GR"/>
    </w:rPr>
  </w:style>
  <w:style w:type="character" w:customStyle="1" w:styleId="PlainTextChar">
    <w:name w:val="Plain Text Char"/>
    <w:link w:val="PlainText"/>
    <w:qFormat/>
    <w:rsid w:val="003D1F0F"/>
    <w:rPr>
      <w:rFonts w:ascii="Courier New" w:hAnsi="Courier New"/>
      <w:lang w:val="cs-CZ"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F7090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9E59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el-GR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42284"/>
    <w:pPr>
      <w:jc w:val="both"/>
    </w:pPr>
    <w:rPr>
      <w:rFonts w:ascii="Arial" w:hAnsi="Arial" w:cs="Arial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rsid w:val="00A44D8E"/>
    <w:pPr>
      <w:ind w:firstLine="720"/>
      <w:jc w:val="both"/>
    </w:pPr>
    <w:rPr>
      <w:rFonts w:ascii="Comic Sans MS" w:hAnsi="Comic Sans MS" w:cs="Arial"/>
      <w:sz w:val="22"/>
      <w:szCs w:val="22"/>
    </w:rPr>
  </w:style>
  <w:style w:type="paragraph" w:styleId="BodyText3">
    <w:name w:val="Body Text 3"/>
    <w:basedOn w:val="Normal"/>
    <w:qFormat/>
    <w:rsid w:val="00942284"/>
    <w:pPr>
      <w:jc w:val="both"/>
    </w:pPr>
    <w:rPr>
      <w:rFonts w:ascii="Arial" w:hAnsi="Arial" w:cs="Arial"/>
      <w:sz w:val="20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1D35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rsid w:val="0007142E"/>
    <w:pPr>
      <w:spacing w:after="120"/>
      <w:ind w:left="283"/>
    </w:pPr>
  </w:style>
  <w:style w:type="paragraph" w:styleId="BodyText2">
    <w:name w:val="Body Text 2"/>
    <w:basedOn w:val="Normal"/>
    <w:qFormat/>
    <w:rsid w:val="00BD5E82"/>
    <w:pPr>
      <w:spacing w:after="120" w:line="480" w:lineRule="auto"/>
    </w:pPr>
  </w:style>
  <w:style w:type="paragraph" w:styleId="BalloonText">
    <w:name w:val="Balloon Text"/>
    <w:basedOn w:val="Normal"/>
    <w:semiHidden/>
    <w:qFormat/>
    <w:rsid w:val="002B174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904FD"/>
    <w:pPr>
      <w:textAlignment w:val="baseline"/>
    </w:pPr>
    <w:rPr>
      <w:kern w:val="2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17D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17D4B"/>
    <w:rPr>
      <w:b/>
      <w:bCs/>
    </w:rPr>
  </w:style>
  <w:style w:type="paragraph" w:styleId="PlainText">
    <w:name w:val="Plain Text"/>
    <w:basedOn w:val="Normal"/>
    <w:link w:val="PlainTextChar"/>
    <w:qFormat/>
    <w:rsid w:val="003D1F0F"/>
    <w:rPr>
      <w:rFonts w:ascii="Courier New" w:hAnsi="Courier New"/>
      <w:sz w:val="20"/>
      <w:szCs w:val="20"/>
    </w:rPr>
  </w:style>
  <w:style w:type="paragraph" w:customStyle="1" w:styleId="-HTML1">
    <w:name w:val="Προ-διαμορφωμένο HTML1"/>
    <w:basedOn w:val="Normal"/>
    <w:qFormat/>
    <w:rsid w:val="009E59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ListParagraph1">
    <w:name w:val="List Paragraph1"/>
    <w:basedOn w:val="Normal"/>
    <w:qFormat/>
    <w:rsid w:val="009E59BD"/>
    <w:pPr>
      <w:ind w:left="720"/>
    </w:pPr>
    <w:rPr>
      <w:lang w:eastAsia="zh-CN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94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axs@aade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CF9F-29E7-43B7-93BC-45FF26F6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1374</Words>
  <Characters>7833</Characters>
  <Application>Microsoft Office Word</Application>
  <DocSecurity>0</DocSecurity>
  <Lines>65</Lines>
  <Paragraphs>18</Paragraphs>
  <ScaleCrop>false</ScaleCrop>
  <Company>GXK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Liana Brili</cp:lastModifiedBy>
  <cp:revision>9</cp:revision>
  <cp:lastPrinted>2022-10-17T05:05:00Z</cp:lastPrinted>
  <dcterms:created xsi:type="dcterms:W3CDTF">2022-10-17T05:13:00Z</dcterms:created>
  <dcterms:modified xsi:type="dcterms:W3CDTF">2022-10-31T15:37:00Z</dcterms:modified>
  <dc:language>en-US</dc:language>
</cp:coreProperties>
</file>