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3A61F6" w:rsidRDefault="000A10E8" w:rsidP="0063165A">
      <w:pPr>
        <w:rPr>
          <w:rFonts w:ascii="Arial" w:hAnsi="Arial" w:cs="Arial"/>
          <w:b/>
          <w:sz w:val="24"/>
          <w:szCs w:val="24"/>
        </w:rPr>
      </w:pPr>
      <w:r>
        <w:rPr>
          <w:rFonts w:ascii="Courier New" w:hAnsi="Courier New"/>
        </w:rPr>
        <w:t>1. ---</w:t>
      </w:r>
      <w:r w:rsidR="0063165A">
        <w:rPr>
          <w:rFonts w:ascii="Courier New" w:hAnsi="Courier New"/>
        </w:rPr>
        <w:t>-</w:t>
      </w:r>
      <w:r>
        <w:rPr>
          <w:rFonts w:ascii="Courier New" w:hAnsi="Courier New"/>
        </w:rPr>
        <w:t xml:space="preserve">--IND- 2019 0087 GR- IT- ------ </w:t>
      </w:r>
      <w:r>
        <w:rPr>
          <w:rFonts w:ascii="Segoe UI" w:hAnsi="Segoe UI"/>
          <w:color w:val="000000"/>
        </w:rPr>
        <w:t>20201130</w:t>
      </w:r>
      <w:r>
        <w:rPr>
          <w:rFonts w:ascii="Calibri" w:hAnsi="Calibri"/>
        </w:rPr>
        <w:t xml:space="preserve"> </w:t>
      </w:r>
      <w:r>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63165A">
            <w:pPr>
              <w:pStyle w:val="Heading3"/>
              <w:rPr>
                <w:rFonts w:ascii="Times New Roman" w:hAnsi="Times New Roman"/>
                <w:sz w:val="22"/>
                <w:szCs w:val="22"/>
              </w:rPr>
            </w:pPr>
            <w:r>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63165A">
            <w:pPr>
              <w:jc w:val="center"/>
              <w:rPr>
                <w:rFonts w:ascii="Calibri" w:hAnsi="Calibri" w:cs="Calibri"/>
                <w:color w:val="002060"/>
                <w:sz w:val="24"/>
                <w:szCs w:val="18"/>
              </w:rPr>
            </w:pPr>
            <w:r>
              <w:rPr>
                <w:rFonts w:ascii="Calibri" w:hAnsi="Calibri"/>
                <w:color w:val="002060"/>
                <w:sz w:val="24"/>
              </w:rPr>
              <w:t>REPUBBLICA ELLENICA</w:t>
            </w:r>
          </w:p>
          <w:p w:rsidR="00BB5948" w:rsidRPr="008B72B9" w:rsidRDefault="00BB5948" w:rsidP="0063165A">
            <w:pPr>
              <w:jc w:val="center"/>
              <w:rPr>
                <w:rFonts w:ascii="Calibri" w:hAnsi="Calibri" w:cs="Calibri"/>
                <w:color w:val="002060"/>
                <w:sz w:val="24"/>
                <w:szCs w:val="18"/>
              </w:rPr>
            </w:pPr>
            <w:r>
              <w:rPr>
                <w:rFonts w:ascii="Calibri" w:hAnsi="Calibri"/>
                <w:b/>
                <w:color w:val="002060"/>
                <w:sz w:val="24"/>
              </w:rPr>
              <w:t>MINISTERO</w:t>
            </w:r>
          </w:p>
          <w:p w:rsidR="00BB5948" w:rsidRPr="008B72B9" w:rsidRDefault="00BB5948" w:rsidP="0063165A">
            <w:pPr>
              <w:jc w:val="center"/>
              <w:rPr>
                <w:rFonts w:ascii="Calibri" w:hAnsi="Calibri" w:cs="Calibri"/>
                <w:color w:val="002060"/>
                <w:sz w:val="24"/>
                <w:szCs w:val="18"/>
              </w:rPr>
            </w:pPr>
            <w:r>
              <w:rPr>
                <w:rFonts w:ascii="Calibri" w:hAnsi="Calibri"/>
                <w:b/>
                <w:color w:val="002060"/>
                <w:sz w:val="24"/>
              </w:rPr>
              <w:t>DELLO SVILUPPO E DEGLI INVESTIMENTI</w:t>
            </w:r>
          </w:p>
          <w:p w:rsidR="00BB5948" w:rsidRPr="0063165A" w:rsidRDefault="00BB5948" w:rsidP="0063165A"/>
          <w:p w:rsidR="00073FC0" w:rsidRPr="003A61F6" w:rsidRDefault="00073FC0" w:rsidP="0063165A">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SEGRETERIATO GENERALE PER L'INDUSTRIA</w:t>
            </w:r>
          </w:p>
          <w:p w:rsidR="00073FC0" w:rsidRPr="003A61F6" w:rsidRDefault="00073FC0" w:rsidP="0063165A">
            <w:pPr>
              <w:pStyle w:val="a"/>
              <w:framePr w:wrap="notBeside"/>
              <w:spacing w:line="240" w:lineRule="auto"/>
              <w:rPr>
                <w:rFonts w:ascii="Times New Roman" w:hAnsi="Times New Roman"/>
                <w:spacing w:val="0"/>
                <w:sz w:val="22"/>
                <w:szCs w:val="22"/>
              </w:rPr>
            </w:pPr>
            <w:r>
              <w:rPr>
                <w:rFonts w:ascii="Times New Roman" w:hAnsi="Times New Roman"/>
                <w:sz w:val="22"/>
              </w:rPr>
              <w:t xml:space="preserve">DIREZIONE GENERALE DELL'INDUSTRIA E </w:t>
            </w:r>
          </w:p>
          <w:p w:rsidR="00073FC0" w:rsidRPr="003A61F6" w:rsidRDefault="00073FC0" w:rsidP="0063165A">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rPr>
              <w:t>DEL CONTESTO IMPRENDITORIALE</w:t>
            </w:r>
          </w:p>
          <w:p w:rsidR="00073FC0" w:rsidRPr="003A61F6" w:rsidRDefault="00073FC0" w:rsidP="0063165A">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DIREZIONE POLITICA DI QUALITÀ</w:t>
            </w:r>
          </w:p>
          <w:p w:rsidR="00DB520C" w:rsidRPr="003A61F6" w:rsidRDefault="0072107F" w:rsidP="0063165A">
            <w:pPr>
              <w:rPr>
                <w:rFonts w:ascii="Arial" w:hAnsi="Arial"/>
                <w:sz w:val="24"/>
              </w:rPr>
            </w:pPr>
            <w:r>
              <w:rPr>
                <w:rFonts w:ascii="Times New Roman" w:hAnsi="Times New Roman"/>
                <w:sz w:val="22"/>
              </w:rPr>
              <w:t>SEZIONE SICUREZZA GENERALE DEI PRODOTTI</w:t>
            </w:r>
          </w:p>
        </w:tc>
        <w:tc>
          <w:tcPr>
            <w:tcW w:w="4536" w:type="dxa"/>
          </w:tcPr>
          <w:p w:rsidR="00DB520C" w:rsidRPr="0063165A" w:rsidRDefault="00DB520C" w:rsidP="0063165A">
            <w:pPr>
              <w:rPr>
                <w:rFonts w:ascii="Arial" w:hAnsi="Arial" w:cs="Arial"/>
                <w:sz w:val="24"/>
              </w:rPr>
            </w:pPr>
          </w:p>
          <w:p w:rsidR="00DB520C" w:rsidRPr="0063165A" w:rsidRDefault="00DB520C" w:rsidP="0063165A">
            <w:pPr>
              <w:rPr>
                <w:rFonts w:ascii="Times New Roman" w:hAnsi="Times New Roman"/>
                <w:b/>
                <w:sz w:val="24"/>
                <w:szCs w:val="24"/>
              </w:rPr>
            </w:pPr>
          </w:p>
          <w:p w:rsidR="006412EA" w:rsidRPr="0063165A" w:rsidRDefault="006412EA" w:rsidP="0063165A">
            <w:pPr>
              <w:rPr>
                <w:rFonts w:ascii="Times New Roman" w:hAnsi="Times New Roman"/>
                <w:sz w:val="24"/>
              </w:rPr>
            </w:pPr>
          </w:p>
          <w:p w:rsidR="00671892" w:rsidRPr="0063165A" w:rsidRDefault="00671892" w:rsidP="0063165A">
            <w:pPr>
              <w:jc w:val="center"/>
              <w:rPr>
                <w:rFonts w:ascii="Times New Roman" w:hAnsi="Times New Roman"/>
                <w:sz w:val="24"/>
              </w:rPr>
            </w:pPr>
          </w:p>
          <w:p w:rsidR="00DB520C" w:rsidRPr="0063165A" w:rsidRDefault="00DB520C" w:rsidP="0063165A">
            <w:pPr>
              <w:rPr>
                <w:rFonts w:ascii="Times New Roman" w:hAnsi="Times New Roman"/>
                <w:sz w:val="22"/>
                <w:szCs w:val="22"/>
              </w:rPr>
            </w:pPr>
          </w:p>
          <w:p w:rsidR="00DB520C" w:rsidRPr="003A61F6" w:rsidRDefault="00DB520C" w:rsidP="0063165A">
            <w:pPr>
              <w:tabs>
                <w:tab w:val="left" w:pos="1518"/>
              </w:tabs>
              <w:ind w:left="547"/>
              <w:rPr>
                <w:rFonts w:ascii="Times New Roman" w:hAnsi="Times New Roman"/>
                <w:b/>
                <w:sz w:val="24"/>
              </w:rPr>
            </w:pPr>
            <w:r>
              <w:rPr>
                <w:rFonts w:ascii="Times New Roman" w:hAnsi="Times New Roman"/>
                <w:sz w:val="24"/>
              </w:rPr>
              <w:t>Atene,</w:t>
            </w:r>
            <w:r>
              <w:rPr>
                <w:rFonts w:ascii="Times New Roman" w:hAnsi="Times New Roman"/>
                <w:sz w:val="22"/>
              </w:rPr>
              <w:tab/>
            </w:r>
            <w:r>
              <w:rPr>
                <w:rFonts w:ascii="Times New Roman" w:hAnsi="Times New Roman"/>
                <w:b/>
                <w:sz w:val="24"/>
              </w:rPr>
              <w:t>3 settembre 2020</w:t>
            </w:r>
          </w:p>
          <w:p w:rsidR="00DB520C" w:rsidRPr="0063165A" w:rsidRDefault="00DB520C" w:rsidP="0063165A">
            <w:pPr>
              <w:rPr>
                <w:rFonts w:ascii="Times New Roman" w:hAnsi="Times New Roman"/>
                <w:sz w:val="24"/>
              </w:rPr>
            </w:pPr>
          </w:p>
          <w:p w:rsidR="00DB520C" w:rsidRPr="003A61F6" w:rsidRDefault="00DB520C" w:rsidP="0063165A">
            <w:pPr>
              <w:ind w:left="547"/>
              <w:rPr>
                <w:rFonts w:ascii="Arial" w:hAnsi="Arial" w:cs="Arial"/>
                <w:sz w:val="24"/>
              </w:rPr>
            </w:pPr>
            <w:r>
              <w:rPr>
                <w:rFonts w:ascii="Times New Roman" w:hAnsi="Times New Roman"/>
                <w:sz w:val="24"/>
              </w:rPr>
              <w:t xml:space="preserve">N. di </w:t>
            </w:r>
            <w:proofErr w:type="spellStart"/>
            <w:r>
              <w:rPr>
                <w:rFonts w:ascii="Times New Roman" w:hAnsi="Times New Roman"/>
                <w:sz w:val="24"/>
              </w:rPr>
              <w:t>rif.</w:t>
            </w:r>
            <w:proofErr w:type="spellEnd"/>
            <w:r>
              <w:rPr>
                <w:rFonts w:ascii="Times New Roman" w:hAnsi="Times New Roman"/>
                <w:sz w:val="24"/>
              </w:rPr>
              <w:t xml:space="preserve"> : </w:t>
            </w:r>
            <w:r>
              <w:rPr>
                <w:rFonts w:ascii="Times New Roman" w:hAnsi="Times New Roman"/>
                <w:b/>
                <w:sz w:val="24"/>
              </w:rPr>
              <w:t>91808 - 03/09/2020</w:t>
            </w:r>
          </w:p>
        </w:tc>
      </w:tr>
    </w:tbl>
    <w:p w:rsidR="00525FA9" w:rsidRPr="0063165A" w:rsidRDefault="00525FA9" w:rsidP="0063165A">
      <w:pPr>
        <w:pStyle w:val="Heading1"/>
        <w:tabs>
          <w:tab w:val="left" w:pos="4618"/>
        </w:tabs>
        <w:ind w:left="3153"/>
        <w:jc w:val="both"/>
        <w:rPr>
          <w:rFonts w:ascii="Times New Roman" w:hAnsi="Times New Roman"/>
          <w:sz w:val="22"/>
          <w:szCs w:val="22"/>
        </w:rPr>
      </w:pPr>
    </w:p>
    <w:p w:rsidR="00247089" w:rsidRPr="003A61F6" w:rsidRDefault="00247089" w:rsidP="0063165A">
      <w:pPr>
        <w:pStyle w:val="Heading1"/>
        <w:tabs>
          <w:tab w:val="left" w:pos="4618"/>
        </w:tabs>
        <w:jc w:val="center"/>
        <w:rPr>
          <w:rFonts w:ascii="Times New Roman" w:hAnsi="Times New Roman"/>
          <w:spacing w:val="60"/>
          <w:sz w:val="22"/>
          <w:szCs w:val="22"/>
        </w:rPr>
      </w:pPr>
      <w:r>
        <w:rPr>
          <w:rFonts w:ascii="Times New Roman" w:hAnsi="Times New Roman"/>
          <w:sz w:val="22"/>
        </w:rPr>
        <w:t>DECISIONE</w:t>
      </w:r>
    </w:p>
    <w:p w:rsidR="00247089" w:rsidRPr="003A61F6" w:rsidRDefault="00247089" w:rsidP="0063165A">
      <w:pPr>
        <w:tabs>
          <w:tab w:val="left" w:pos="1354"/>
        </w:tabs>
        <w:ind w:right="494"/>
        <w:rPr>
          <w:rFonts w:ascii="Times New Roman" w:hAnsi="Times New Roman"/>
          <w:sz w:val="22"/>
          <w:szCs w:val="22"/>
        </w:rPr>
      </w:pPr>
      <w:r>
        <w:rPr>
          <w:rFonts w:ascii="Times New Roman" w:hAnsi="Times New Roman"/>
          <w:sz w:val="22"/>
        </w:rPr>
        <w:t xml:space="preserve">O G </w:t>
      </w:r>
      <w:proofErr w:type="spellStart"/>
      <w:r>
        <w:rPr>
          <w:rFonts w:ascii="Times New Roman" w:hAnsi="Times New Roman"/>
          <w:sz w:val="22"/>
        </w:rPr>
        <w:t>G</w:t>
      </w:r>
      <w:proofErr w:type="spellEnd"/>
      <w:r>
        <w:rPr>
          <w:rFonts w:ascii="Times New Roman" w:hAnsi="Times New Roman"/>
          <w:sz w:val="22"/>
        </w:rPr>
        <w:t xml:space="preserve"> E T </w:t>
      </w:r>
      <w:proofErr w:type="spellStart"/>
      <w:r>
        <w:rPr>
          <w:rFonts w:ascii="Times New Roman" w:hAnsi="Times New Roman"/>
          <w:sz w:val="22"/>
        </w:rPr>
        <w:t>T</w:t>
      </w:r>
      <w:proofErr w:type="spellEnd"/>
      <w:r>
        <w:rPr>
          <w:rFonts w:ascii="Times New Roman" w:hAnsi="Times New Roman"/>
          <w:sz w:val="22"/>
        </w:rPr>
        <w:t xml:space="preserve"> O : Definizione dei requisiti essenziali per i prodotti di gomma lavorata con metodi industriali.</w:t>
      </w:r>
    </w:p>
    <w:p w:rsidR="00247089" w:rsidRPr="003A61F6" w:rsidRDefault="00247089" w:rsidP="0063165A">
      <w:pPr>
        <w:ind w:right="8"/>
        <w:jc w:val="center"/>
        <w:rPr>
          <w:rFonts w:ascii="Times New Roman" w:hAnsi="Times New Roman"/>
          <w:spacing w:val="60"/>
          <w:sz w:val="22"/>
          <w:szCs w:val="22"/>
        </w:rPr>
      </w:pPr>
      <w:r>
        <w:rPr>
          <w:rFonts w:ascii="Times New Roman" w:hAnsi="Times New Roman"/>
          <w:sz w:val="22"/>
        </w:rPr>
        <w:t>I MINISTRI</w:t>
      </w:r>
    </w:p>
    <w:p w:rsidR="00247089" w:rsidRPr="003A61F6" w:rsidRDefault="00247089" w:rsidP="0063165A">
      <w:pPr>
        <w:tabs>
          <w:tab w:val="left" w:pos="6931"/>
        </w:tabs>
        <w:spacing w:before="93"/>
        <w:ind w:left="1170"/>
        <w:jc w:val="center"/>
        <w:rPr>
          <w:rFonts w:ascii="Times New Roman" w:hAnsi="Times New Roman"/>
          <w:sz w:val="22"/>
          <w:szCs w:val="22"/>
        </w:rPr>
      </w:pPr>
      <w:r>
        <w:rPr>
          <w:rFonts w:ascii="Times New Roman" w:hAnsi="Times New Roman"/>
          <w:sz w:val="22"/>
        </w:rPr>
        <w:t>DELL'ECONOMIA E DELLO SVILUPPO E DEGLI INVESTIMENTI</w:t>
      </w:r>
    </w:p>
    <w:p w:rsidR="00247089" w:rsidRPr="003A61F6" w:rsidRDefault="00247089" w:rsidP="0063165A">
      <w:pPr>
        <w:tabs>
          <w:tab w:val="left" w:pos="6931"/>
        </w:tabs>
        <w:spacing w:before="93"/>
        <w:jc w:val="center"/>
        <w:rPr>
          <w:rFonts w:ascii="Times New Roman" w:hAnsi="Times New Roman"/>
          <w:sz w:val="22"/>
          <w:szCs w:val="22"/>
        </w:rPr>
      </w:pPr>
      <w:r>
        <w:rPr>
          <w:rFonts w:ascii="Times New Roman" w:hAnsi="Times New Roman"/>
          <w:sz w:val="22"/>
        </w:rPr>
        <w:t xml:space="preserve">DELL'AMBIENTE E DELL'ENERGIA </w:t>
      </w:r>
    </w:p>
    <w:p w:rsidR="00247089" w:rsidRPr="003A61F6" w:rsidRDefault="00247089" w:rsidP="0063165A">
      <w:pPr>
        <w:pStyle w:val="BodyText"/>
        <w:tabs>
          <w:tab w:val="left" w:pos="529"/>
        </w:tabs>
        <w:spacing w:before="1"/>
        <w:ind w:left="540" w:hanging="540"/>
        <w:rPr>
          <w:rFonts w:ascii="Times New Roman" w:hAnsi="Times New Roman"/>
          <w:sz w:val="22"/>
          <w:szCs w:val="22"/>
        </w:rPr>
      </w:pPr>
      <w:r>
        <w:rPr>
          <w:rFonts w:ascii="Times New Roman" w:hAnsi="Times New Roman"/>
          <w:sz w:val="22"/>
        </w:rPr>
        <w:t>Α.</w:t>
      </w:r>
      <w:r>
        <w:rPr>
          <w:rFonts w:ascii="Times New Roman" w:hAnsi="Times New Roman"/>
          <w:sz w:val="22"/>
        </w:rPr>
        <w:tab/>
        <w:t>Visti:</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legge 2690/1999 (Gazzetta ufficiale greca A' 45) "Ratifica del Codice della procedura amministrativa e altre disposizioni";</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legge 4622/2019 (Gazzetta ufficiale greca A' 133) "Legge esecutiva statale: organizzazione, funzionamento e trasparenza del governo, degli enti governativi e del governo centrale";</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legge 4605/2019 (Gazzetta ufficiale greca A' 52) e, segnatamente, l'articolo 47 della medesima, che recita: "1. La direzione generale per l'Attuazione di regolamenti, infrastrutture e controlli, facente parte del Segretariato generale per l'Industria del ministero dell'Economia e dello sviluppo, stabilita dall'articolo 2 del decreto presidenziale 147/2017 (Gazzetta ufficiale greca A' 192), è di seguito rinominata direzione generale dell'Industria e del contesto imprenditoriale";</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 disposizioni di cui agli articoli da 22 a 33 della legge 4072/2012 (Gazzetta ufficiale greca A' 86) "Miglioramento del contesto imprenditoriale – nuove forme societarie – marchi – agenti immobiliari – regolamentazione in materia di navigazione, porti, pesca e altre disposizioni" in materia di vigilanza del mercato per i prodotti industriali e i servizi di qualità;</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 disposizioni di cui agli articoli da 127 a 154 della legge 4512/2018 (Gazzetta ufficiale greca A' 5) "Modalità di attuazione delle riforme strutturali del programma di aggiustamento economico e altre disposizioni", sezione D "Istituzione di un quadro di vigilanza sulle attività economiche e sul mercato dei prodotti e altre disposizioni";</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 disposizioni dell'articolo 22 della legge 1682/1987 (Gazzetta ufficiale greca A' 14) "Mezzi e strumenti per la politica dello sviluppo e altre disposizioni";</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il decreto presidenziale 147/2017 (Gazzetta ufficiale greca A' 192) sull'istituzione del ministero per l'Economia e lo sviluppo;</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 xml:space="preserve">il decreto presidenziale 81/2019 (Gazzetta ufficiale greca A' 119) sulla "Creazione, fusione, </w:t>
      </w:r>
      <w:proofErr w:type="spellStart"/>
      <w:r>
        <w:rPr>
          <w:rFonts w:ascii="Times New Roman" w:hAnsi="Times New Roman"/>
          <w:sz w:val="22"/>
        </w:rPr>
        <w:t>rinominazione</w:t>
      </w:r>
      <w:proofErr w:type="spellEnd"/>
      <w:r>
        <w:rPr>
          <w:rFonts w:ascii="Times New Roman" w:hAnsi="Times New Roman"/>
          <w:sz w:val="22"/>
        </w:rPr>
        <w:t xml:space="preserve"> e abolizione dei ministeri e definizione delle relative responsabilità – trasferimento di servizi e responsabilità tra ministeri";</w:t>
      </w:r>
    </w:p>
    <w:p w:rsidR="00247089" w:rsidRPr="003A61F6" w:rsidRDefault="00247089" w:rsidP="0063165A">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 xml:space="preserve"> il decreto presidenziale 83/2019 (Gazzetta ufficiale greca A' 121) relativo alla "Nomina di un vicepresidente del governo, di ministri, di viceministri e di segretari di Stato";</w:t>
      </w:r>
    </w:p>
    <w:p w:rsidR="00247089" w:rsidRPr="003A61F6" w:rsidRDefault="00247089" w:rsidP="0063165A">
      <w:pPr>
        <w:pStyle w:val="ListParagraph"/>
        <w:widowControl/>
        <w:numPr>
          <w:ilvl w:val="0"/>
          <w:numId w:val="27"/>
        </w:numPr>
        <w:tabs>
          <w:tab w:val="left" w:pos="540"/>
        </w:tabs>
        <w:spacing w:before="119"/>
        <w:ind w:left="540" w:hanging="540"/>
      </w:pPr>
      <w:r>
        <w:t>le disposizioni del capitolo I della legge 4389/2016 (Gazzetta ufficiale greca A' 94) sull'istituzione dell'Autorità indipendente per le entrate del settore pubblico, e in particolare le disposizioni dell'articolo 7, dell'articolo 14, paragrafo 1, e dell'articolo 41 della stessa legge;</w:t>
      </w:r>
    </w:p>
    <w:p w:rsidR="00247089" w:rsidRPr="003A61F6" w:rsidRDefault="00247089" w:rsidP="0063165A">
      <w:pPr>
        <w:pStyle w:val="ListParagraph"/>
        <w:widowControl/>
        <w:numPr>
          <w:ilvl w:val="0"/>
          <w:numId w:val="27"/>
        </w:numPr>
        <w:tabs>
          <w:tab w:val="left" w:pos="540"/>
        </w:tabs>
        <w:spacing w:before="119"/>
        <w:ind w:left="540" w:hanging="540"/>
      </w:pPr>
      <w:r>
        <w:lastRenderedPageBreak/>
        <w:t>la decisione n. ΔΟΡΓ.Α. 1036960 ΕΞ 2017/10-03-2017 (Gazzetta ufficiale greca B' 968 e B' 1238) dell'amministratore dell'Autorità indipendente per le entrate del settore pubblico sulla struttura organizzativa dell'Autorità indipendente per le entrate del settore pubblico;</w:t>
      </w:r>
    </w:p>
    <w:p w:rsidR="00247089" w:rsidRPr="003A61F6" w:rsidRDefault="00247089" w:rsidP="0063165A">
      <w:pPr>
        <w:pStyle w:val="ListParagraph"/>
        <w:widowControl/>
        <w:numPr>
          <w:ilvl w:val="0"/>
          <w:numId w:val="27"/>
        </w:numPr>
        <w:tabs>
          <w:tab w:val="left" w:pos="540"/>
        </w:tabs>
        <w:spacing w:before="119"/>
        <w:ind w:left="540" w:hanging="540"/>
      </w:pPr>
      <w:r>
        <w:t>la decisione ministeriale congiunta n. Ζ3-2810/2004 (Gazzetta ufficiale greca B' 1885/2004) relativa alla sicurezza generale dei prodotti – recepimento della direttiva 2001/95/CE del Parlamento europeo e del Consiglio, del 3 dicembre 2001;</w:t>
      </w:r>
    </w:p>
    <w:p w:rsidR="00247089" w:rsidRPr="003A61F6" w:rsidRDefault="00247089" w:rsidP="0063165A">
      <w:pPr>
        <w:pStyle w:val="ListParagraph"/>
        <w:widowControl/>
        <w:numPr>
          <w:ilvl w:val="0"/>
          <w:numId w:val="27"/>
        </w:numPr>
        <w:tabs>
          <w:tab w:val="left" w:pos="540"/>
        </w:tabs>
        <w:spacing w:before="119"/>
        <w:ind w:left="540" w:right="124" w:hanging="540"/>
      </w:pPr>
      <w:r>
        <w:t>il regolamento (CE) n. 765/2008 del Parlamento europeo e del Consiglio che pone norme in materia di accreditamento e vigilanza del mercato per quanto riguarda la commercializzazione dei prodotti e che abroga il regolamento (CEE) n. 339/93 del Consiglio;</w:t>
      </w:r>
    </w:p>
    <w:p w:rsidR="00247089" w:rsidRPr="003A61F6" w:rsidRDefault="00247089" w:rsidP="0063165A">
      <w:pPr>
        <w:pStyle w:val="ListParagraph"/>
        <w:widowControl/>
        <w:numPr>
          <w:ilvl w:val="0"/>
          <w:numId w:val="27"/>
        </w:numPr>
        <w:tabs>
          <w:tab w:val="left" w:pos="540"/>
        </w:tabs>
        <w:spacing w:before="119"/>
        <w:ind w:left="540" w:right="124" w:hanging="540"/>
      </w:pPr>
      <w:r>
        <w:t>il regolamento (CE) n. 1907/2006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(in prosieguo "il regolamento REACH"), nella versione in vigore, e le seguenti disposizioni nazionali:</w:t>
      </w:r>
    </w:p>
    <w:p w:rsidR="00247089" w:rsidRPr="003A61F6" w:rsidRDefault="00247089" w:rsidP="0063165A">
      <w:pPr>
        <w:pStyle w:val="ListParagraph"/>
        <w:widowControl/>
        <w:numPr>
          <w:ilvl w:val="0"/>
          <w:numId w:val="27"/>
        </w:numPr>
        <w:tabs>
          <w:tab w:val="left" w:pos="540"/>
        </w:tabs>
        <w:spacing w:before="119"/>
        <w:ind w:left="540" w:right="124" w:hanging="540"/>
      </w:pPr>
      <w:r>
        <w:t>la decisione ministeriale n. 82/2009 (Gazzetta ufficiale greca B' 581/31.3.2009) che stabilisce le sanzioni relative all'attuazione del regolamento (CE) n. 1907/2006 del Parlamento europeo e del Consiglio;</w:t>
      </w:r>
    </w:p>
    <w:p w:rsidR="00247089" w:rsidRPr="003A61F6" w:rsidRDefault="00247089" w:rsidP="0063165A">
      <w:pPr>
        <w:pStyle w:val="ListParagraph"/>
        <w:widowControl/>
        <w:numPr>
          <w:ilvl w:val="0"/>
          <w:numId w:val="27"/>
        </w:numPr>
        <w:tabs>
          <w:tab w:val="left" w:pos="540"/>
        </w:tabs>
        <w:spacing w:before="119"/>
        <w:ind w:left="540" w:right="124" w:hanging="540"/>
      </w:pPr>
      <w:r>
        <w:t>la decisione ministeriale n. 450/2008 (Gazzetta ufficiale greca B' 2553/2008) che stabilisce provvedimenti di controllo relativi all'attuazione del regolamento (CE) n. 1907/2006 del Parlamento europeo e del Consiglio;</w:t>
      </w:r>
    </w:p>
    <w:p w:rsidR="00247089" w:rsidRPr="003A61F6" w:rsidRDefault="00247089" w:rsidP="0063165A">
      <w:pPr>
        <w:pStyle w:val="ListParagraph"/>
        <w:widowControl/>
        <w:numPr>
          <w:ilvl w:val="0"/>
          <w:numId w:val="27"/>
        </w:numPr>
        <w:tabs>
          <w:tab w:val="left" w:pos="540"/>
        </w:tabs>
        <w:spacing w:before="119"/>
        <w:ind w:left="540" w:right="124" w:hanging="540"/>
      </w:pPr>
      <w:r>
        <w:t>la decisione ministeriale n. 3013966/2726 (Gazzetta ufficiale greca B' 1025/2007) che designa l'autorità competente per l'attuazione del regolamento (CE) n. 1907/2006 del Parlamento europeo e del Consiglio (GU L 396 del 30.12.2006);</w:t>
      </w:r>
    </w:p>
    <w:p w:rsidR="00247089" w:rsidRPr="003A61F6" w:rsidRDefault="00247089" w:rsidP="0063165A">
      <w:pPr>
        <w:pStyle w:val="ListParagraph"/>
        <w:widowControl/>
        <w:numPr>
          <w:ilvl w:val="0"/>
          <w:numId w:val="27"/>
        </w:numPr>
        <w:tabs>
          <w:tab w:val="left" w:pos="540"/>
        </w:tabs>
        <w:spacing w:before="119"/>
        <w:ind w:left="540" w:right="124" w:hanging="540"/>
      </w:pPr>
      <w:r>
        <w:t>il regolamento (CE) n. 1272/2008 (in prosieguo "il regolamento CLP") relativo alla classificazione, all'etichettatura e all'imballaggio delle sostanze e delle miscele, che modifica e abroga le direttive 67/548/CEE e 1999/45/CE e che reca modifica al regolamento (CE) n. 1907/2006;</w:t>
      </w:r>
    </w:p>
    <w:p w:rsidR="00247089" w:rsidRPr="003A61F6" w:rsidRDefault="00247089" w:rsidP="0063165A">
      <w:pPr>
        <w:pStyle w:val="ListParagraph"/>
        <w:widowControl/>
        <w:numPr>
          <w:ilvl w:val="0"/>
          <w:numId w:val="27"/>
        </w:numPr>
        <w:tabs>
          <w:tab w:val="left" w:pos="540"/>
        </w:tabs>
        <w:spacing w:before="119"/>
        <w:ind w:left="540" w:right="124" w:hanging="540"/>
      </w:pPr>
      <w:r>
        <w:t>la decisione ministeriale n. 3017130/2798 (Gazzetta ufficiale greca B' 1843/2009) che designa l'autorità competente per l'attuazione del regolamento (CE) 1272/2008 del Parlamento europeo e del Consiglio (GU L 353 del 31.12.2008);</w:t>
      </w:r>
    </w:p>
    <w:p w:rsidR="00247089" w:rsidRPr="003A61F6" w:rsidRDefault="00247089" w:rsidP="0063165A">
      <w:pPr>
        <w:pStyle w:val="ListParagraph"/>
        <w:widowControl/>
        <w:numPr>
          <w:ilvl w:val="0"/>
          <w:numId w:val="27"/>
        </w:numPr>
        <w:tabs>
          <w:tab w:val="left" w:pos="540"/>
        </w:tabs>
        <w:spacing w:before="119"/>
        <w:ind w:left="540" w:right="124" w:hanging="540"/>
      </w:pPr>
      <w:r>
        <w:t>la decisione ministeriale congiunta n. 3015811/2663 (Gazzetta ufficiale greca B' 1410/2010) che stabilisce provvedimenti di controllo e sanzioni relativi all'attuazione del regolamento (CE) n. 1272/2008 del Parlamento europeo e del Consiglio, come modificata dalla decisione ministeriale congiunta n. 111/2017 (Gazzetta ufficiale greca B' 1876/2018);</w:t>
      </w:r>
    </w:p>
    <w:p w:rsidR="00247089" w:rsidRPr="003A61F6" w:rsidRDefault="00247089" w:rsidP="0063165A">
      <w:pPr>
        <w:pStyle w:val="ListParagraph"/>
        <w:widowControl/>
        <w:numPr>
          <w:ilvl w:val="0"/>
          <w:numId w:val="27"/>
        </w:numPr>
        <w:tabs>
          <w:tab w:val="left" w:pos="540"/>
        </w:tabs>
        <w:spacing w:before="119"/>
        <w:ind w:left="540" w:right="124" w:hanging="540"/>
      </w:pPr>
      <w:r>
        <w:t>la direttiva (UE) 2015/1535 che prevede una procedura d'informazione nel settore delle regolamentazioni tecniche e delle regole relative ai servizi della società dell'informazione;</w:t>
      </w:r>
    </w:p>
    <w:p w:rsidR="00247089" w:rsidRPr="003A61F6" w:rsidRDefault="00DD7366" w:rsidP="0063165A">
      <w:pPr>
        <w:pStyle w:val="ListParagraph"/>
        <w:widowControl/>
        <w:numPr>
          <w:ilvl w:val="0"/>
          <w:numId w:val="27"/>
        </w:numPr>
        <w:tabs>
          <w:tab w:val="left" w:pos="540"/>
        </w:tabs>
        <w:ind w:left="540" w:right="109" w:hanging="540"/>
      </w:pPr>
      <w:r>
        <w:t>il regolamento (CE) n. 850/2004 relativo agli inquinanti organici persistenti e che modifica la direttiva 79/117/CEE;</w:t>
      </w:r>
    </w:p>
    <w:p w:rsidR="00DD7366" w:rsidRPr="003A61F6" w:rsidRDefault="00DD7366" w:rsidP="0063165A">
      <w:pPr>
        <w:pStyle w:val="ListParagraph"/>
        <w:widowControl/>
        <w:numPr>
          <w:ilvl w:val="0"/>
          <w:numId w:val="27"/>
        </w:numPr>
        <w:tabs>
          <w:tab w:val="left" w:pos="540"/>
        </w:tabs>
        <w:spacing w:before="119"/>
        <w:ind w:left="540" w:right="112" w:hanging="540"/>
      </w:pPr>
      <w:r>
        <w:t xml:space="preserve">la decisione n. 339/18-7-2019 del primo ministro e del ministro delle Finanze "Attribuzione di competenze al segretario di Stato alle Finanze, </w:t>
      </w:r>
      <w:proofErr w:type="spellStart"/>
      <w:r>
        <w:t>Apostolos</w:t>
      </w:r>
      <w:proofErr w:type="spellEnd"/>
      <w:r>
        <w:t xml:space="preserve"> </w:t>
      </w:r>
      <w:proofErr w:type="spellStart"/>
      <w:r>
        <w:t>Vesyropoulos</w:t>
      </w:r>
      <w:proofErr w:type="spellEnd"/>
      <w:r>
        <w:t>" (Gazzetta ufficiale greca B' 3051);</w:t>
      </w:r>
    </w:p>
    <w:p w:rsidR="00247089" w:rsidRPr="003A61F6" w:rsidRDefault="00247089" w:rsidP="0063165A">
      <w:pPr>
        <w:pStyle w:val="ListParagraph"/>
        <w:widowControl/>
        <w:numPr>
          <w:ilvl w:val="0"/>
          <w:numId w:val="27"/>
        </w:numPr>
        <w:tabs>
          <w:tab w:val="left" w:pos="540"/>
        </w:tabs>
        <w:spacing w:before="119"/>
        <w:ind w:left="540" w:right="112" w:hanging="540"/>
      </w:pPr>
      <w:r>
        <w:t>le disposizioni di cui alla decisione ministeriale congiunta Φ01.2/56790/ΔΠΠ1828/31.5.2016 (Gazzetta ufficiale greca B' 1897) "Quadro normativo per gli organismi di valutazione della conformità attivi in ambiti relativi all'armonizzazione legislativa dell'UE e/o in ambiti relativi alla mera normativa tecnica industriale nazionale che rientra nella competenza del segretariato generale per l'Industria";</w:t>
      </w:r>
    </w:p>
    <w:p w:rsidR="00247089" w:rsidRPr="003A61F6" w:rsidRDefault="00247089" w:rsidP="0063165A">
      <w:pPr>
        <w:pStyle w:val="ListParagraph"/>
        <w:widowControl/>
        <w:numPr>
          <w:ilvl w:val="0"/>
          <w:numId w:val="27"/>
        </w:numPr>
        <w:tabs>
          <w:tab w:val="left" w:pos="540"/>
        </w:tabs>
        <w:spacing w:before="122"/>
        <w:ind w:left="540" w:right="122" w:hanging="540"/>
      </w:pPr>
      <w:r>
        <w:t>la decisione ministeriale n. 28492/2009 (Gazzetta ufficiale greca B' 931) che stabilisce le condizioni e le specifiche tecniche per la costruzione e il funzionamento di aree da gioco all'aperto municipali e collettive, le attrezzature e le rispettive autorizzazioni e procedure di ispezione, le procedure di manutenzione e tutte le altre modalità necessarie, come modificata e nella versione in vigore ai sensi della decisione ministeriale n. 27934/2014 (Gazzetta ufficiale greca B' 2029);</w:t>
      </w:r>
    </w:p>
    <w:p w:rsidR="00247089" w:rsidRPr="003A61F6" w:rsidRDefault="00247089" w:rsidP="0063165A">
      <w:pPr>
        <w:pStyle w:val="ListParagraph"/>
        <w:widowControl/>
        <w:numPr>
          <w:ilvl w:val="0"/>
          <w:numId w:val="27"/>
        </w:numPr>
        <w:tabs>
          <w:tab w:val="left" w:pos="540"/>
        </w:tabs>
        <w:ind w:left="540" w:right="124" w:hanging="540"/>
      </w:pPr>
      <w:r>
        <w:lastRenderedPageBreak/>
        <w:t>la decisione ministeriale congiunta n. 43650/2019 (Gazzetta ufficiale greca B' 213) che stabilisce i termini, le condizioni, la procedura, i documenti giustificativi e tutte le modalità necessarie per la concessione e la revoca delle autorizzazioni per la creazione e il funzionamento di aree da gioco;</w:t>
      </w:r>
    </w:p>
    <w:p w:rsidR="00247089" w:rsidRPr="003A61F6" w:rsidRDefault="00247089" w:rsidP="0063165A">
      <w:pPr>
        <w:pStyle w:val="ListParagraph"/>
        <w:widowControl/>
        <w:numPr>
          <w:ilvl w:val="0"/>
          <w:numId w:val="27"/>
        </w:numPr>
        <w:tabs>
          <w:tab w:val="left" w:pos="540"/>
        </w:tabs>
        <w:ind w:left="540" w:right="124" w:hanging="540"/>
      </w:pPr>
      <w:r>
        <w:t>il perfezionamento delle procedure di notifica alla Commissione europea del progetto di decisione ministeriale congiunta n. 2019/87/GR e l'integrazione delle osservazioni della Commissione europea;</w:t>
      </w:r>
    </w:p>
    <w:p w:rsidR="00247089" w:rsidRPr="003A61F6" w:rsidRDefault="00247089" w:rsidP="0063165A">
      <w:pPr>
        <w:pStyle w:val="ListParagraph"/>
        <w:widowControl/>
        <w:numPr>
          <w:ilvl w:val="0"/>
          <w:numId w:val="27"/>
        </w:numPr>
        <w:tabs>
          <w:tab w:val="left" w:pos="540"/>
        </w:tabs>
        <w:ind w:left="540" w:right="124" w:hanging="540"/>
      </w:pPr>
      <w:r>
        <w:t>il fatto che le disposizioni della presente decisione non comportano alcuna spesa per il bilancio dello Stato.</w:t>
      </w:r>
    </w:p>
    <w:p w:rsidR="00247089" w:rsidRPr="003A61F6" w:rsidRDefault="00247089" w:rsidP="0063165A">
      <w:pPr>
        <w:pStyle w:val="ListParagraph"/>
        <w:widowControl/>
        <w:tabs>
          <w:tab w:val="left" w:pos="529"/>
          <w:tab w:val="left" w:pos="530"/>
        </w:tabs>
        <w:spacing w:before="119"/>
        <w:ind w:firstLine="0"/>
      </w:pPr>
    </w:p>
    <w:p w:rsidR="00247089" w:rsidRPr="003A61F6" w:rsidRDefault="00247089" w:rsidP="0063165A">
      <w:pPr>
        <w:ind w:right="7"/>
        <w:jc w:val="center"/>
        <w:rPr>
          <w:rFonts w:ascii="Times New Roman" w:hAnsi="Times New Roman"/>
          <w:b/>
          <w:spacing w:val="60"/>
          <w:sz w:val="22"/>
          <w:szCs w:val="22"/>
        </w:rPr>
      </w:pPr>
      <w:r>
        <w:rPr>
          <w:rFonts w:ascii="Times New Roman" w:hAnsi="Times New Roman"/>
          <w:b/>
          <w:sz w:val="22"/>
        </w:rPr>
        <w:t>SI DECIDE QUANTO SEGUE</w:t>
      </w:r>
    </w:p>
    <w:p w:rsidR="00247089" w:rsidRPr="0063165A" w:rsidRDefault="00247089" w:rsidP="0063165A">
      <w:pPr>
        <w:ind w:right="7"/>
        <w:jc w:val="center"/>
        <w:rPr>
          <w:rFonts w:ascii="Times New Roman" w:hAnsi="Times New Roman"/>
          <w:b/>
          <w:sz w:val="22"/>
          <w:szCs w:val="22"/>
        </w:rPr>
      </w:pPr>
    </w:p>
    <w:p w:rsidR="00247089" w:rsidRPr="003A61F6" w:rsidRDefault="00943836" w:rsidP="0063165A">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rPr>
        <w:t>Articolo 1</w:t>
      </w:r>
    </w:p>
    <w:p w:rsidR="00247089" w:rsidRPr="003A61F6" w:rsidRDefault="00247089" w:rsidP="0063165A">
      <w:pPr>
        <w:spacing w:line="251" w:lineRule="exact"/>
        <w:ind w:right="4"/>
        <w:jc w:val="center"/>
        <w:rPr>
          <w:rFonts w:ascii="Times New Roman" w:hAnsi="Times New Roman"/>
          <w:sz w:val="22"/>
          <w:szCs w:val="22"/>
        </w:rPr>
      </w:pPr>
      <w:r>
        <w:rPr>
          <w:rFonts w:ascii="Times New Roman" w:hAnsi="Times New Roman"/>
          <w:sz w:val="22"/>
        </w:rPr>
        <w:t>Ambito di applicazione e finalità</w:t>
      </w:r>
    </w:p>
    <w:p w:rsidR="00247089" w:rsidRPr="003A61F6" w:rsidRDefault="00247089" w:rsidP="0063165A">
      <w:pPr>
        <w:pStyle w:val="ListParagraph"/>
        <w:widowControl/>
        <w:numPr>
          <w:ilvl w:val="0"/>
          <w:numId w:val="25"/>
        </w:numPr>
        <w:tabs>
          <w:tab w:val="left" w:pos="450"/>
        </w:tabs>
        <w:ind w:right="106" w:hanging="462"/>
      </w:pPr>
      <w:r>
        <w:t>La presente decisione stabilisce i requisiti essenziali per i prodotti composti interamente da gomma o che contengono gomma destinati agli usi specificati all'</w:t>
      </w:r>
      <w:r>
        <w:rPr>
          <w:b/>
          <w:bCs/>
        </w:rPr>
        <w:t>Allegato I</w:t>
      </w:r>
      <w:r>
        <w:t xml:space="preserve"> della presente decisione. La gomma può provenire da materie prime primarie o da materie prime secondarie derivanti dal riciclo di prodotti di gomma, quali la gomma etilene-propilene diene (EPDM), la gomma stirene-butadiene (SBR), la gomma etilene acrilato (EA, AEM), la gomma poliuretanica (AU, EU), la gomma siliconica (PMQ, PVMQ, VMQ) o altre.</w:t>
      </w:r>
    </w:p>
    <w:p w:rsidR="00247089" w:rsidRPr="003A61F6" w:rsidRDefault="00247089" w:rsidP="0063165A">
      <w:pPr>
        <w:pStyle w:val="ListParagraph"/>
        <w:widowControl/>
        <w:numPr>
          <w:ilvl w:val="0"/>
          <w:numId w:val="25"/>
        </w:numPr>
        <w:tabs>
          <w:tab w:val="left" w:pos="450"/>
        </w:tabs>
        <w:ind w:right="106" w:hanging="462"/>
      </w:pPr>
      <w:r>
        <w:t>I requisiti stabiliti e indicati all'</w:t>
      </w:r>
      <w:r>
        <w:rPr>
          <w:b/>
          <w:bCs/>
        </w:rPr>
        <w:t>allegato II</w:t>
      </w:r>
      <w:r>
        <w:t xml:space="preserve"> garantiscono che questi prodotti di gomma lavorata rispettino le disposizioni della presente normativa tecnica e quelle di ogni altra normativa applicabile.</w:t>
      </w:r>
    </w:p>
    <w:p w:rsidR="00247089" w:rsidRPr="0063165A" w:rsidRDefault="00247089" w:rsidP="0063165A">
      <w:pPr>
        <w:pStyle w:val="BodyText"/>
        <w:rPr>
          <w:rFonts w:ascii="Times New Roman" w:hAnsi="Times New Roman"/>
          <w:sz w:val="22"/>
          <w:szCs w:val="22"/>
        </w:rPr>
      </w:pPr>
    </w:p>
    <w:p w:rsidR="00247089" w:rsidRPr="003A61F6" w:rsidRDefault="00943836" w:rsidP="0063165A">
      <w:pPr>
        <w:tabs>
          <w:tab w:val="left" w:pos="1115"/>
        </w:tabs>
        <w:spacing w:line="250" w:lineRule="exact"/>
        <w:ind w:right="4"/>
        <w:jc w:val="center"/>
        <w:rPr>
          <w:rFonts w:ascii="Times New Roman" w:hAnsi="Times New Roman"/>
          <w:b/>
          <w:sz w:val="22"/>
          <w:szCs w:val="22"/>
        </w:rPr>
      </w:pPr>
      <w:r>
        <w:rPr>
          <w:rFonts w:ascii="Times New Roman" w:hAnsi="Times New Roman"/>
          <w:b/>
          <w:sz w:val="22"/>
        </w:rPr>
        <w:t>Articolo 2</w:t>
      </w:r>
    </w:p>
    <w:p w:rsidR="00247089" w:rsidRPr="003A61F6" w:rsidRDefault="00247089" w:rsidP="0063165A">
      <w:pPr>
        <w:pStyle w:val="Heading3"/>
        <w:spacing w:line="250" w:lineRule="exact"/>
        <w:ind w:right="4"/>
        <w:rPr>
          <w:rFonts w:ascii="Times New Roman" w:hAnsi="Times New Roman"/>
          <w:sz w:val="22"/>
          <w:szCs w:val="22"/>
        </w:rPr>
      </w:pPr>
      <w:r>
        <w:rPr>
          <w:rFonts w:ascii="Times New Roman" w:hAnsi="Times New Roman"/>
          <w:sz w:val="22"/>
        </w:rPr>
        <w:t>Definizioni</w:t>
      </w:r>
    </w:p>
    <w:p w:rsidR="00247089" w:rsidRPr="003A61F6" w:rsidRDefault="00247089" w:rsidP="0063165A">
      <w:pPr>
        <w:spacing w:before="119"/>
        <w:ind w:left="102"/>
        <w:rPr>
          <w:rFonts w:ascii="Times New Roman" w:hAnsi="Times New Roman"/>
          <w:sz w:val="22"/>
          <w:szCs w:val="22"/>
        </w:rPr>
      </w:pPr>
      <w:r>
        <w:rPr>
          <w:rFonts w:ascii="Times New Roman" w:hAnsi="Times New Roman"/>
          <w:sz w:val="22"/>
        </w:rPr>
        <w:t>Ai fini della presente decisione, si applicano le seguenti definizioni:</w:t>
      </w:r>
    </w:p>
    <w:p w:rsidR="00247089" w:rsidRPr="003A61F6" w:rsidRDefault="00247089" w:rsidP="0063165A">
      <w:pPr>
        <w:pStyle w:val="ListParagraph"/>
        <w:widowControl/>
        <w:numPr>
          <w:ilvl w:val="0"/>
          <w:numId w:val="24"/>
        </w:numPr>
        <w:spacing w:before="121"/>
        <w:ind w:left="540" w:right="106" w:hanging="540"/>
      </w:pPr>
      <w:r>
        <w:t>"</w:t>
      </w:r>
      <w:r>
        <w:rPr>
          <w:i/>
          <w:iCs/>
        </w:rPr>
        <w:t>gomme</w:t>
      </w:r>
      <w:r>
        <w:t>": materiali destinati alla vendita sul mercato per gli scopi specificati all'allegato I, derivanti da gomme riciclate o da altre origini, in conformità dell'articolo 1, paragrafo 1;</w:t>
      </w:r>
    </w:p>
    <w:p w:rsidR="00247089" w:rsidRPr="003A61F6" w:rsidRDefault="00247089" w:rsidP="0063165A">
      <w:pPr>
        <w:pStyle w:val="ListParagraph"/>
        <w:widowControl/>
        <w:numPr>
          <w:ilvl w:val="0"/>
          <w:numId w:val="24"/>
        </w:numPr>
        <w:ind w:left="540" w:right="106" w:hanging="540"/>
      </w:pPr>
      <w:r>
        <w:t>"</w:t>
      </w:r>
      <w:r>
        <w:rPr>
          <w:i/>
          <w:iCs/>
        </w:rPr>
        <w:t>produttore</w:t>
      </w:r>
      <w:r>
        <w:t>":</w:t>
      </w:r>
      <w:r>
        <w:rPr>
          <w:b/>
        </w:rPr>
        <w:t xml:space="preserve"> </w:t>
      </w:r>
      <w:r>
        <w:t>un operatore che intraprende il processo di lavorazione delle gomme per fabbricare un prodotto finito da immettere sul mercato greco per gli scopi specificati all'allegato I della presente decisione;</w:t>
      </w:r>
    </w:p>
    <w:p w:rsidR="00247089" w:rsidRPr="003A61F6" w:rsidRDefault="00247089" w:rsidP="0063165A">
      <w:pPr>
        <w:pStyle w:val="ListParagraph"/>
        <w:widowControl/>
        <w:numPr>
          <w:ilvl w:val="0"/>
          <w:numId w:val="24"/>
        </w:numPr>
        <w:ind w:left="540" w:right="110" w:hanging="540"/>
      </w:pPr>
      <w:r>
        <w:t>"</w:t>
      </w:r>
      <w:r>
        <w:rPr>
          <w:i/>
          <w:iCs/>
        </w:rPr>
        <w:t>importatore</w:t>
      </w:r>
      <w:r>
        <w:t>": persona fisica o giuridica che immetta sul mercato greco prodotti di gomma lavorata con metodi industriali, di paesi terzi, per gli usi specificati all'allegato I. L'importatore ha gli stessi obblighi del produttore qualora quest'ultimo non sia stabilito nell'Unione Europea;</w:t>
      </w:r>
    </w:p>
    <w:p w:rsidR="00247089" w:rsidRPr="003A61F6" w:rsidRDefault="00247089" w:rsidP="0063165A">
      <w:pPr>
        <w:pStyle w:val="ListParagraph"/>
        <w:widowControl/>
        <w:numPr>
          <w:ilvl w:val="0"/>
          <w:numId w:val="24"/>
        </w:numPr>
        <w:ind w:left="540" w:right="110" w:hanging="540"/>
      </w:pPr>
      <w:r>
        <w:t>"</w:t>
      </w:r>
      <w:r>
        <w:rPr>
          <w:i/>
          <w:iCs/>
        </w:rPr>
        <w:t>distributore</w:t>
      </w:r>
      <w:r>
        <w:t>": persona fisica o giuridica che partecipi alla filiera di fornitura, diversa dal produttore o dall'importatore, che renda i prodotti disponibili sul mercato;</w:t>
      </w:r>
    </w:p>
    <w:p w:rsidR="00247089" w:rsidRPr="003A61F6" w:rsidRDefault="00247089" w:rsidP="0063165A">
      <w:pPr>
        <w:pStyle w:val="ListParagraph"/>
        <w:widowControl/>
        <w:numPr>
          <w:ilvl w:val="0"/>
          <w:numId w:val="24"/>
        </w:numPr>
        <w:ind w:left="540" w:right="105" w:hanging="540"/>
      </w:pPr>
      <w:r>
        <w:t>"</w:t>
      </w:r>
      <w:r>
        <w:rPr>
          <w:i/>
          <w:iCs/>
        </w:rPr>
        <w:t>cliente</w:t>
      </w:r>
      <w:r>
        <w:t>": (persona cui viene fornito un prodotto) persona fisica o giuridica che acquista, dietro corrispettivo economico, prodotti di gomma di cui all'Allegato I;</w:t>
      </w:r>
    </w:p>
    <w:p w:rsidR="00247089" w:rsidRPr="003A61F6" w:rsidRDefault="00247089" w:rsidP="0063165A">
      <w:pPr>
        <w:pStyle w:val="ListParagraph"/>
        <w:widowControl/>
        <w:numPr>
          <w:ilvl w:val="0"/>
          <w:numId w:val="24"/>
        </w:numPr>
        <w:spacing w:before="118"/>
        <w:ind w:left="540" w:right="107" w:hanging="540"/>
      </w:pPr>
      <w:r>
        <w:t>"</w:t>
      </w:r>
      <w:r>
        <w:rPr>
          <w:i/>
          <w:iCs/>
        </w:rPr>
        <w:t>operatore economico</w:t>
      </w:r>
      <w:r>
        <w:t>": il produttore, l'importatore, il distributore e il cliente i quali, ciascuno per la propria parte, partecipano alla filiera di fornitura;</w:t>
      </w:r>
    </w:p>
    <w:p w:rsidR="00247089" w:rsidRPr="003A61F6" w:rsidRDefault="00247089" w:rsidP="0063165A">
      <w:pPr>
        <w:pStyle w:val="ListParagraph"/>
        <w:widowControl/>
        <w:numPr>
          <w:ilvl w:val="0"/>
          <w:numId w:val="24"/>
        </w:numPr>
        <w:tabs>
          <w:tab w:val="left" w:pos="520"/>
        </w:tabs>
        <w:ind w:left="540" w:right="108" w:hanging="540"/>
      </w:pPr>
      <w:r>
        <w:t>"</w:t>
      </w:r>
      <w:r>
        <w:rPr>
          <w:i/>
          <w:iCs/>
        </w:rPr>
        <w:t>organismo di valutazione della conformità</w:t>
      </w:r>
      <w:r>
        <w:t>": un operatore che svolge le attività di valutazione della conformità ai sensi del regolamento (CE) n. 765/2008;</w:t>
      </w:r>
    </w:p>
    <w:p w:rsidR="00247089" w:rsidRPr="003A61F6" w:rsidRDefault="00247089" w:rsidP="0063165A">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sz w:val="22"/>
        </w:rPr>
        <w:t>"</w:t>
      </w:r>
      <w:r>
        <w:rPr>
          <w:rFonts w:ascii="Times New Roman" w:hAnsi="Times New Roman"/>
          <w:b w:val="0"/>
          <w:i/>
          <w:iCs/>
          <w:sz w:val="22"/>
        </w:rPr>
        <w:t>dichiarazione sull'onore</w:t>
      </w:r>
      <w:r>
        <w:rPr>
          <w:rFonts w:ascii="Times New Roman" w:hAnsi="Times New Roman"/>
          <w:b w:val="0"/>
          <w:sz w:val="22"/>
        </w:rPr>
        <w:t>": una dichiarazione rilasciata dal produttore o dall'importatore che attesta che i prodotti di gomma lavorata con metodi industriali sono conformi ai requisiti stabiliti nella presente decisione;</w:t>
      </w:r>
    </w:p>
    <w:p w:rsidR="00247089" w:rsidRPr="003A61F6" w:rsidRDefault="00247089" w:rsidP="0063165A">
      <w:pPr>
        <w:pStyle w:val="ListParagraph"/>
        <w:widowControl/>
        <w:numPr>
          <w:ilvl w:val="0"/>
          <w:numId w:val="24"/>
        </w:numPr>
        <w:spacing w:before="72"/>
        <w:ind w:left="540" w:right="104" w:hanging="540"/>
      </w:pPr>
      <w:r>
        <w:t>"</w:t>
      </w:r>
      <w:r>
        <w:rPr>
          <w:i/>
          <w:iCs/>
        </w:rPr>
        <w:t>autorità di vigilanza del mercato competenti</w:t>
      </w:r>
      <w:r>
        <w:t>": i dipartimenti competenti del segretariato generale per l'Industria del ministero dell'Economia e dello sviluppo e i dipartimenti competenti del laboratorio generale chimico dello Stato, dell'Autorità indipendente per le entrate del settore pubblico.</w:t>
      </w:r>
    </w:p>
    <w:p w:rsidR="00247089" w:rsidRPr="0063165A" w:rsidRDefault="00247089" w:rsidP="0063165A">
      <w:pPr>
        <w:pStyle w:val="BodyText"/>
        <w:rPr>
          <w:rFonts w:ascii="Times New Roman" w:hAnsi="Times New Roman"/>
          <w:sz w:val="22"/>
          <w:szCs w:val="22"/>
        </w:rPr>
      </w:pPr>
    </w:p>
    <w:p w:rsidR="00247089" w:rsidRPr="003A61F6" w:rsidRDefault="00943836" w:rsidP="0063165A">
      <w:pPr>
        <w:keepNext/>
        <w:keepLines/>
        <w:tabs>
          <w:tab w:val="left" w:pos="1115"/>
        </w:tabs>
        <w:ind w:right="4"/>
        <w:jc w:val="center"/>
        <w:rPr>
          <w:rFonts w:ascii="Times New Roman" w:hAnsi="Times New Roman"/>
          <w:b/>
          <w:sz w:val="22"/>
          <w:szCs w:val="22"/>
        </w:rPr>
      </w:pPr>
      <w:r>
        <w:rPr>
          <w:rFonts w:ascii="Times New Roman" w:hAnsi="Times New Roman"/>
          <w:b/>
          <w:sz w:val="22"/>
        </w:rPr>
        <w:lastRenderedPageBreak/>
        <w:t>Articolo 3</w:t>
      </w:r>
    </w:p>
    <w:p w:rsidR="00247089" w:rsidRPr="003A61F6" w:rsidRDefault="00247089" w:rsidP="0063165A">
      <w:pPr>
        <w:keepNext/>
        <w:keepLines/>
        <w:ind w:right="4"/>
        <w:jc w:val="center"/>
        <w:rPr>
          <w:rFonts w:ascii="Times New Roman" w:hAnsi="Times New Roman"/>
          <w:sz w:val="22"/>
          <w:szCs w:val="22"/>
        </w:rPr>
      </w:pPr>
      <w:r>
        <w:rPr>
          <w:rFonts w:ascii="Times New Roman" w:hAnsi="Times New Roman"/>
          <w:sz w:val="22"/>
        </w:rPr>
        <w:t>Requisiti di qualità dei prodotti di gomma</w:t>
      </w:r>
    </w:p>
    <w:p w:rsidR="00247089" w:rsidRPr="003A61F6" w:rsidRDefault="00247089" w:rsidP="0063165A">
      <w:pPr>
        <w:pStyle w:val="ListParagraph"/>
        <w:widowControl/>
        <w:numPr>
          <w:ilvl w:val="0"/>
          <w:numId w:val="23"/>
        </w:numPr>
        <w:spacing w:before="119"/>
        <w:ind w:left="540" w:right="105" w:hanging="540"/>
      </w:pPr>
      <w:r>
        <w:t xml:space="preserve">I </w:t>
      </w:r>
      <w:r>
        <w:rPr>
          <w:b/>
          <w:bCs/>
        </w:rPr>
        <w:t>prodotti</w:t>
      </w:r>
      <w:r>
        <w:t xml:space="preserve"> di gomma lavorata di cui all'articolo 1, paragrafo 1, destinati a essere usati per gli scopi di cui all'allegato I, devono essere conformi ai requisiti di cui al punto 1 dell'allegato II della presente decisione.</w:t>
      </w:r>
    </w:p>
    <w:p w:rsidR="00247089" w:rsidRPr="003A61F6" w:rsidRDefault="00247089" w:rsidP="0063165A">
      <w:pPr>
        <w:pStyle w:val="ListParagraph"/>
        <w:widowControl/>
        <w:numPr>
          <w:ilvl w:val="0"/>
          <w:numId w:val="23"/>
        </w:numPr>
        <w:spacing w:before="119"/>
        <w:ind w:left="540" w:right="105" w:hanging="540"/>
      </w:pPr>
      <w:r>
        <w:t xml:space="preserve">Le </w:t>
      </w:r>
      <w:r>
        <w:rPr>
          <w:b/>
          <w:bCs/>
        </w:rPr>
        <w:t>gomme</w:t>
      </w:r>
      <w:r>
        <w:t xml:space="preserve"> usate per la fabbricazione dei prodotti di cui all'articolo 1, paragrafo 1 devono essere conformi ai requisiti di cui al punto 2 dell'allegato II.</w:t>
      </w:r>
    </w:p>
    <w:p w:rsidR="00247089" w:rsidRPr="003A61F6" w:rsidRDefault="00247089" w:rsidP="0063165A">
      <w:pPr>
        <w:pStyle w:val="ListParagraph"/>
        <w:widowControl/>
        <w:numPr>
          <w:ilvl w:val="0"/>
          <w:numId w:val="23"/>
        </w:numPr>
        <w:spacing w:before="122"/>
        <w:ind w:left="540" w:right="105" w:hanging="540"/>
      </w:pPr>
      <w:r>
        <w:t>Il produttore, l'importatore e il distributore dei prodotti di gomma lavorata sono obbligati a rispettare le disposizioni della presente decisione e gli obblighi previsti agli articoli 4 e 5 della stessa, per la parte che li riguarda.</w:t>
      </w:r>
    </w:p>
    <w:p w:rsidR="00247089" w:rsidRPr="003A61F6" w:rsidRDefault="00247089" w:rsidP="0063165A">
      <w:pPr>
        <w:pStyle w:val="ListParagraph"/>
        <w:widowControl/>
        <w:tabs>
          <w:tab w:val="left" w:pos="386"/>
        </w:tabs>
        <w:ind w:left="385" w:right="110" w:firstLine="0"/>
      </w:pPr>
    </w:p>
    <w:p w:rsidR="00247089" w:rsidRPr="003A61F6" w:rsidRDefault="00943836" w:rsidP="0063165A">
      <w:pPr>
        <w:tabs>
          <w:tab w:val="left" w:pos="1115"/>
        </w:tabs>
        <w:spacing w:line="251" w:lineRule="exact"/>
        <w:ind w:right="4"/>
        <w:jc w:val="center"/>
        <w:rPr>
          <w:rFonts w:ascii="Times New Roman" w:hAnsi="Times New Roman"/>
          <w:b/>
          <w:sz w:val="22"/>
          <w:szCs w:val="22"/>
        </w:rPr>
      </w:pPr>
      <w:r>
        <w:rPr>
          <w:rFonts w:ascii="Times New Roman" w:hAnsi="Times New Roman"/>
          <w:b/>
          <w:sz w:val="22"/>
        </w:rPr>
        <w:t>Articolo 4</w:t>
      </w:r>
    </w:p>
    <w:p w:rsidR="00247089" w:rsidRPr="003A61F6" w:rsidRDefault="00247089" w:rsidP="0063165A">
      <w:pPr>
        <w:spacing w:line="251" w:lineRule="exact"/>
        <w:ind w:right="6"/>
        <w:jc w:val="center"/>
        <w:rPr>
          <w:rFonts w:ascii="Times New Roman" w:hAnsi="Times New Roman"/>
          <w:sz w:val="22"/>
          <w:szCs w:val="22"/>
        </w:rPr>
      </w:pPr>
      <w:r>
        <w:rPr>
          <w:rFonts w:ascii="Times New Roman" w:hAnsi="Times New Roman"/>
          <w:sz w:val="22"/>
        </w:rPr>
        <w:t xml:space="preserve">Dichiarazione sull'onore </w:t>
      </w:r>
    </w:p>
    <w:p w:rsidR="00247089" w:rsidRPr="003A61F6" w:rsidRDefault="00247089" w:rsidP="0063165A">
      <w:pPr>
        <w:pStyle w:val="ListParagraph"/>
        <w:widowControl/>
        <w:numPr>
          <w:ilvl w:val="0"/>
          <w:numId w:val="22"/>
        </w:numPr>
        <w:spacing w:before="122"/>
        <w:ind w:left="540" w:right="107" w:hanging="540"/>
      </w:pPr>
      <w:r>
        <w:t>Ogni lotto di prodotti di gomma lavorata destinati ad essere immessi sul mercato in seguito alla produzione per gli scopi di cui all'allegato I, è accompagnato da un'idonea "</w:t>
      </w:r>
      <w:r>
        <w:rPr>
          <w:i/>
          <w:iCs/>
        </w:rPr>
        <w:t>dichiarazione sull'onore</w:t>
      </w:r>
      <w:r>
        <w:t>" rilasciata a cura del produttore in conformità del modello all'</w:t>
      </w:r>
      <w:r>
        <w:rPr>
          <w:b/>
          <w:bCs/>
        </w:rPr>
        <w:t>allegato III</w:t>
      </w:r>
      <w:r>
        <w:t xml:space="preserve">. </w:t>
      </w:r>
    </w:p>
    <w:p w:rsidR="00247089" w:rsidRPr="003A61F6" w:rsidRDefault="00247089" w:rsidP="0063165A">
      <w:pPr>
        <w:pStyle w:val="ListParagraph"/>
        <w:widowControl/>
        <w:spacing w:before="125" w:line="237" w:lineRule="auto"/>
        <w:ind w:left="540" w:right="106" w:firstLine="0"/>
      </w:pPr>
      <w:r>
        <w:t>La dichiarazione sull'onore è preparata alla fine del processo di produzione per ogni lotto e le specifiche tecniche dei prodotti di gomma lavorata sono accluse a essa.</w:t>
      </w:r>
    </w:p>
    <w:p w:rsidR="00247089" w:rsidRPr="003A61F6" w:rsidRDefault="00247089" w:rsidP="0063165A">
      <w:pPr>
        <w:pStyle w:val="ListParagraph"/>
        <w:widowControl/>
        <w:numPr>
          <w:ilvl w:val="0"/>
          <w:numId w:val="22"/>
        </w:numPr>
        <w:spacing w:before="122"/>
        <w:ind w:left="540" w:right="107" w:hanging="540"/>
      </w:pPr>
      <w:r>
        <w:t>La dichiarazione sull'onore accompagna ogni lotto di prodotti ed è trasferita al successivo soggetto che acquisisce la proprietà del lotto fino all'applicazione finale prevista per tali prodotti.</w:t>
      </w:r>
    </w:p>
    <w:p w:rsidR="00247089" w:rsidRPr="003A61F6" w:rsidRDefault="00247089" w:rsidP="0063165A">
      <w:pPr>
        <w:pStyle w:val="ListParagraph"/>
        <w:widowControl/>
        <w:numPr>
          <w:ilvl w:val="0"/>
          <w:numId w:val="22"/>
        </w:numPr>
        <w:spacing w:before="119"/>
        <w:ind w:left="540" w:right="107" w:hanging="540"/>
      </w:pPr>
      <w:r>
        <w:t>Una copia della dichiarazione sull'onore è conservata da ciascun operatore economico responsabile ed è disponibile in ogni momento per le autorità di vigilanza del mercato competenti.</w:t>
      </w:r>
    </w:p>
    <w:p w:rsidR="00247089" w:rsidRPr="003A61F6" w:rsidRDefault="00247089" w:rsidP="0063165A">
      <w:pPr>
        <w:pStyle w:val="ListParagraph"/>
        <w:widowControl/>
        <w:numPr>
          <w:ilvl w:val="0"/>
          <w:numId w:val="22"/>
        </w:numPr>
        <w:ind w:left="540" w:hanging="540"/>
      </w:pPr>
      <w:r>
        <w:t>La dichiarazione sull'onore può anche essere rilasciata in formato elettronico.</w:t>
      </w:r>
    </w:p>
    <w:p w:rsidR="00247089" w:rsidRPr="0063165A" w:rsidRDefault="00247089" w:rsidP="0063165A">
      <w:pPr>
        <w:pStyle w:val="BodyText"/>
        <w:rPr>
          <w:rFonts w:ascii="Times New Roman" w:hAnsi="Times New Roman"/>
          <w:sz w:val="22"/>
          <w:szCs w:val="22"/>
        </w:rPr>
      </w:pPr>
    </w:p>
    <w:p w:rsidR="00247089" w:rsidRPr="003A61F6" w:rsidRDefault="00943836" w:rsidP="0063165A">
      <w:pPr>
        <w:tabs>
          <w:tab w:val="left" w:pos="5656"/>
        </w:tabs>
        <w:spacing w:line="249" w:lineRule="exact"/>
        <w:jc w:val="center"/>
        <w:rPr>
          <w:rFonts w:ascii="Times New Roman" w:hAnsi="Times New Roman"/>
          <w:b/>
          <w:sz w:val="22"/>
          <w:szCs w:val="22"/>
        </w:rPr>
      </w:pPr>
      <w:r>
        <w:rPr>
          <w:rFonts w:ascii="Times New Roman" w:hAnsi="Times New Roman"/>
          <w:b/>
          <w:sz w:val="22"/>
        </w:rPr>
        <w:t>Articolo 5</w:t>
      </w:r>
    </w:p>
    <w:p w:rsidR="00247089" w:rsidRPr="003A61F6" w:rsidRDefault="00247089" w:rsidP="0063165A">
      <w:pPr>
        <w:spacing w:line="272" w:lineRule="exact"/>
        <w:jc w:val="center"/>
        <w:rPr>
          <w:rFonts w:ascii="Times New Roman" w:hAnsi="Times New Roman"/>
          <w:sz w:val="22"/>
          <w:szCs w:val="22"/>
        </w:rPr>
      </w:pPr>
      <w:r>
        <w:rPr>
          <w:rFonts w:ascii="Times New Roman" w:hAnsi="Times New Roman"/>
          <w:sz w:val="22"/>
        </w:rPr>
        <w:t>Sistema di gestione della qualità – Etichettatura</w:t>
      </w:r>
    </w:p>
    <w:p w:rsidR="00247089" w:rsidRPr="003A61F6" w:rsidRDefault="00247089" w:rsidP="0063165A">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rPr>
        <w:t>Il produttore dei prodotti di cui all'allegato I adotta un sistema di gestione della qualità che soddisfi i requisiti stabiliti all'allegato IV.</w:t>
      </w:r>
    </w:p>
    <w:p w:rsidR="00247089" w:rsidRPr="003A61F6" w:rsidRDefault="00247089" w:rsidP="0063165A">
      <w:pPr>
        <w:spacing w:before="122"/>
        <w:ind w:left="540" w:right="105"/>
        <w:jc w:val="both"/>
        <w:rPr>
          <w:rFonts w:ascii="Times New Roman" w:hAnsi="Times New Roman"/>
          <w:sz w:val="22"/>
          <w:szCs w:val="22"/>
        </w:rPr>
      </w:pPr>
      <w:r>
        <w:rPr>
          <w:rFonts w:ascii="Times New Roman" w:hAnsi="Times New Roman"/>
          <w:sz w:val="22"/>
        </w:rPr>
        <w:t>La conformità ai requisiti di cui all'allegato IV può essere documentata dal produttore mediante attuazione di un sistema di gestione della qualità in conformità della norma internazionale ISO 9001/2015 (</w:t>
      </w:r>
      <w:r>
        <w:rPr>
          <w:rFonts w:ascii="Times New Roman" w:hAnsi="Times New Roman"/>
          <w:i/>
          <w:iCs/>
          <w:sz w:val="22"/>
        </w:rPr>
        <w:t>come di volta in volta vigente</w:t>
      </w:r>
      <w:r>
        <w:rPr>
          <w:rFonts w:ascii="Times New Roman" w:hAnsi="Times New Roman"/>
          <w:sz w:val="22"/>
        </w:rPr>
        <w:t>), certificato da un organismo di valutazione della conformità accreditato.</w:t>
      </w:r>
    </w:p>
    <w:p w:rsidR="00247089" w:rsidRPr="003A61F6" w:rsidRDefault="00247089" w:rsidP="0063165A">
      <w:pPr>
        <w:pStyle w:val="ListParagraph"/>
        <w:widowControl/>
        <w:numPr>
          <w:ilvl w:val="0"/>
          <w:numId w:val="21"/>
        </w:numPr>
        <w:spacing w:before="116"/>
        <w:ind w:left="540" w:right="106" w:hanging="540"/>
      </w:pPr>
      <w:r>
        <w:t>Gli importatori di prodotti di gomma lavorata richiedono ai rispettivi fornitori la dichiarazione sull'onore ai sensi dell'articolo 4 della presente, al fine di poter distribuire liberamente i prodotti sul mercato greco.</w:t>
      </w:r>
    </w:p>
    <w:p w:rsidR="00247089" w:rsidRPr="003A61F6" w:rsidRDefault="00247089" w:rsidP="0063165A">
      <w:pPr>
        <w:pStyle w:val="ListParagraph"/>
        <w:widowControl/>
        <w:numPr>
          <w:ilvl w:val="0"/>
          <w:numId w:val="21"/>
        </w:numPr>
        <w:spacing w:before="121"/>
        <w:ind w:left="540" w:right="110" w:hanging="540"/>
      </w:pPr>
      <w:r>
        <w:t xml:space="preserve">I prodotti di gomma lavorata che rientrano nell'ambito di applicazione dell'allegato I, punto 1, devono anche essere conformi ai requisiti delle decisioni ministeriali congiunte </w:t>
      </w:r>
      <w:proofErr w:type="spellStart"/>
      <w:r>
        <w:t>nn</w:t>
      </w:r>
      <w:proofErr w:type="spellEnd"/>
      <w:r>
        <w:t>. 28492/18.5.2009, 27934/25.7.2014 e 36873/2.8.2007, nelle versioni in vigore.</w:t>
      </w:r>
    </w:p>
    <w:p w:rsidR="00247089" w:rsidRPr="003A61F6" w:rsidRDefault="00247089" w:rsidP="0063165A">
      <w:pPr>
        <w:pStyle w:val="ListParagraph"/>
        <w:widowControl/>
        <w:tabs>
          <w:tab w:val="left" w:pos="446"/>
        </w:tabs>
        <w:spacing w:before="121"/>
        <w:ind w:left="102" w:right="110" w:firstLine="0"/>
      </w:pPr>
    </w:p>
    <w:p w:rsidR="00247089" w:rsidRPr="003A61F6" w:rsidRDefault="00943836" w:rsidP="0063165A">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rPr>
        <w:t>Articolo 6</w:t>
      </w:r>
    </w:p>
    <w:p w:rsidR="00247089" w:rsidRPr="003A61F6" w:rsidRDefault="00247089" w:rsidP="0063165A">
      <w:pPr>
        <w:spacing w:line="274" w:lineRule="exact"/>
        <w:ind w:right="6"/>
        <w:jc w:val="center"/>
        <w:rPr>
          <w:rFonts w:ascii="Times New Roman" w:hAnsi="Times New Roman"/>
          <w:sz w:val="22"/>
          <w:szCs w:val="22"/>
        </w:rPr>
      </w:pPr>
      <w:r>
        <w:rPr>
          <w:rFonts w:ascii="Times New Roman" w:hAnsi="Times New Roman"/>
          <w:sz w:val="22"/>
        </w:rPr>
        <w:t>Requisiti generali per la produzione - Informazioni per i clienti</w:t>
      </w:r>
    </w:p>
    <w:p w:rsidR="00247089" w:rsidRPr="003A61F6" w:rsidRDefault="00247089" w:rsidP="0063165A">
      <w:pPr>
        <w:pStyle w:val="ListParagraph"/>
        <w:widowControl/>
        <w:numPr>
          <w:ilvl w:val="0"/>
          <w:numId w:val="20"/>
        </w:numPr>
        <w:spacing w:before="125" w:line="237" w:lineRule="auto"/>
        <w:ind w:left="540" w:right="106" w:hanging="540"/>
      </w:pPr>
      <w:r>
        <w:t xml:space="preserve">Per la valutazione di conformità dei prodotti di cui all'allegato I, i produttori possono applicare le norme europee armonizzate. Ove non esistano norme europee armonizzate, i produttori possono applicare le corrispondenti norme internazionali, europee o nazionali oppure specifiche tecniche o buone pratiche riconosciute a livello internazionale. </w:t>
      </w:r>
    </w:p>
    <w:p w:rsidR="00247089" w:rsidRPr="003A61F6" w:rsidRDefault="00247089" w:rsidP="0063165A">
      <w:pPr>
        <w:pStyle w:val="ListParagraph"/>
        <w:widowControl/>
        <w:spacing w:before="125" w:line="237" w:lineRule="auto"/>
        <w:ind w:left="540" w:right="106" w:firstLine="0"/>
      </w:pPr>
      <w:r>
        <w:t xml:space="preserve">L'allegato V riporta anche, a beneficio dei produttori, l'elenco indicativo delle norme e delle specifiche tecniche. </w:t>
      </w:r>
    </w:p>
    <w:p w:rsidR="00247089" w:rsidRPr="003A61F6" w:rsidRDefault="00247089" w:rsidP="0063165A">
      <w:pPr>
        <w:pStyle w:val="ListParagraph"/>
        <w:widowControl/>
        <w:numPr>
          <w:ilvl w:val="0"/>
          <w:numId w:val="20"/>
        </w:numPr>
        <w:spacing w:before="125" w:line="237" w:lineRule="auto"/>
        <w:ind w:left="540" w:right="106" w:hanging="540"/>
      </w:pPr>
      <w:r>
        <w:lastRenderedPageBreak/>
        <w:t xml:space="preserve">La valutazione di conformità è svolta da un organismo di valutazione della conformità ai sensi del regolamento (CE) 765/2008, il quale rilascia un Certificato di conformità conforme ai requisiti della presente decisione, su richiesta del produttore per gli scopi a cui esso è destinato. Il Certificato di conformità è riferito ai prodotti finiti di gomma lavorata. </w:t>
      </w:r>
    </w:p>
    <w:p w:rsidR="00247089" w:rsidRPr="003A61F6" w:rsidRDefault="00247089" w:rsidP="0063165A">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rPr>
        <w:t>Il produttore, l'importatore o il distributore è tenuto a fornire al cliente le necessarie raccomandazioni, informazioni e i necessari suggerimenti, a informarlo in merito alle norme applicate e a formulare raccomandazioni in merito alle opportune precauzioni volte ad evitare potenziali rischi.</w:t>
      </w:r>
    </w:p>
    <w:p w:rsidR="00247089" w:rsidRPr="003A61F6" w:rsidRDefault="00247089" w:rsidP="0063165A">
      <w:pPr>
        <w:pStyle w:val="ListParagraph"/>
        <w:widowControl/>
        <w:spacing w:before="125" w:line="237" w:lineRule="auto"/>
        <w:ind w:left="540" w:right="106" w:firstLine="0"/>
      </w:pPr>
      <w:r>
        <w:t>Le raccomandazioni, le informazioni e i suggerimenti devono essere chiari e comprensibili, riguardare le tecniche di produzione applicate ai prodotti, evidenziare la vita utile prevista per il prodotto in condizioni di utilizzo normali e ragionevolmente prevedibili, proporre le necessarie ispezioni programmate, il metodo di manutenzione nonché le azioni correttive finalizzate alla sicurezza e all'igiene degli utenti.</w:t>
      </w:r>
    </w:p>
    <w:p w:rsidR="00247089" w:rsidRPr="0063165A" w:rsidRDefault="00247089" w:rsidP="0063165A">
      <w:pPr>
        <w:pStyle w:val="BodyText"/>
        <w:spacing w:before="9"/>
        <w:rPr>
          <w:rFonts w:ascii="Times New Roman" w:hAnsi="Times New Roman"/>
          <w:sz w:val="22"/>
          <w:szCs w:val="22"/>
        </w:rPr>
      </w:pPr>
    </w:p>
    <w:p w:rsidR="00247089" w:rsidRPr="003A61F6" w:rsidRDefault="00943836" w:rsidP="0063165A">
      <w:pPr>
        <w:tabs>
          <w:tab w:val="left" w:pos="1060"/>
        </w:tabs>
        <w:ind w:right="6"/>
        <w:jc w:val="center"/>
        <w:rPr>
          <w:rFonts w:ascii="Times New Roman" w:hAnsi="Times New Roman"/>
          <w:b/>
          <w:sz w:val="22"/>
          <w:szCs w:val="22"/>
        </w:rPr>
      </w:pPr>
      <w:r>
        <w:rPr>
          <w:rFonts w:ascii="Times New Roman" w:hAnsi="Times New Roman"/>
          <w:b/>
          <w:sz w:val="22"/>
        </w:rPr>
        <w:t>Articolo 7</w:t>
      </w:r>
    </w:p>
    <w:p w:rsidR="00247089" w:rsidRPr="003A61F6" w:rsidRDefault="00247089" w:rsidP="0063165A">
      <w:pPr>
        <w:ind w:right="6"/>
        <w:jc w:val="center"/>
        <w:rPr>
          <w:rFonts w:ascii="Times New Roman" w:hAnsi="Times New Roman"/>
          <w:sz w:val="22"/>
          <w:szCs w:val="22"/>
        </w:rPr>
      </w:pPr>
      <w:r>
        <w:rPr>
          <w:rFonts w:ascii="Times New Roman" w:hAnsi="Times New Roman"/>
          <w:sz w:val="22"/>
        </w:rPr>
        <w:t>Vigilanza del mercato</w:t>
      </w:r>
    </w:p>
    <w:p w:rsidR="00247089" w:rsidRPr="003A61F6" w:rsidRDefault="00247089" w:rsidP="0063165A">
      <w:pPr>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rPr>
        <w:t>L'autorità nazionale competente per la vigilanza del mercato per i prodotti rientranti nell'ambito di applicazione della presente decisione e per l'adeguata attuazione delle rispettive disposizioni è il segretariato generale per l'Industria del ministero dello Sviluppo e degli investimenti. Nel contesto degli obblighi di vigilanza che su di essa ricadono, relativi alla preparazione e all'esecuzione di un programma annuale di vigilanza del mercato [</w:t>
      </w:r>
      <w:r>
        <w:rPr>
          <w:rFonts w:ascii="Times New Roman" w:hAnsi="Times New Roman"/>
          <w:i/>
          <w:iCs/>
          <w:sz w:val="22"/>
        </w:rPr>
        <w:t>regolamento (CE) n. 765/2008</w:t>
      </w:r>
      <w:r>
        <w:rPr>
          <w:rFonts w:ascii="Times New Roman" w:hAnsi="Times New Roman"/>
          <w:i/>
          <w:sz w:val="22"/>
        </w:rPr>
        <w:t xml:space="preserve"> </w:t>
      </w:r>
      <w:r>
        <w:rPr>
          <w:rFonts w:ascii="Times New Roman" w:hAnsi="Times New Roman"/>
          <w:i/>
          <w:iCs/>
          <w:sz w:val="22"/>
        </w:rPr>
        <w:t>e legge 4072/2012, capitolo V</w:t>
      </w:r>
      <w:r>
        <w:rPr>
          <w:rFonts w:ascii="Times New Roman" w:hAnsi="Times New Roman"/>
          <w:sz w:val="22"/>
        </w:rPr>
        <w:t>], l'autorità deve includere anche i controlli sui prodotti contemplati nella presente decisione.</w:t>
      </w:r>
    </w:p>
    <w:p w:rsidR="00247089" w:rsidRPr="003A61F6" w:rsidRDefault="00247089" w:rsidP="0063165A">
      <w:pPr>
        <w:pStyle w:val="ListParagraph"/>
        <w:widowControl/>
        <w:numPr>
          <w:ilvl w:val="0"/>
          <w:numId w:val="33"/>
        </w:numPr>
        <w:adjustRightInd w:val="0"/>
        <w:ind w:left="540" w:hanging="540"/>
      </w:pPr>
      <w:r>
        <w:t>Il laboratorio generale di Stato, in sede di elaborazione di programmi d'ispezione dei prodotti al fine di valutare la conformità degli stessi con i regolamenti REACH e CLP, di sua competenza, elabora, a seconda del caso, ai sensi della decisione ministeriale n. 450/2008 (Gazzetta ufficiale greca B' 2553/2008) e della decisione ministeriale congiunta n. 3015811/2663 (Gazzetta ufficiale greca B' 1410/2010), programmi di ispezione per valutare la conformità dei prodotti di cui alla presente decisione con i regolamenti REACH e CLP.</w:t>
      </w:r>
    </w:p>
    <w:p w:rsidR="00247089" w:rsidRPr="003A61F6" w:rsidRDefault="00247089" w:rsidP="0063165A">
      <w:pPr>
        <w:pStyle w:val="ListParagraph"/>
        <w:widowControl/>
        <w:numPr>
          <w:ilvl w:val="0"/>
          <w:numId w:val="33"/>
        </w:numPr>
        <w:spacing w:after="120"/>
        <w:ind w:left="540" w:right="105" w:hanging="540"/>
      </w:pPr>
      <w:r>
        <w:t>I controlli sono effettuati nei locali di produzione, imballaggio, stoccaggio e distribuzione, nonché sui carichi destinati ad essere stoccati o consegnati per installazioni in scuole, aree da gioco all'interno e all'esterno, campi sportivi, impianti sportivi, piscine, palestre pubbliche e private, ecc.</w:t>
      </w:r>
    </w:p>
    <w:p w:rsidR="00247089" w:rsidRPr="003A61F6" w:rsidRDefault="00247089" w:rsidP="0063165A">
      <w:pPr>
        <w:pStyle w:val="ListParagraph"/>
        <w:widowControl/>
        <w:numPr>
          <w:ilvl w:val="0"/>
          <w:numId w:val="33"/>
        </w:numPr>
        <w:spacing w:after="120"/>
        <w:ind w:left="540" w:right="105" w:hanging="540"/>
      </w:pPr>
      <w:r>
        <w:t>Le prove di laboratorio effettuate per controllare e documentare la conformità dei prodotti finali fabbricati sono svolte esclusivamente da laboratori accreditati per ogni settore.</w:t>
      </w:r>
    </w:p>
    <w:p w:rsidR="00247089" w:rsidRPr="003A61F6" w:rsidRDefault="00247089" w:rsidP="0063165A">
      <w:pPr>
        <w:pStyle w:val="Default"/>
        <w:numPr>
          <w:ilvl w:val="0"/>
          <w:numId w:val="33"/>
        </w:numPr>
        <w:spacing w:before="120" w:after="120"/>
        <w:ind w:left="540" w:hanging="540"/>
        <w:jc w:val="both"/>
        <w:rPr>
          <w:color w:val="auto"/>
          <w:sz w:val="22"/>
          <w:szCs w:val="22"/>
        </w:rPr>
      </w:pPr>
      <w:r>
        <w:rPr>
          <w:color w:val="auto"/>
          <w:sz w:val="22"/>
        </w:rPr>
        <w:t xml:space="preserve">I campioni prelevati nell'esercizio della vigilanza del mercato, al fine di verificare la conformità degli stessi ai regolamenti REACH e CLP, sono esaminati esclusivamente dai laboratori del laboratorio generale di Stato. </w:t>
      </w:r>
    </w:p>
    <w:p w:rsidR="00247089" w:rsidRPr="0063165A" w:rsidRDefault="00247089" w:rsidP="0063165A">
      <w:pPr>
        <w:tabs>
          <w:tab w:val="left" w:pos="1156"/>
        </w:tabs>
        <w:spacing w:line="274" w:lineRule="exact"/>
        <w:ind w:right="6"/>
        <w:jc w:val="center"/>
        <w:rPr>
          <w:rFonts w:ascii="Times New Roman" w:hAnsi="Times New Roman"/>
          <w:b/>
          <w:sz w:val="22"/>
          <w:szCs w:val="22"/>
        </w:rPr>
      </w:pPr>
    </w:p>
    <w:p w:rsidR="00247089" w:rsidRPr="003A61F6" w:rsidRDefault="00943836" w:rsidP="0063165A">
      <w:pPr>
        <w:tabs>
          <w:tab w:val="left" w:pos="1156"/>
        </w:tabs>
        <w:spacing w:line="274" w:lineRule="exact"/>
        <w:ind w:right="6"/>
        <w:jc w:val="center"/>
        <w:rPr>
          <w:rFonts w:ascii="Times New Roman" w:hAnsi="Times New Roman"/>
          <w:b/>
          <w:sz w:val="22"/>
          <w:szCs w:val="22"/>
        </w:rPr>
      </w:pPr>
      <w:r>
        <w:rPr>
          <w:rFonts w:ascii="Times New Roman" w:hAnsi="Times New Roman"/>
          <w:b/>
          <w:sz w:val="22"/>
        </w:rPr>
        <w:t>Articolo 8</w:t>
      </w:r>
    </w:p>
    <w:p w:rsidR="00247089" w:rsidRPr="003A61F6" w:rsidRDefault="00247089" w:rsidP="0063165A">
      <w:pPr>
        <w:spacing w:line="274" w:lineRule="exact"/>
        <w:ind w:left="3061"/>
        <w:rPr>
          <w:rFonts w:ascii="Times New Roman" w:hAnsi="Times New Roman"/>
          <w:sz w:val="22"/>
          <w:szCs w:val="22"/>
        </w:rPr>
      </w:pPr>
      <w:r>
        <w:rPr>
          <w:rFonts w:ascii="Times New Roman" w:hAnsi="Times New Roman"/>
          <w:sz w:val="22"/>
        </w:rPr>
        <w:t>Obblighi degli operatori economici</w:t>
      </w:r>
    </w:p>
    <w:p w:rsidR="00247089" w:rsidRPr="003A61F6" w:rsidRDefault="00247089" w:rsidP="0063165A">
      <w:pPr>
        <w:spacing w:before="122"/>
        <w:ind w:left="102"/>
        <w:rPr>
          <w:rFonts w:ascii="Times New Roman" w:hAnsi="Times New Roman"/>
          <w:sz w:val="22"/>
          <w:szCs w:val="22"/>
        </w:rPr>
      </w:pPr>
      <w:r>
        <w:rPr>
          <w:rFonts w:ascii="Times New Roman" w:hAnsi="Times New Roman"/>
          <w:sz w:val="22"/>
        </w:rPr>
        <w:t>Gli obblighi degli operatori economici soggetti alle disposizioni della presente decisione sono definiti nei seguenti paragrafi.</w:t>
      </w:r>
    </w:p>
    <w:p w:rsidR="00247089" w:rsidRPr="003A61F6" w:rsidRDefault="00247089" w:rsidP="0063165A">
      <w:pPr>
        <w:pStyle w:val="ListParagraph"/>
        <w:widowControl/>
        <w:numPr>
          <w:ilvl w:val="0"/>
          <w:numId w:val="18"/>
        </w:numPr>
        <w:ind w:left="540" w:hanging="540"/>
        <w:jc w:val="left"/>
        <w:rPr>
          <w:b/>
        </w:rPr>
      </w:pPr>
      <w:r>
        <w:t xml:space="preserve">I </w:t>
      </w:r>
      <w:r>
        <w:rPr>
          <w:b/>
          <w:bCs/>
        </w:rPr>
        <w:t>produttori</w:t>
      </w:r>
      <w:r>
        <w:t>, gli importatori e i distributori sono obbligati a:</w:t>
      </w:r>
    </w:p>
    <w:p w:rsidR="00247089" w:rsidRPr="003A61F6" w:rsidRDefault="00247089" w:rsidP="0063165A">
      <w:pPr>
        <w:pStyle w:val="ListParagraph"/>
        <w:widowControl/>
        <w:numPr>
          <w:ilvl w:val="1"/>
          <w:numId w:val="18"/>
        </w:numPr>
        <w:tabs>
          <w:tab w:val="left" w:pos="810"/>
        </w:tabs>
        <w:spacing w:after="120"/>
        <w:ind w:left="811" w:right="109" w:hanging="284"/>
      </w:pPr>
      <w:r>
        <w:t>fornire al mercato prodotti conformi alle disposizioni della presente decisione;</w:t>
      </w:r>
    </w:p>
    <w:p w:rsidR="00247089" w:rsidRPr="003A61F6" w:rsidRDefault="00247089" w:rsidP="0063165A">
      <w:pPr>
        <w:pStyle w:val="ListParagraph"/>
        <w:widowControl/>
        <w:numPr>
          <w:ilvl w:val="1"/>
          <w:numId w:val="18"/>
        </w:numPr>
        <w:tabs>
          <w:tab w:val="left" w:pos="810"/>
        </w:tabs>
        <w:spacing w:after="120"/>
        <w:ind w:left="811" w:right="109" w:hanging="284"/>
      </w:pPr>
      <w:r>
        <w:t>redigere o esigere che venga redatta dal produttore la dichiarazione sull'onore ai sensi dell'articolo 4 della presente, che dovrebbe essere consegnata al cliente insieme a un documento tecnico pertinente, a raccomandazioni e a informazioni adeguate;</w:t>
      </w:r>
    </w:p>
    <w:p w:rsidR="00247089" w:rsidRPr="003A61F6" w:rsidRDefault="00247089" w:rsidP="0063165A">
      <w:pPr>
        <w:pStyle w:val="ListParagraph"/>
        <w:widowControl/>
        <w:numPr>
          <w:ilvl w:val="1"/>
          <w:numId w:val="18"/>
        </w:numPr>
        <w:tabs>
          <w:tab w:val="left" w:pos="810"/>
        </w:tabs>
        <w:spacing w:after="120"/>
        <w:ind w:left="811" w:hanging="284"/>
      </w:pPr>
      <w:r>
        <w:t>fornire alle autorità di vigilanza del mercato competenti, su richiesta, accesso al sistema di gestione della qualità adottato;</w:t>
      </w:r>
    </w:p>
    <w:p w:rsidR="00247089" w:rsidRPr="003A61F6" w:rsidRDefault="00247089" w:rsidP="0063165A">
      <w:pPr>
        <w:pStyle w:val="ListParagraph"/>
        <w:widowControl/>
        <w:numPr>
          <w:ilvl w:val="1"/>
          <w:numId w:val="18"/>
        </w:numPr>
        <w:tabs>
          <w:tab w:val="left" w:pos="810"/>
        </w:tabs>
        <w:spacing w:after="120"/>
        <w:ind w:left="811" w:right="112" w:hanging="284"/>
      </w:pPr>
      <w:r>
        <w:t>fornire accesso a tutti i locali, gli impianti e i documenti relativi alla lavorazione, allo stoccaggio e all'installazione dei prodotti, su richiesta delle autorità di vigilanza del mercato competenti, al fine di valutare la conformità alle disposizioni della presente decisione;</w:t>
      </w:r>
    </w:p>
    <w:p w:rsidR="00247089" w:rsidRPr="003A61F6" w:rsidRDefault="00247089" w:rsidP="0063165A">
      <w:pPr>
        <w:pStyle w:val="ListParagraph"/>
        <w:widowControl/>
        <w:numPr>
          <w:ilvl w:val="1"/>
          <w:numId w:val="18"/>
        </w:numPr>
        <w:tabs>
          <w:tab w:val="left" w:pos="810"/>
        </w:tabs>
        <w:spacing w:after="120"/>
        <w:ind w:left="811" w:hanging="284"/>
        <w:jc w:val="left"/>
      </w:pPr>
      <w:r>
        <w:lastRenderedPageBreak/>
        <w:t>attuare un sistema di tracciabilità;</w:t>
      </w:r>
    </w:p>
    <w:p w:rsidR="00247089" w:rsidRPr="003A61F6" w:rsidRDefault="00247089" w:rsidP="0063165A">
      <w:pPr>
        <w:pStyle w:val="ListParagraph"/>
        <w:widowControl/>
        <w:numPr>
          <w:ilvl w:val="1"/>
          <w:numId w:val="18"/>
        </w:numPr>
        <w:tabs>
          <w:tab w:val="left" w:pos="810"/>
        </w:tabs>
        <w:spacing w:after="120"/>
        <w:ind w:left="811" w:right="123" w:hanging="284"/>
      </w:pPr>
      <w:r>
        <w:t>informare le autorità di vigilanza del mercato competenti dei potenziali rischi e collaborare con esse per prevenirli;</w:t>
      </w:r>
    </w:p>
    <w:p w:rsidR="00247089" w:rsidRPr="003A61F6" w:rsidRDefault="00247089" w:rsidP="0063165A">
      <w:pPr>
        <w:pStyle w:val="ListParagraph"/>
        <w:widowControl/>
        <w:numPr>
          <w:ilvl w:val="0"/>
          <w:numId w:val="18"/>
        </w:numPr>
        <w:tabs>
          <w:tab w:val="left" w:pos="530"/>
        </w:tabs>
        <w:spacing w:before="119"/>
        <w:ind w:left="450" w:right="108" w:hanging="540"/>
        <w:jc w:val="both"/>
      </w:pPr>
      <w:r>
        <w:t xml:space="preserve">I </w:t>
      </w:r>
      <w:r>
        <w:rPr>
          <w:b/>
          <w:bCs/>
        </w:rPr>
        <w:t>clienti</w:t>
      </w:r>
      <w:r>
        <w:t xml:space="preserve"> responsabili per le applicazioni e l'uso dei prodotti in relazione al pubblico sono obbligati, fatte salve disposizioni più specifiche (</w:t>
      </w:r>
      <w:r>
        <w:rPr>
          <w:i/>
          <w:iCs/>
        </w:rPr>
        <w:t>come ad esempio le leggi relative ai contratti ecologici</w:t>
      </w:r>
      <w:r>
        <w:t>), a:</w:t>
      </w:r>
    </w:p>
    <w:p w:rsidR="00247089" w:rsidRPr="003A61F6" w:rsidRDefault="00247089" w:rsidP="0063165A">
      <w:pPr>
        <w:pStyle w:val="ListParagraph"/>
        <w:widowControl/>
        <w:numPr>
          <w:ilvl w:val="1"/>
          <w:numId w:val="18"/>
        </w:numPr>
        <w:tabs>
          <w:tab w:val="left" w:pos="810"/>
        </w:tabs>
        <w:spacing w:after="120"/>
        <w:ind w:left="811" w:right="109" w:hanging="284"/>
      </w:pPr>
      <w:r>
        <w:t>includere i requisiti della presente decisione tra le specifiche tecniche per le gare d'appalto che indicono per l'acquisizione di tali prodotti e richiedere la presentazione di documenti giustificativi e certificati di conformità adeguati;</w:t>
      </w:r>
    </w:p>
    <w:p w:rsidR="00247089" w:rsidRPr="003A61F6" w:rsidRDefault="00247089" w:rsidP="0063165A">
      <w:pPr>
        <w:pStyle w:val="ListParagraph"/>
        <w:widowControl/>
        <w:numPr>
          <w:ilvl w:val="1"/>
          <w:numId w:val="18"/>
        </w:numPr>
        <w:tabs>
          <w:tab w:val="left" w:pos="810"/>
        </w:tabs>
        <w:spacing w:after="120"/>
        <w:ind w:left="811" w:right="113" w:hanging="284"/>
      </w:pPr>
      <w:r>
        <w:t>conservare la dichiarazione sull'onore e la scheda tecnica ricevute dal produttore o dall'importatore, per ogni lotto di prodotti forniti;</w:t>
      </w:r>
    </w:p>
    <w:p w:rsidR="00247089" w:rsidRPr="003A61F6" w:rsidRDefault="00247089" w:rsidP="0063165A">
      <w:pPr>
        <w:pStyle w:val="ListParagraph"/>
        <w:widowControl/>
        <w:numPr>
          <w:ilvl w:val="1"/>
          <w:numId w:val="18"/>
        </w:numPr>
        <w:tabs>
          <w:tab w:val="left" w:pos="810"/>
        </w:tabs>
        <w:spacing w:after="120"/>
        <w:ind w:left="811" w:right="110" w:hanging="284"/>
      </w:pPr>
      <w:r>
        <w:t>rispettare le raccomandazioni e i suggerimenti ricevuti dal produttore o dall'importatore dei prodotti;</w:t>
      </w:r>
    </w:p>
    <w:p w:rsidR="00247089" w:rsidRPr="003A61F6" w:rsidRDefault="00247089" w:rsidP="0063165A">
      <w:pPr>
        <w:pStyle w:val="ListParagraph"/>
        <w:widowControl/>
        <w:numPr>
          <w:ilvl w:val="1"/>
          <w:numId w:val="18"/>
        </w:numPr>
        <w:tabs>
          <w:tab w:val="left" w:pos="810"/>
        </w:tabs>
        <w:spacing w:after="120"/>
        <w:ind w:left="811" w:right="108" w:hanging="284"/>
      </w:pPr>
      <w:r>
        <w:t>fornire accesso a tutti i locali, gli impianti e i documenti relativi alla lavorazione, allo stoccaggio e all'installazione dei prodotti, su richiesta delle autorità competenti per la vigilanza del mercato, al fine di valutare la conformità alle disposizioni della presente decisione;</w:t>
      </w:r>
    </w:p>
    <w:p w:rsidR="00247089" w:rsidRPr="003A61F6" w:rsidRDefault="00247089" w:rsidP="0063165A">
      <w:pPr>
        <w:pStyle w:val="ListParagraph"/>
        <w:widowControl/>
        <w:numPr>
          <w:ilvl w:val="1"/>
          <w:numId w:val="18"/>
        </w:numPr>
        <w:tabs>
          <w:tab w:val="left" w:pos="810"/>
        </w:tabs>
        <w:spacing w:after="120"/>
        <w:ind w:left="811" w:right="113" w:hanging="284"/>
      </w:pPr>
      <w:r>
        <w:t>informare le autorità competenti per la vigilanza del mercato dei potenziali rischi e collaborare con esse per prevenirli.</w:t>
      </w:r>
    </w:p>
    <w:p w:rsidR="00247089" w:rsidRPr="003A61F6" w:rsidRDefault="00247089" w:rsidP="0063165A">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b w:val="0"/>
          <w:sz w:val="22"/>
        </w:rPr>
        <w:t xml:space="preserve">Gli </w:t>
      </w:r>
      <w:r>
        <w:rPr>
          <w:rFonts w:ascii="Times New Roman" w:hAnsi="Times New Roman"/>
          <w:bCs/>
          <w:sz w:val="22"/>
        </w:rPr>
        <w:t>organismi</w:t>
      </w:r>
      <w:r>
        <w:rPr>
          <w:rFonts w:ascii="Times New Roman" w:hAnsi="Times New Roman"/>
          <w:b w:val="0"/>
          <w:sz w:val="22"/>
        </w:rPr>
        <w:t xml:space="preserve"> di valutazione della conformità sono obbligati a:</w:t>
      </w:r>
    </w:p>
    <w:p w:rsidR="00247089" w:rsidRPr="003A61F6" w:rsidRDefault="00247089" w:rsidP="0063165A">
      <w:pPr>
        <w:pStyle w:val="ListParagraph"/>
        <w:widowControl/>
        <w:numPr>
          <w:ilvl w:val="1"/>
          <w:numId w:val="18"/>
        </w:numPr>
        <w:tabs>
          <w:tab w:val="left" w:pos="810"/>
        </w:tabs>
        <w:spacing w:after="120"/>
        <w:ind w:left="811" w:right="122" w:hanging="284"/>
      </w:pPr>
      <w:r>
        <w:t>soddisfare pienamente i requisiti della normativa tecnica che li concerne e ad osservare regolarmente le condizioni di funzionamento alle quali sono soggetti;</w:t>
      </w:r>
    </w:p>
    <w:p w:rsidR="00247089" w:rsidRPr="003A61F6" w:rsidRDefault="00247089" w:rsidP="0063165A">
      <w:pPr>
        <w:pStyle w:val="ListParagraph"/>
        <w:widowControl/>
        <w:numPr>
          <w:ilvl w:val="1"/>
          <w:numId w:val="18"/>
        </w:numPr>
        <w:tabs>
          <w:tab w:val="left" w:pos="810"/>
        </w:tabs>
        <w:spacing w:after="120"/>
        <w:ind w:left="811" w:hanging="284"/>
        <w:jc w:val="left"/>
      </w:pPr>
      <w:r>
        <w:t>esercitare i propri poteri in maniera indipendente e imparziale;</w:t>
      </w:r>
    </w:p>
    <w:p w:rsidR="00247089" w:rsidRPr="003A61F6" w:rsidRDefault="00247089" w:rsidP="0063165A">
      <w:pPr>
        <w:pStyle w:val="ListParagraph"/>
        <w:widowControl/>
        <w:numPr>
          <w:ilvl w:val="1"/>
          <w:numId w:val="18"/>
        </w:numPr>
        <w:tabs>
          <w:tab w:val="left" w:pos="810"/>
        </w:tabs>
        <w:spacing w:after="120"/>
        <w:ind w:left="811" w:right="111" w:hanging="284"/>
      </w:pPr>
      <w:r>
        <w:t>rilasciare idonei certificati, conformi alla normativa e ai regolamenti tecnici;</w:t>
      </w:r>
    </w:p>
    <w:p w:rsidR="00247089" w:rsidRPr="003A61F6" w:rsidRDefault="00247089" w:rsidP="0063165A">
      <w:pPr>
        <w:pStyle w:val="ListParagraph"/>
        <w:widowControl/>
        <w:numPr>
          <w:ilvl w:val="1"/>
          <w:numId w:val="18"/>
        </w:numPr>
        <w:tabs>
          <w:tab w:val="left" w:pos="810"/>
        </w:tabs>
        <w:spacing w:after="120"/>
        <w:ind w:left="811" w:right="114" w:hanging="284"/>
      </w:pPr>
      <w:r>
        <w:t>informare le autorità competenti dei potenziali rischi e collaborare con esse per prevenirli.</w:t>
      </w:r>
    </w:p>
    <w:p w:rsidR="00247089" w:rsidRPr="0063165A" w:rsidRDefault="00247089" w:rsidP="0063165A">
      <w:pPr>
        <w:tabs>
          <w:tab w:val="left" w:pos="1060"/>
        </w:tabs>
        <w:spacing w:line="250" w:lineRule="exact"/>
        <w:ind w:right="6"/>
        <w:jc w:val="center"/>
        <w:rPr>
          <w:rFonts w:ascii="Times New Roman" w:hAnsi="Times New Roman"/>
          <w:b/>
          <w:sz w:val="22"/>
          <w:szCs w:val="22"/>
        </w:rPr>
      </w:pPr>
    </w:p>
    <w:p w:rsidR="00247089" w:rsidRPr="003A61F6" w:rsidRDefault="00A01F2C" w:rsidP="0063165A">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Articolo 9</w:t>
      </w:r>
    </w:p>
    <w:p w:rsidR="00247089" w:rsidRPr="003A61F6" w:rsidRDefault="00247089" w:rsidP="0063165A">
      <w:pPr>
        <w:tabs>
          <w:tab w:val="left" w:pos="1060"/>
        </w:tabs>
        <w:spacing w:line="250" w:lineRule="exact"/>
        <w:ind w:right="6"/>
        <w:jc w:val="center"/>
        <w:rPr>
          <w:rFonts w:ascii="Times New Roman" w:hAnsi="Times New Roman"/>
          <w:sz w:val="22"/>
          <w:szCs w:val="22"/>
        </w:rPr>
      </w:pPr>
      <w:r>
        <w:rPr>
          <w:rFonts w:ascii="Times New Roman" w:hAnsi="Times New Roman"/>
          <w:sz w:val="22"/>
        </w:rPr>
        <w:t>Clausola di riconoscimento reciproco</w:t>
      </w:r>
    </w:p>
    <w:p w:rsidR="00247089" w:rsidRPr="003A61F6" w:rsidRDefault="00247089" w:rsidP="0063165A">
      <w:pPr>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rPr>
        <w:t xml:space="preserve">I prodotti di gomma lavorata con metodi industriali, destinati agli usi stabiliti all'allegato I, immessi legalmente sul mercato degli Stati membri dell'Unione europea o in Turchia o che provengano e siano immessi legalmente sul mercato di Stati dell'EFTA che sono parti contraenti dell'accordo SEE, si presumono conformi alle disposizioni della presente decisione. </w:t>
      </w:r>
    </w:p>
    <w:p w:rsidR="00247089" w:rsidRPr="003A61F6" w:rsidRDefault="00247089" w:rsidP="0063165A">
      <w:pPr>
        <w:spacing w:before="120" w:after="120"/>
        <w:ind w:left="540" w:right="6"/>
        <w:jc w:val="both"/>
        <w:rPr>
          <w:rFonts w:ascii="Times New Roman" w:hAnsi="Times New Roman"/>
          <w:b/>
          <w:sz w:val="22"/>
          <w:szCs w:val="22"/>
        </w:rPr>
      </w:pPr>
      <w:r>
        <w:rPr>
          <w:rFonts w:ascii="Times New Roman" w:hAnsi="Times New Roman"/>
          <w:sz w:val="22"/>
        </w:rPr>
        <w:t>L'applicazione di queste norme è disciplinata dal regolamento (CE) 764/2008 del Parlamento europeo e del Consiglio, del 9 luglio 2008, sull'istituzione di procedure relative all'applicazione di specifiche norme tecniche ai prodotti che circolano legalmente sul mercato di un altro Stato membro e che abroga la decisione n. 3052/95/CE (GU L 218 del 13.8.2008, p. 21) fino al 18 aprile 2020, e dal regolamento (UE) n. 2019/515 del 19 marzo 2019 relativo alla clausola di riconoscimento reciproco delle merci che circolano legalmente sul mercato di un altro Stato membro a partire dal 19 aprile 2020</w:t>
      </w:r>
      <w:r>
        <w:rPr>
          <w:rFonts w:ascii="Times New Roman" w:hAnsi="Times New Roman"/>
          <w:b/>
          <w:sz w:val="22"/>
        </w:rPr>
        <w:t>.</w:t>
      </w:r>
    </w:p>
    <w:p w:rsidR="00247089" w:rsidRPr="003A61F6" w:rsidRDefault="00247089" w:rsidP="0063165A">
      <w:pPr>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rPr>
        <w:t>Fatto salvo quanto previsto dal paragrafo 1, i prodotti di gomma lavorata possono circolare liberamente sul mercato greco, a condizione di garantire, in modo documentato, livelli di rendimento confacenti alle disposizioni della presente e di essere conformi alle disposizioni della legislazione europea.</w:t>
      </w:r>
    </w:p>
    <w:p w:rsidR="00247089" w:rsidRPr="0063165A" w:rsidRDefault="00247089" w:rsidP="0063165A">
      <w:pPr>
        <w:tabs>
          <w:tab w:val="left" w:pos="1060"/>
        </w:tabs>
        <w:spacing w:line="250" w:lineRule="exact"/>
        <w:ind w:right="6"/>
        <w:jc w:val="center"/>
        <w:rPr>
          <w:rFonts w:ascii="Times New Roman" w:hAnsi="Times New Roman"/>
          <w:b/>
          <w:sz w:val="22"/>
          <w:szCs w:val="22"/>
        </w:rPr>
      </w:pPr>
    </w:p>
    <w:p w:rsidR="00247089" w:rsidRPr="003A61F6" w:rsidRDefault="00A01F2C" w:rsidP="0063165A">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Articolo 10</w:t>
      </w:r>
    </w:p>
    <w:p w:rsidR="00247089" w:rsidRPr="003A61F6" w:rsidRDefault="00247089" w:rsidP="0063165A">
      <w:pPr>
        <w:pStyle w:val="Heading3"/>
        <w:spacing w:line="250" w:lineRule="exact"/>
        <w:ind w:right="6"/>
        <w:rPr>
          <w:rFonts w:ascii="Times New Roman" w:hAnsi="Times New Roman"/>
          <w:sz w:val="22"/>
          <w:szCs w:val="22"/>
        </w:rPr>
      </w:pPr>
      <w:r>
        <w:rPr>
          <w:rFonts w:ascii="Times New Roman" w:hAnsi="Times New Roman"/>
          <w:sz w:val="22"/>
        </w:rPr>
        <w:t>Sanzioni</w:t>
      </w:r>
    </w:p>
    <w:p w:rsidR="00247089" w:rsidRPr="003A61F6" w:rsidRDefault="00247089" w:rsidP="0063165A">
      <w:pPr>
        <w:pStyle w:val="Default"/>
        <w:numPr>
          <w:ilvl w:val="0"/>
          <w:numId w:val="37"/>
        </w:numPr>
        <w:spacing w:before="120" w:after="120"/>
        <w:ind w:left="540" w:hanging="385"/>
        <w:jc w:val="both"/>
        <w:rPr>
          <w:color w:val="auto"/>
          <w:sz w:val="22"/>
          <w:szCs w:val="22"/>
        </w:rPr>
      </w:pPr>
      <w:r>
        <w:rPr>
          <w:color w:val="auto"/>
          <w:sz w:val="22"/>
        </w:rPr>
        <w:t>Entro sei (6) mesi dall'entrata in vigore della presente decisione, i prodotti di gomma lavorata non conformi alle disposizioni della stessa non potranno essere immessi sul mercato greco per gli scopi di cui all'allegato I.</w:t>
      </w:r>
    </w:p>
    <w:p w:rsidR="00247089" w:rsidRPr="003A61F6" w:rsidRDefault="00247089" w:rsidP="0063165A">
      <w:pPr>
        <w:pStyle w:val="Default"/>
        <w:numPr>
          <w:ilvl w:val="0"/>
          <w:numId w:val="37"/>
        </w:numPr>
        <w:spacing w:before="120" w:after="120"/>
        <w:ind w:left="540" w:hanging="385"/>
        <w:jc w:val="both"/>
        <w:rPr>
          <w:color w:val="auto"/>
          <w:sz w:val="22"/>
          <w:szCs w:val="22"/>
        </w:rPr>
      </w:pPr>
      <w:r>
        <w:rPr>
          <w:color w:val="auto"/>
          <w:sz w:val="22"/>
        </w:rPr>
        <w:t xml:space="preserve">L'autorità responsabile per l'adozione di provvedimenti e l'imposizione di sanzioni amministrative nei casi in cui si sia verificata un'infrazione dei regolamenti REACH e CLP, per i quali vigono disposizioni speciali, è il laboratorio generale di Stato. </w:t>
      </w:r>
    </w:p>
    <w:p w:rsidR="00247089" w:rsidRPr="003A61F6" w:rsidRDefault="00247089" w:rsidP="0063165A">
      <w:pPr>
        <w:pStyle w:val="Default"/>
        <w:numPr>
          <w:ilvl w:val="0"/>
          <w:numId w:val="37"/>
        </w:numPr>
        <w:spacing w:before="120" w:after="120"/>
        <w:ind w:left="540" w:hanging="385"/>
        <w:jc w:val="both"/>
        <w:rPr>
          <w:color w:val="auto"/>
          <w:sz w:val="22"/>
          <w:szCs w:val="22"/>
        </w:rPr>
      </w:pPr>
      <w:r>
        <w:rPr>
          <w:color w:val="auto"/>
          <w:sz w:val="22"/>
        </w:rPr>
        <w:t>Qualora gli obblighi dell'operatore economico non siano rispettati, il segretariato generale per l'Industria impone delle sanzioni.</w:t>
      </w:r>
    </w:p>
    <w:p w:rsidR="00247089" w:rsidRPr="003A61F6" w:rsidRDefault="00247089" w:rsidP="0063165A">
      <w:pPr>
        <w:pStyle w:val="Default"/>
        <w:numPr>
          <w:ilvl w:val="0"/>
          <w:numId w:val="37"/>
        </w:numPr>
        <w:spacing w:before="120" w:after="120"/>
        <w:ind w:left="540" w:hanging="385"/>
        <w:jc w:val="both"/>
        <w:rPr>
          <w:color w:val="auto"/>
          <w:sz w:val="22"/>
          <w:szCs w:val="22"/>
        </w:rPr>
      </w:pPr>
      <w:r>
        <w:rPr>
          <w:color w:val="auto"/>
          <w:sz w:val="22"/>
        </w:rPr>
        <w:lastRenderedPageBreak/>
        <w:t>Qualunque provvedimento adottato dal laboratorio generale di Stato per l'infrazione dei regolamenti REACH e CLP non invalida l'imposizione, da parte del segretariato generale per l'Industria, di provvedimenti aggiuntivi o sanzioni amministrative o pecuniarie a causa della mancata ottemperanza alle disposizioni rientranti nella sua competenza.</w:t>
      </w:r>
    </w:p>
    <w:p w:rsidR="00247089" w:rsidRPr="003A61F6" w:rsidRDefault="00247089" w:rsidP="0063165A">
      <w:pPr>
        <w:pStyle w:val="Default"/>
        <w:numPr>
          <w:ilvl w:val="0"/>
          <w:numId w:val="37"/>
        </w:numPr>
        <w:spacing w:before="120" w:after="120"/>
        <w:ind w:left="540" w:hanging="385"/>
        <w:jc w:val="both"/>
        <w:rPr>
          <w:color w:val="auto"/>
          <w:sz w:val="22"/>
          <w:szCs w:val="22"/>
        </w:rPr>
      </w:pPr>
      <w:r>
        <w:rPr>
          <w:color w:val="auto"/>
          <w:sz w:val="22"/>
        </w:rPr>
        <w:t>I casi di mancata cooperazione con le autorità di vigilanza del mercato competenti per l'adozione di provvedimenti correttivi sono trasmessi alle autorità giudiziarie per l'indagine sulla responsabilità penale degli operatori economici responsabili.</w:t>
      </w:r>
    </w:p>
    <w:p w:rsidR="00247089" w:rsidRPr="0063165A" w:rsidRDefault="00247089" w:rsidP="0063165A">
      <w:pPr>
        <w:tabs>
          <w:tab w:val="left" w:pos="1156"/>
        </w:tabs>
        <w:ind w:right="6"/>
        <w:jc w:val="center"/>
        <w:rPr>
          <w:rFonts w:ascii="Times New Roman" w:hAnsi="Times New Roman"/>
          <w:b/>
          <w:sz w:val="22"/>
          <w:szCs w:val="22"/>
        </w:rPr>
      </w:pPr>
    </w:p>
    <w:p w:rsidR="00247089" w:rsidRPr="003A61F6" w:rsidRDefault="00943836" w:rsidP="0063165A">
      <w:pPr>
        <w:tabs>
          <w:tab w:val="left" w:pos="1156"/>
        </w:tabs>
        <w:ind w:right="6"/>
        <w:jc w:val="center"/>
        <w:rPr>
          <w:rFonts w:ascii="Times New Roman" w:hAnsi="Times New Roman"/>
          <w:b/>
          <w:sz w:val="22"/>
          <w:szCs w:val="22"/>
        </w:rPr>
      </w:pPr>
      <w:r>
        <w:rPr>
          <w:rFonts w:ascii="Times New Roman" w:hAnsi="Times New Roman"/>
          <w:b/>
          <w:sz w:val="22"/>
        </w:rPr>
        <w:t>Articolo 11</w:t>
      </w:r>
    </w:p>
    <w:p w:rsidR="00247089" w:rsidRPr="003A61F6" w:rsidRDefault="00247089" w:rsidP="0063165A">
      <w:pPr>
        <w:spacing w:line="251" w:lineRule="exact"/>
        <w:ind w:right="6"/>
        <w:jc w:val="center"/>
        <w:rPr>
          <w:rFonts w:ascii="Times New Roman" w:hAnsi="Times New Roman"/>
          <w:sz w:val="22"/>
          <w:szCs w:val="22"/>
        </w:rPr>
      </w:pPr>
      <w:r>
        <w:rPr>
          <w:rFonts w:ascii="Times New Roman" w:hAnsi="Times New Roman"/>
          <w:sz w:val="22"/>
        </w:rPr>
        <w:t>Studi – progresso tecnico</w:t>
      </w:r>
      <w:bookmarkStart w:id="0" w:name="_GoBack"/>
      <w:bookmarkEnd w:id="0"/>
    </w:p>
    <w:p w:rsidR="00247089" w:rsidRPr="003A61F6" w:rsidRDefault="00247089" w:rsidP="0063165A">
      <w:pPr>
        <w:pStyle w:val="ListParagraph"/>
        <w:widowControl/>
        <w:numPr>
          <w:ilvl w:val="0"/>
          <w:numId w:val="16"/>
        </w:numPr>
        <w:spacing w:before="122"/>
        <w:ind w:left="540" w:right="106" w:hanging="385"/>
      </w:pPr>
      <w:r>
        <w:t>A partire dall'entrata in vigore della presente decisione, il segretariato generale per l'Industria può disporre lo svolgimento di studi scientifici finalizzati alla valutazione degli impatti e dei rischi derivanti dall'uso dei prodotti di cui all'articolo 1, tenendo in considerazione le condizioni d'uso specifiche di tali prodotti (</w:t>
      </w:r>
      <w:r>
        <w:rPr>
          <w:i/>
          <w:iCs/>
        </w:rPr>
        <w:t>invecchiamento dei materiali, metodo di manutenzione, condizioni atmosferiche in particolare durante i periodi di temperature e umidità elevate, ecc.</w:t>
      </w:r>
      <w:r>
        <w:t>).</w:t>
      </w:r>
    </w:p>
    <w:p w:rsidR="00247089" w:rsidRPr="003A61F6" w:rsidRDefault="00247089" w:rsidP="0063165A">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rPr>
        <w:t>Studi simili possono anche essere svolti in relazione all'immissione sul mercato di prodotti innovativi e/o al fine dell'adeguamento dei prodotti al continuo progresso tecnico.</w:t>
      </w:r>
    </w:p>
    <w:p w:rsidR="00247089" w:rsidRPr="003A61F6" w:rsidRDefault="00247089" w:rsidP="0063165A">
      <w:pPr>
        <w:pStyle w:val="ListParagraph"/>
        <w:widowControl/>
        <w:numPr>
          <w:ilvl w:val="0"/>
          <w:numId w:val="16"/>
        </w:numPr>
        <w:spacing w:before="121"/>
        <w:ind w:left="540" w:right="108" w:hanging="385"/>
      </w:pPr>
      <w:r>
        <w:t>Gli esiti di tali studi sono valutati e costituiscono la base dei provvedimenti adottati per la prevenzione dei potenziali rischi, qualora essi non siano in contrasto con la legislazione applicabile dell'UE.</w:t>
      </w:r>
    </w:p>
    <w:p w:rsidR="00247089" w:rsidRPr="0063165A" w:rsidRDefault="00247089" w:rsidP="0063165A">
      <w:pPr>
        <w:pStyle w:val="BodyText"/>
        <w:spacing w:before="9"/>
        <w:rPr>
          <w:rFonts w:ascii="Times New Roman" w:hAnsi="Times New Roman"/>
          <w:sz w:val="22"/>
          <w:szCs w:val="22"/>
        </w:rPr>
      </w:pPr>
    </w:p>
    <w:p w:rsidR="00247089" w:rsidRPr="003A61F6" w:rsidRDefault="00943836" w:rsidP="0063165A">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rPr>
        <w:t>Articolo 12</w:t>
      </w:r>
    </w:p>
    <w:p w:rsidR="00247089" w:rsidRPr="003A61F6" w:rsidRDefault="00247089" w:rsidP="0063165A">
      <w:pPr>
        <w:spacing w:line="251" w:lineRule="exact"/>
        <w:ind w:right="6"/>
        <w:jc w:val="center"/>
        <w:rPr>
          <w:rFonts w:ascii="Times New Roman" w:hAnsi="Times New Roman"/>
          <w:sz w:val="22"/>
          <w:szCs w:val="22"/>
        </w:rPr>
      </w:pPr>
      <w:r>
        <w:rPr>
          <w:rFonts w:ascii="Times New Roman" w:hAnsi="Times New Roman"/>
          <w:sz w:val="22"/>
        </w:rPr>
        <w:t>Disposizioni transitorie</w:t>
      </w:r>
    </w:p>
    <w:p w:rsidR="00247089" w:rsidRPr="003A61F6" w:rsidRDefault="00247089" w:rsidP="0063165A">
      <w:pPr>
        <w:pStyle w:val="ListParagraph"/>
        <w:widowControl/>
        <w:numPr>
          <w:ilvl w:val="0"/>
          <w:numId w:val="15"/>
        </w:numPr>
        <w:ind w:left="540" w:right="105" w:hanging="385"/>
      </w:pPr>
      <w:r>
        <w:t>Entro sei (</w:t>
      </w:r>
      <w:r>
        <w:rPr>
          <w:b/>
          <w:bCs/>
        </w:rPr>
        <w:t>6</w:t>
      </w:r>
      <w:r>
        <w:t>) mesi dall'applicazione delle disposizioni della presente decisione, i produttori e gli importatori di prodotti di gomma lavorata per gli scopi di cui all'allegato I, sono obbligati a disporre degli appositi certificati di conformità. Le certificazioni devono essere allegate anche alla dichiarazione sull'onore ai sensi dell'articolo 4 della presente.</w:t>
      </w:r>
    </w:p>
    <w:p w:rsidR="00247089" w:rsidRPr="003A61F6" w:rsidRDefault="00247089" w:rsidP="0063165A">
      <w:pPr>
        <w:pStyle w:val="ListParagraph"/>
        <w:widowControl/>
        <w:numPr>
          <w:ilvl w:val="0"/>
          <w:numId w:val="15"/>
        </w:numPr>
        <w:spacing w:before="119"/>
        <w:ind w:left="540" w:right="106" w:hanging="385"/>
      </w:pPr>
      <w:r>
        <w:t>Entro sei (</w:t>
      </w:r>
      <w:r>
        <w:rPr>
          <w:b/>
          <w:bCs/>
        </w:rPr>
        <w:t>6</w:t>
      </w:r>
      <w:r>
        <w:t>) mesi dall'applicazione delle disposizioni della presente decisione, i produttori e gli importatori di prodotti di gomma lavorata per gli usi specificati all'allegato I sono obbligati a presentare alle autorità per la vigilanza del mercato competenti la documentazione comprovante la conformità ai requisiti stabiliti nella presente decisione.</w:t>
      </w:r>
    </w:p>
    <w:p w:rsidR="00247089" w:rsidRPr="003A61F6" w:rsidRDefault="00247089" w:rsidP="0063165A">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b w:val="0"/>
          <w:sz w:val="22"/>
        </w:rPr>
        <w:t>I certificati e gli attestati sulla gestione ambientale o della qualità o d'altro tipo, rilasciati prima dell'emanazione della presente decisione, relativi ai processi di lavorazione e alla conformità dei prodotti di cui all'articolo 1, non sono applicabili.</w:t>
      </w:r>
    </w:p>
    <w:p w:rsidR="00247089" w:rsidRPr="003A61F6" w:rsidRDefault="00247089" w:rsidP="0063165A">
      <w:pPr>
        <w:pStyle w:val="ListParagraph"/>
        <w:widowControl/>
        <w:numPr>
          <w:ilvl w:val="0"/>
          <w:numId w:val="15"/>
        </w:numPr>
        <w:spacing w:before="119"/>
        <w:ind w:left="540" w:right="107" w:hanging="385"/>
      </w:pPr>
      <w:r>
        <w:t>I prodotti di gomma lavorata rientranti nell'ambito di applicazione dell'allegato I ma che sono già stati installati o sono in uso da prima dell'entrata in vigore della presente decisione, non sono soggetti ai presenti obblighi.</w:t>
      </w:r>
    </w:p>
    <w:p w:rsidR="00026EA7" w:rsidRPr="0063165A" w:rsidRDefault="00026EA7" w:rsidP="0063165A">
      <w:pPr>
        <w:tabs>
          <w:tab w:val="left" w:pos="1060"/>
        </w:tabs>
        <w:spacing w:line="250" w:lineRule="exact"/>
        <w:ind w:right="6"/>
        <w:jc w:val="center"/>
        <w:rPr>
          <w:rFonts w:ascii="Times New Roman" w:hAnsi="Times New Roman"/>
          <w:b/>
          <w:sz w:val="22"/>
          <w:szCs w:val="22"/>
        </w:rPr>
      </w:pPr>
    </w:p>
    <w:p w:rsidR="00247089" w:rsidRPr="003A61F6" w:rsidRDefault="00943836" w:rsidP="0063165A">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Articolo 13</w:t>
      </w:r>
    </w:p>
    <w:p w:rsidR="00247089" w:rsidRPr="003A61F6" w:rsidRDefault="00247089" w:rsidP="0063165A">
      <w:pPr>
        <w:spacing w:line="250" w:lineRule="exact"/>
        <w:ind w:right="5"/>
        <w:jc w:val="center"/>
        <w:rPr>
          <w:rFonts w:ascii="Times New Roman" w:hAnsi="Times New Roman"/>
          <w:sz w:val="22"/>
          <w:szCs w:val="22"/>
        </w:rPr>
      </w:pPr>
      <w:r>
        <w:rPr>
          <w:rFonts w:ascii="Times New Roman" w:hAnsi="Times New Roman"/>
          <w:sz w:val="22"/>
        </w:rPr>
        <w:t>Entrata in vigore</w:t>
      </w:r>
    </w:p>
    <w:p w:rsidR="00247089" w:rsidRPr="003A61F6" w:rsidRDefault="00247089" w:rsidP="0063165A">
      <w:pPr>
        <w:pStyle w:val="ListParagraph"/>
        <w:widowControl/>
        <w:numPr>
          <w:ilvl w:val="0"/>
          <w:numId w:val="14"/>
        </w:numPr>
        <w:ind w:left="547" w:hanging="547"/>
      </w:pPr>
      <w:r>
        <w:t>La presente decisione entra in vigore alla data della sua pubblicazione nella Gazzetta ufficiale greca.</w:t>
      </w:r>
    </w:p>
    <w:p w:rsidR="00247089" w:rsidRPr="003A61F6" w:rsidRDefault="00247089" w:rsidP="0063165A">
      <w:pPr>
        <w:pStyle w:val="ListParagraph"/>
        <w:widowControl/>
        <w:numPr>
          <w:ilvl w:val="0"/>
          <w:numId w:val="14"/>
        </w:numPr>
        <w:spacing w:before="72"/>
        <w:ind w:left="540" w:hanging="540"/>
      </w:pPr>
      <w:r>
        <w:t>Gli allegati acclusi costituiscono parte integrante della presente decisione.</w:t>
      </w:r>
    </w:p>
    <w:p w:rsidR="00247089" w:rsidRPr="003A61F6" w:rsidRDefault="00247089" w:rsidP="0063165A">
      <w:pPr>
        <w:pStyle w:val="ListParagraph"/>
        <w:widowControl/>
        <w:numPr>
          <w:ilvl w:val="0"/>
          <w:numId w:val="14"/>
        </w:numPr>
        <w:spacing w:before="119"/>
        <w:ind w:left="540" w:hanging="540"/>
      </w:pPr>
      <w:r>
        <w:t>La presente decisione è pubblicata nella Gazzetta ufficiale greca.</w:t>
      </w:r>
    </w:p>
    <w:p w:rsidR="00247089" w:rsidRPr="0063165A" w:rsidRDefault="00247089" w:rsidP="0063165A">
      <w:pPr>
        <w:pStyle w:val="BodyText"/>
        <w:spacing w:before="1"/>
        <w:ind w:right="352"/>
        <w:jc w:val="center"/>
        <w:rPr>
          <w:rFonts w:ascii="Times New Roman" w:hAnsi="Times New Roman"/>
          <w:sz w:val="22"/>
          <w:szCs w:val="22"/>
        </w:rPr>
      </w:pPr>
    </w:p>
    <w:p w:rsidR="00247089" w:rsidRPr="003A61F6" w:rsidRDefault="00247089" w:rsidP="0063165A">
      <w:pPr>
        <w:pStyle w:val="BodyText"/>
        <w:spacing w:before="1"/>
        <w:ind w:right="352" w:firstLine="102"/>
        <w:jc w:val="center"/>
        <w:rPr>
          <w:rFonts w:ascii="Times New Roman" w:hAnsi="Times New Roman"/>
          <w:sz w:val="22"/>
          <w:szCs w:val="22"/>
        </w:rPr>
      </w:pPr>
      <w:r>
        <w:rPr>
          <w:rFonts w:ascii="Times New Roman" w:hAnsi="Times New Roman"/>
          <w:sz w:val="22"/>
        </w:rPr>
        <w:t>Atene, 3 settembre 2020</w:t>
      </w:r>
    </w:p>
    <w:p w:rsidR="00026EA7" w:rsidRPr="003A61F6" w:rsidRDefault="00026EA7" w:rsidP="0063165A">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7"/>
        <w:gridCol w:w="4802"/>
      </w:tblGrid>
      <w:tr w:rsidR="003A61F6" w:rsidRPr="00DC516E" w:rsidTr="0043166F">
        <w:tc>
          <w:tcPr>
            <w:tcW w:w="4873" w:type="dxa"/>
            <w:tcBorders>
              <w:top w:val="nil"/>
              <w:left w:val="nil"/>
              <w:bottom w:val="nil"/>
              <w:right w:val="nil"/>
            </w:tcBorders>
          </w:tcPr>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t xml:space="preserve">IL MINISTRO DELLO SVILUPPO </w:t>
            </w: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t xml:space="preserve">E DEGLI INVESTIMENTI </w:t>
            </w:r>
          </w:p>
          <w:p w:rsidR="00026EA7" w:rsidRPr="0063165A" w:rsidRDefault="00026EA7" w:rsidP="0063165A">
            <w:pPr>
              <w:pStyle w:val="BodyText"/>
              <w:spacing w:before="1"/>
              <w:ind w:right="352"/>
              <w:jc w:val="center"/>
              <w:rPr>
                <w:rFonts w:ascii="Times New Roman" w:hAnsi="Times New Roman"/>
                <w:sz w:val="22"/>
                <w:szCs w:val="22"/>
              </w:rPr>
            </w:pP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lastRenderedPageBreak/>
              <w:t>SPYRIDON - ADONIS GEORGIADIS</w:t>
            </w:r>
          </w:p>
        </w:tc>
        <w:tc>
          <w:tcPr>
            <w:tcW w:w="4873" w:type="dxa"/>
            <w:tcBorders>
              <w:top w:val="nil"/>
              <w:left w:val="nil"/>
              <w:bottom w:val="nil"/>
              <w:right w:val="nil"/>
            </w:tcBorders>
          </w:tcPr>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lastRenderedPageBreak/>
              <w:t>IL MINISTRO DELL'AMBIENTE</w:t>
            </w: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t>E DELL'ENERGIA</w:t>
            </w:r>
          </w:p>
          <w:p w:rsidR="00026EA7" w:rsidRPr="0063165A" w:rsidRDefault="00026EA7" w:rsidP="0063165A">
            <w:pPr>
              <w:pStyle w:val="BodyText"/>
              <w:spacing w:before="1"/>
              <w:ind w:right="352"/>
              <w:jc w:val="center"/>
              <w:rPr>
                <w:rFonts w:ascii="Times New Roman" w:hAnsi="Times New Roman"/>
                <w:sz w:val="22"/>
                <w:szCs w:val="22"/>
              </w:rPr>
            </w:pP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lastRenderedPageBreak/>
              <w:t>KOSTIS KATZIDAKIS</w:t>
            </w:r>
          </w:p>
        </w:tc>
      </w:tr>
      <w:tr w:rsidR="003A61F6" w:rsidRPr="00DC516E" w:rsidTr="0043166F">
        <w:tc>
          <w:tcPr>
            <w:tcW w:w="9746" w:type="dxa"/>
            <w:gridSpan w:val="2"/>
            <w:tcBorders>
              <w:top w:val="nil"/>
              <w:left w:val="nil"/>
              <w:bottom w:val="nil"/>
              <w:right w:val="nil"/>
            </w:tcBorders>
          </w:tcPr>
          <w:p w:rsidR="00026EA7" w:rsidRPr="0063165A" w:rsidRDefault="00026EA7" w:rsidP="0063165A">
            <w:pPr>
              <w:pStyle w:val="BodyText"/>
              <w:spacing w:before="1"/>
              <w:ind w:right="352"/>
              <w:jc w:val="center"/>
              <w:rPr>
                <w:rFonts w:ascii="Times New Roman" w:hAnsi="Times New Roman"/>
                <w:sz w:val="22"/>
                <w:szCs w:val="22"/>
              </w:rPr>
            </w:pP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t xml:space="preserve">IL MINISTRO DELLE FINANZE </w:t>
            </w:r>
          </w:p>
          <w:p w:rsidR="00026EA7" w:rsidRPr="0063165A" w:rsidRDefault="00026EA7" w:rsidP="0063165A">
            <w:pPr>
              <w:pStyle w:val="BodyText"/>
              <w:spacing w:before="1"/>
              <w:ind w:right="352"/>
              <w:jc w:val="center"/>
              <w:rPr>
                <w:rFonts w:ascii="Times New Roman" w:hAnsi="Times New Roman"/>
                <w:sz w:val="22"/>
                <w:szCs w:val="22"/>
              </w:rPr>
            </w:pPr>
          </w:p>
          <w:p w:rsidR="00026EA7" w:rsidRPr="003A61F6" w:rsidRDefault="00026EA7" w:rsidP="0063165A">
            <w:pPr>
              <w:pStyle w:val="BodyText"/>
              <w:spacing w:before="1"/>
              <w:ind w:right="352"/>
              <w:jc w:val="center"/>
              <w:rPr>
                <w:rFonts w:ascii="Times New Roman" w:hAnsi="Times New Roman"/>
                <w:sz w:val="22"/>
                <w:szCs w:val="22"/>
              </w:rPr>
            </w:pPr>
            <w:r>
              <w:rPr>
                <w:rFonts w:ascii="Times New Roman" w:hAnsi="Times New Roman"/>
                <w:sz w:val="22"/>
              </w:rPr>
              <w:t>APOSTOLOS BESYROPOULOS</w:t>
            </w:r>
          </w:p>
        </w:tc>
      </w:tr>
    </w:tbl>
    <w:p w:rsidR="00247089" w:rsidRPr="0063165A" w:rsidRDefault="00247089" w:rsidP="0063165A">
      <w:pPr>
        <w:pStyle w:val="BodyText"/>
        <w:spacing w:before="1"/>
        <w:ind w:right="352"/>
        <w:jc w:val="both"/>
        <w:rPr>
          <w:rFonts w:ascii="Times New Roman" w:hAnsi="Times New Roman"/>
          <w:sz w:val="22"/>
          <w:szCs w:val="22"/>
        </w:rPr>
      </w:pPr>
    </w:p>
    <w:p w:rsidR="00247089" w:rsidRPr="0063165A" w:rsidRDefault="00247089" w:rsidP="0063165A">
      <w:pPr>
        <w:pStyle w:val="BodyText"/>
        <w:spacing w:before="1"/>
        <w:ind w:right="352"/>
        <w:jc w:val="both"/>
        <w:rPr>
          <w:rFonts w:ascii="Times New Roman" w:hAnsi="Times New Roman"/>
          <w:sz w:val="22"/>
          <w:szCs w:val="22"/>
        </w:rPr>
      </w:pPr>
    </w:p>
    <w:p w:rsidR="008A6100" w:rsidRPr="003A61F6" w:rsidRDefault="00151F87" w:rsidP="0063165A">
      <w:pPr>
        <w:ind w:right="42"/>
        <w:jc w:val="both"/>
        <w:rPr>
          <w:rFonts w:ascii="Times New Roman" w:hAnsi="Times New Roman"/>
          <w:b/>
          <w:sz w:val="24"/>
          <w:szCs w:val="24"/>
        </w:rPr>
      </w:pPr>
      <w:r>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[COPIA AUTENTICA]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[COPIA AUTENTICA]</w:t>
                      </w:r>
                    </w:p>
                  </w:txbxContent>
                </v:textbox>
              </v:shape>
            </w:pict>
          </mc:Fallback>
        </mc:AlternateContent>
      </w:r>
    </w:p>
    <w:p w:rsidR="008A6100" w:rsidRPr="0063165A" w:rsidRDefault="008A6100" w:rsidP="0063165A">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63165A">
            <w:pPr>
              <w:ind w:left="-851" w:right="-99"/>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DB520C" w:rsidRPr="003A61F6" w:rsidRDefault="00A01F2C" w:rsidP="0063165A">
            <w:pPr>
              <w:ind w:left="-851" w:right="-99"/>
              <w:jc w:val="both"/>
              <w:rPr>
                <w:rFonts w:ascii="Times New Roman" w:hAnsi="Times New Roman"/>
                <w:sz w:val="24"/>
                <w:szCs w:val="24"/>
              </w:rPr>
            </w:pPr>
            <w:r>
              <w:rPr>
                <w:rFonts w:ascii="Times New Roman" w:hAnsi="Times New Roman"/>
                <w:sz w:val="24"/>
              </w:rPr>
              <w:t xml:space="preserve">  </w:t>
            </w:r>
          </w:p>
          <w:p w:rsidR="00DB520C" w:rsidRPr="0063165A" w:rsidRDefault="00DB520C" w:rsidP="0063165A">
            <w:pPr>
              <w:ind w:left="-851" w:right="-99"/>
              <w:jc w:val="both"/>
              <w:rPr>
                <w:rFonts w:ascii="Times New Roman" w:hAnsi="Times New Roman"/>
                <w:sz w:val="24"/>
                <w:szCs w:val="24"/>
              </w:rPr>
            </w:pPr>
          </w:p>
        </w:tc>
        <w:tc>
          <w:tcPr>
            <w:tcW w:w="5253" w:type="dxa"/>
            <w:gridSpan w:val="2"/>
          </w:tcPr>
          <w:p w:rsidR="00DB520C" w:rsidRPr="0063165A" w:rsidRDefault="00DB520C" w:rsidP="0063165A">
            <w:pPr>
              <w:spacing w:line="360" w:lineRule="auto"/>
              <w:ind w:left="33" w:right="42"/>
              <w:jc w:val="center"/>
              <w:rPr>
                <w:rFonts w:ascii="Times New Roman" w:hAnsi="Times New Roman"/>
                <w:bCs/>
                <w:iCs/>
                <w:sz w:val="24"/>
                <w:szCs w:val="24"/>
              </w:rPr>
            </w:pPr>
          </w:p>
        </w:tc>
      </w:tr>
      <w:tr w:rsidR="003A61F6" w:rsidRPr="00DC516E" w:rsidTr="008A6100">
        <w:trPr>
          <w:gridAfter w:val="1"/>
          <w:wAfter w:w="9" w:type="dxa"/>
        </w:trPr>
        <w:tc>
          <w:tcPr>
            <w:tcW w:w="9923" w:type="dxa"/>
            <w:gridSpan w:val="2"/>
          </w:tcPr>
          <w:p w:rsidR="00CB1F6D" w:rsidRPr="0063165A" w:rsidRDefault="00CB1F6D" w:rsidP="0063165A">
            <w:pPr>
              <w:ind w:right="-99"/>
              <w:jc w:val="both"/>
              <w:rPr>
                <w:rFonts w:ascii="Times New Roman" w:hAnsi="Times New Roman"/>
                <w:b/>
                <w:sz w:val="24"/>
                <w:szCs w:val="24"/>
              </w:rPr>
            </w:pPr>
          </w:p>
          <w:p w:rsidR="00DB520C" w:rsidRPr="003A61F6" w:rsidRDefault="0072107F" w:rsidP="0063165A">
            <w:pPr>
              <w:ind w:right="-99"/>
              <w:jc w:val="both"/>
              <w:rPr>
                <w:rFonts w:ascii="Times New Roman" w:hAnsi="Times New Roman"/>
                <w:b/>
                <w:sz w:val="24"/>
                <w:szCs w:val="24"/>
              </w:rPr>
            </w:pPr>
            <w:r>
              <w:rPr>
                <w:rFonts w:ascii="Times New Roman" w:hAnsi="Times New Roman"/>
                <w:b/>
                <w:sz w:val="24"/>
              </w:rPr>
              <w:t xml:space="preserve"> </w:t>
            </w:r>
          </w:p>
        </w:tc>
      </w:tr>
      <w:tr w:rsidR="003A61F6" w:rsidRPr="00DC516E" w:rsidTr="008A6100">
        <w:trPr>
          <w:gridAfter w:val="1"/>
          <w:wAfter w:w="9" w:type="dxa"/>
        </w:trPr>
        <w:tc>
          <w:tcPr>
            <w:tcW w:w="9923" w:type="dxa"/>
            <w:gridSpan w:val="2"/>
          </w:tcPr>
          <w:p w:rsidR="00DB520C" w:rsidRPr="0063165A" w:rsidRDefault="00DB520C" w:rsidP="0063165A">
            <w:pPr>
              <w:ind w:right="-99"/>
              <w:jc w:val="center"/>
              <w:rPr>
                <w:rFonts w:ascii="Times New Roman" w:hAnsi="Times New Roman"/>
                <w:b/>
                <w:sz w:val="24"/>
                <w:szCs w:val="24"/>
              </w:rPr>
            </w:pPr>
          </w:p>
        </w:tc>
      </w:tr>
    </w:tbl>
    <w:p w:rsidR="00DB520C" w:rsidRPr="0063165A" w:rsidRDefault="00DB520C" w:rsidP="0063165A">
      <w:pPr>
        <w:ind w:left="-851" w:right="-99"/>
        <w:jc w:val="both"/>
        <w:rPr>
          <w:rFonts w:ascii="Times New Roman" w:hAnsi="Times New Roman"/>
          <w:b/>
          <w:sz w:val="24"/>
          <w:szCs w:val="24"/>
        </w:rPr>
      </w:pPr>
    </w:p>
    <w:p w:rsidR="00026EA7" w:rsidRPr="0063165A" w:rsidRDefault="00026EA7" w:rsidP="0063165A">
      <w:pPr>
        <w:ind w:left="-851" w:right="-99"/>
        <w:jc w:val="both"/>
        <w:rPr>
          <w:rFonts w:ascii="Times New Roman" w:hAnsi="Times New Roman"/>
          <w:b/>
          <w:sz w:val="24"/>
          <w:szCs w:val="24"/>
        </w:rPr>
      </w:pPr>
    </w:p>
    <w:p w:rsidR="00026EA7" w:rsidRPr="003A61F6" w:rsidRDefault="00026EA7" w:rsidP="0063165A">
      <w:pPr>
        <w:pageBreakBefore/>
        <w:tabs>
          <w:tab w:val="left" w:pos="2064"/>
        </w:tabs>
        <w:spacing w:before="76"/>
        <w:jc w:val="center"/>
        <w:rPr>
          <w:rFonts w:ascii="Times New Roman" w:hAnsi="Times New Roman"/>
          <w:b/>
          <w:spacing w:val="60"/>
          <w:sz w:val="22"/>
          <w:szCs w:val="22"/>
        </w:rPr>
      </w:pPr>
      <w:r>
        <w:rPr>
          <w:rFonts w:ascii="Times New Roman" w:hAnsi="Times New Roman"/>
          <w:b/>
          <w:sz w:val="22"/>
        </w:rPr>
        <w:lastRenderedPageBreak/>
        <w:t>ALLEGATO I</w:t>
      </w:r>
    </w:p>
    <w:p w:rsidR="00026EA7" w:rsidRPr="0063165A" w:rsidRDefault="00026EA7" w:rsidP="0063165A">
      <w:pPr>
        <w:pStyle w:val="BodyText"/>
        <w:rPr>
          <w:rFonts w:ascii="Times New Roman" w:hAnsi="Times New Roman"/>
          <w:b/>
          <w:sz w:val="22"/>
          <w:szCs w:val="22"/>
        </w:rPr>
      </w:pPr>
    </w:p>
    <w:p w:rsidR="00026EA7" w:rsidRPr="0063165A" w:rsidRDefault="00026EA7" w:rsidP="0063165A">
      <w:pPr>
        <w:pStyle w:val="BodyText"/>
        <w:spacing w:before="8"/>
        <w:rPr>
          <w:rFonts w:ascii="Times New Roman" w:hAnsi="Times New Roman"/>
          <w:b/>
          <w:sz w:val="22"/>
          <w:szCs w:val="22"/>
        </w:rPr>
      </w:pPr>
    </w:p>
    <w:p w:rsidR="00026EA7" w:rsidRPr="003A61F6" w:rsidRDefault="00026EA7" w:rsidP="0063165A">
      <w:pPr>
        <w:ind w:left="1383"/>
        <w:rPr>
          <w:rFonts w:ascii="Times New Roman" w:hAnsi="Times New Roman"/>
          <w:b/>
          <w:sz w:val="22"/>
          <w:szCs w:val="22"/>
        </w:rPr>
      </w:pPr>
      <w:r>
        <w:rPr>
          <w:rFonts w:ascii="Times New Roman" w:hAnsi="Times New Roman"/>
          <w:b/>
          <w:sz w:val="22"/>
        </w:rPr>
        <w:t>Prodotti rientranti nell'ambito di applicazione della presente decisione</w:t>
      </w:r>
    </w:p>
    <w:p w:rsidR="00026EA7" w:rsidRPr="0063165A" w:rsidRDefault="00026EA7" w:rsidP="0063165A">
      <w:pPr>
        <w:pStyle w:val="BodyText"/>
        <w:spacing w:before="10"/>
        <w:rPr>
          <w:rFonts w:ascii="Times New Roman" w:hAnsi="Times New Roman"/>
          <w:b/>
          <w:sz w:val="22"/>
          <w:szCs w:val="22"/>
        </w:rPr>
      </w:pPr>
    </w:p>
    <w:p w:rsidR="00026EA7" w:rsidRPr="0063165A" w:rsidRDefault="00026EA7" w:rsidP="0063165A">
      <w:pPr>
        <w:pStyle w:val="BodyText"/>
        <w:spacing w:before="5"/>
        <w:rPr>
          <w:rFonts w:ascii="Times New Roman" w:hAnsi="Times New Roman"/>
          <w:strike/>
          <w:sz w:val="22"/>
          <w:szCs w:val="22"/>
        </w:rPr>
      </w:pPr>
    </w:p>
    <w:p w:rsidR="00026EA7" w:rsidRPr="003A61F6" w:rsidRDefault="00026EA7" w:rsidP="0063165A">
      <w:pPr>
        <w:pStyle w:val="ListParagraph"/>
        <w:widowControl/>
        <w:numPr>
          <w:ilvl w:val="0"/>
          <w:numId w:val="13"/>
        </w:numPr>
        <w:spacing w:before="1" w:line="240" w:lineRule="atLeast"/>
        <w:ind w:left="360" w:right="108" w:hanging="360"/>
      </w:pPr>
      <w:r>
        <w:t xml:space="preserve">Piastrelle di gomma lavorata per: </w:t>
      </w:r>
    </w:p>
    <w:p w:rsidR="00026EA7" w:rsidRPr="0063165A" w:rsidRDefault="00026EA7" w:rsidP="0063165A">
      <w:pPr>
        <w:pStyle w:val="BodyText"/>
        <w:spacing w:before="8" w:line="240" w:lineRule="atLeast"/>
        <w:rPr>
          <w:rFonts w:ascii="Times New Roman" w:hAnsi="Times New Roman"/>
          <w:sz w:val="22"/>
          <w:szCs w:val="22"/>
        </w:rPr>
      </w:pPr>
    </w:p>
    <w:p w:rsidR="00026EA7" w:rsidRPr="003A61F6" w:rsidRDefault="00026EA7" w:rsidP="0063165A">
      <w:pPr>
        <w:pStyle w:val="ListParagraph"/>
        <w:widowControl/>
        <w:numPr>
          <w:ilvl w:val="1"/>
          <w:numId w:val="13"/>
        </w:numPr>
        <w:tabs>
          <w:tab w:val="left" w:pos="745"/>
          <w:tab w:val="left" w:pos="746"/>
        </w:tabs>
        <w:spacing w:before="1" w:line="240" w:lineRule="atLeast"/>
        <w:jc w:val="left"/>
        <w:rPr>
          <w:i/>
        </w:rPr>
      </w:pPr>
      <w:r>
        <w:rPr>
          <w:i/>
        </w:rPr>
        <w:t>aree da gioco all'interno</w:t>
      </w:r>
    </w:p>
    <w:p w:rsidR="00026EA7" w:rsidRPr="003A61F6" w:rsidRDefault="00026EA7" w:rsidP="0063165A">
      <w:pPr>
        <w:pStyle w:val="BodyText"/>
        <w:spacing w:before="9" w:line="240" w:lineRule="atLeast"/>
        <w:rPr>
          <w:rFonts w:ascii="Times New Roman" w:hAnsi="Times New Roman"/>
          <w:i/>
          <w:sz w:val="22"/>
          <w:szCs w:val="22"/>
        </w:rPr>
      </w:pPr>
    </w:p>
    <w:p w:rsidR="00026EA7" w:rsidRPr="003A61F6" w:rsidRDefault="00026EA7" w:rsidP="0063165A">
      <w:pPr>
        <w:pStyle w:val="ListParagraph"/>
        <w:widowControl/>
        <w:numPr>
          <w:ilvl w:val="1"/>
          <w:numId w:val="13"/>
        </w:numPr>
        <w:tabs>
          <w:tab w:val="left" w:pos="745"/>
          <w:tab w:val="left" w:pos="746"/>
        </w:tabs>
        <w:spacing w:before="0" w:line="240" w:lineRule="atLeast"/>
        <w:jc w:val="left"/>
        <w:rPr>
          <w:i/>
        </w:rPr>
      </w:pPr>
      <w:r>
        <w:rPr>
          <w:i/>
        </w:rPr>
        <w:t>aree da gioco all'esterno</w:t>
      </w:r>
    </w:p>
    <w:p w:rsidR="00026EA7" w:rsidRPr="003A61F6" w:rsidRDefault="00026EA7" w:rsidP="0063165A">
      <w:pPr>
        <w:pStyle w:val="BodyText"/>
        <w:spacing w:before="10" w:line="240" w:lineRule="atLeast"/>
        <w:rPr>
          <w:rFonts w:ascii="Times New Roman" w:hAnsi="Times New Roman"/>
          <w:i/>
          <w:sz w:val="22"/>
          <w:szCs w:val="22"/>
        </w:rPr>
      </w:pPr>
    </w:p>
    <w:p w:rsidR="00026EA7" w:rsidRPr="003A61F6" w:rsidRDefault="00026EA7" w:rsidP="0063165A">
      <w:pPr>
        <w:pStyle w:val="ListParagraph"/>
        <w:widowControl/>
        <w:numPr>
          <w:ilvl w:val="1"/>
          <w:numId w:val="13"/>
        </w:numPr>
        <w:tabs>
          <w:tab w:val="left" w:pos="745"/>
          <w:tab w:val="left" w:pos="746"/>
        </w:tabs>
        <w:spacing w:before="0" w:line="240" w:lineRule="atLeast"/>
        <w:jc w:val="left"/>
        <w:rPr>
          <w:i/>
        </w:rPr>
      </w:pPr>
      <w:r>
        <w:rPr>
          <w:i/>
        </w:rPr>
        <w:t>scuole</w:t>
      </w:r>
    </w:p>
    <w:p w:rsidR="00026EA7" w:rsidRPr="003A61F6" w:rsidRDefault="00026EA7" w:rsidP="0063165A">
      <w:pPr>
        <w:pStyle w:val="BodyText"/>
        <w:spacing w:before="9" w:line="240" w:lineRule="atLeast"/>
        <w:rPr>
          <w:rFonts w:ascii="Times New Roman" w:hAnsi="Times New Roman"/>
          <w:i/>
          <w:sz w:val="22"/>
          <w:szCs w:val="22"/>
        </w:rPr>
      </w:pPr>
    </w:p>
    <w:p w:rsidR="00026EA7" w:rsidRPr="003A61F6" w:rsidRDefault="00026EA7" w:rsidP="0063165A">
      <w:pPr>
        <w:pStyle w:val="ListParagraph"/>
        <w:widowControl/>
        <w:numPr>
          <w:ilvl w:val="1"/>
          <w:numId w:val="13"/>
        </w:numPr>
        <w:tabs>
          <w:tab w:val="left" w:pos="745"/>
          <w:tab w:val="left" w:pos="746"/>
        </w:tabs>
        <w:spacing w:before="0" w:line="240" w:lineRule="atLeast"/>
        <w:jc w:val="left"/>
        <w:rPr>
          <w:i/>
        </w:rPr>
      </w:pPr>
      <w:r>
        <w:rPr>
          <w:i/>
        </w:rPr>
        <w:t>palestre</w:t>
      </w:r>
    </w:p>
    <w:p w:rsidR="00026EA7" w:rsidRPr="003A61F6" w:rsidRDefault="00026EA7" w:rsidP="0063165A">
      <w:pPr>
        <w:pStyle w:val="BodyText"/>
        <w:spacing w:before="9" w:line="240" w:lineRule="atLeast"/>
        <w:rPr>
          <w:rFonts w:ascii="Times New Roman" w:hAnsi="Times New Roman"/>
          <w:i/>
          <w:sz w:val="22"/>
          <w:szCs w:val="22"/>
        </w:rPr>
      </w:pPr>
    </w:p>
    <w:p w:rsidR="00026EA7" w:rsidRPr="003A61F6" w:rsidRDefault="00026EA7" w:rsidP="0063165A">
      <w:pPr>
        <w:pStyle w:val="ListParagraph"/>
        <w:widowControl/>
        <w:numPr>
          <w:ilvl w:val="1"/>
          <w:numId w:val="13"/>
        </w:numPr>
        <w:tabs>
          <w:tab w:val="left" w:pos="745"/>
          <w:tab w:val="left" w:pos="746"/>
        </w:tabs>
        <w:spacing w:before="0" w:line="240" w:lineRule="atLeast"/>
        <w:jc w:val="left"/>
        <w:rPr>
          <w:i/>
        </w:rPr>
      </w:pPr>
      <w:r>
        <w:rPr>
          <w:i/>
        </w:rPr>
        <w:t>impianti sportivi, ecc.</w:t>
      </w:r>
    </w:p>
    <w:p w:rsidR="00026EA7" w:rsidRPr="003A61F6" w:rsidRDefault="00026EA7" w:rsidP="0063165A">
      <w:pPr>
        <w:pStyle w:val="BodyText"/>
        <w:spacing w:line="240" w:lineRule="atLeast"/>
        <w:rPr>
          <w:rFonts w:ascii="Times New Roman" w:hAnsi="Times New Roman"/>
          <w:i/>
          <w:sz w:val="22"/>
          <w:szCs w:val="22"/>
        </w:rPr>
      </w:pPr>
    </w:p>
    <w:p w:rsidR="00026EA7" w:rsidRPr="003A61F6" w:rsidRDefault="00026EA7" w:rsidP="0063165A">
      <w:pPr>
        <w:pStyle w:val="BodyText"/>
        <w:spacing w:before="9" w:line="240" w:lineRule="atLeast"/>
        <w:rPr>
          <w:rFonts w:ascii="Times New Roman" w:hAnsi="Times New Roman"/>
          <w:i/>
          <w:sz w:val="22"/>
          <w:szCs w:val="22"/>
        </w:rPr>
      </w:pPr>
    </w:p>
    <w:p w:rsidR="00026EA7" w:rsidRPr="003A61F6" w:rsidRDefault="00026EA7" w:rsidP="0063165A">
      <w:pPr>
        <w:pStyle w:val="ListParagraph"/>
        <w:widowControl/>
        <w:numPr>
          <w:ilvl w:val="0"/>
          <w:numId w:val="13"/>
        </w:numPr>
        <w:spacing w:before="0" w:line="240" w:lineRule="atLeast"/>
        <w:ind w:left="360" w:hanging="360"/>
      </w:pPr>
      <w:r>
        <w:t xml:space="preserve">Superfici in gomma sintetica destinate all'uso in impianti sportivi: </w:t>
      </w:r>
    </w:p>
    <w:p w:rsidR="00026EA7" w:rsidRPr="0063165A" w:rsidRDefault="00026EA7" w:rsidP="0063165A">
      <w:pPr>
        <w:pStyle w:val="BodyText"/>
        <w:spacing w:before="7" w:line="240" w:lineRule="atLeast"/>
        <w:rPr>
          <w:rFonts w:ascii="Times New Roman" w:hAnsi="Times New Roman"/>
          <w:sz w:val="22"/>
          <w:szCs w:val="22"/>
        </w:rPr>
      </w:pPr>
    </w:p>
    <w:p w:rsidR="00026EA7" w:rsidRPr="003A61F6" w:rsidRDefault="00026EA7" w:rsidP="0063165A">
      <w:pPr>
        <w:pStyle w:val="ListParagraph"/>
        <w:widowControl/>
        <w:numPr>
          <w:ilvl w:val="1"/>
          <w:numId w:val="13"/>
        </w:numPr>
        <w:tabs>
          <w:tab w:val="left" w:pos="809"/>
          <w:tab w:val="left" w:pos="810"/>
        </w:tabs>
        <w:spacing w:before="0" w:line="240" w:lineRule="atLeast"/>
        <w:ind w:left="810" w:hanging="462"/>
        <w:jc w:val="left"/>
        <w:rPr>
          <w:i/>
        </w:rPr>
      </w:pPr>
      <w:r>
        <w:rPr>
          <w:i/>
        </w:rPr>
        <w:t>riempimento di piste sportive e</w:t>
      </w:r>
    </w:p>
    <w:p w:rsidR="00026EA7" w:rsidRPr="003A61F6" w:rsidRDefault="00026EA7" w:rsidP="0063165A">
      <w:pPr>
        <w:pStyle w:val="BodyText"/>
        <w:spacing w:before="9" w:line="240" w:lineRule="atLeast"/>
        <w:ind w:hanging="462"/>
        <w:rPr>
          <w:rFonts w:ascii="Times New Roman" w:hAnsi="Times New Roman"/>
          <w:i/>
          <w:sz w:val="22"/>
          <w:szCs w:val="22"/>
        </w:rPr>
      </w:pPr>
    </w:p>
    <w:p w:rsidR="00026EA7" w:rsidRPr="003A61F6" w:rsidRDefault="00026EA7" w:rsidP="0063165A">
      <w:pPr>
        <w:pStyle w:val="ListParagraph"/>
        <w:widowControl/>
        <w:numPr>
          <w:ilvl w:val="1"/>
          <w:numId w:val="13"/>
        </w:numPr>
        <w:tabs>
          <w:tab w:val="left" w:pos="809"/>
          <w:tab w:val="left" w:pos="810"/>
        </w:tabs>
        <w:spacing w:before="1" w:line="240" w:lineRule="atLeast"/>
        <w:ind w:left="810" w:hanging="462"/>
        <w:jc w:val="left"/>
        <w:rPr>
          <w:i/>
        </w:rPr>
      </w:pPr>
      <w:r>
        <w:rPr>
          <w:i/>
        </w:rPr>
        <w:t>strato sottostante di gomma in tappeti erbosi artificiali.</w:t>
      </w:r>
    </w:p>
    <w:p w:rsidR="00026EA7" w:rsidRPr="0063165A" w:rsidRDefault="00026EA7" w:rsidP="0063165A">
      <w:pPr>
        <w:pStyle w:val="BodyText"/>
        <w:spacing w:line="240" w:lineRule="atLeast"/>
        <w:rPr>
          <w:rFonts w:ascii="Times New Roman" w:hAnsi="Times New Roman"/>
          <w:i/>
          <w:sz w:val="22"/>
          <w:szCs w:val="22"/>
        </w:rPr>
      </w:pPr>
    </w:p>
    <w:p w:rsidR="00026EA7" w:rsidRPr="0063165A" w:rsidRDefault="00026EA7" w:rsidP="0063165A">
      <w:pPr>
        <w:pStyle w:val="BodyText"/>
        <w:spacing w:before="10" w:line="240" w:lineRule="atLeast"/>
        <w:rPr>
          <w:rFonts w:ascii="Times New Roman" w:hAnsi="Times New Roman"/>
          <w:i/>
          <w:sz w:val="22"/>
          <w:szCs w:val="22"/>
        </w:rPr>
      </w:pPr>
    </w:p>
    <w:p w:rsidR="00026EA7" w:rsidRPr="003A61F6" w:rsidRDefault="00026EA7" w:rsidP="0063165A">
      <w:pPr>
        <w:pStyle w:val="ListParagraph"/>
        <w:widowControl/>
        <w:numPr>
          <w:ilvl w:val="0"/>
          <w:numId w:val="13"/>
        </w:numPr>
        <w:tabs>
          <w:tab w:val="left" w:pos="360"/>
        </w:tabs>
        <w:spacing w:before="1" w:line="240" w:lineRule="atLeast"/>
        <w:ind w:left="360" w:hanging="360"/>
      </w:pPr>
      <w:r>
        <w:t>Oggetti di gomma lavorata immessi sul mercato, quali:</w:t>
      </w:r>
    </w:p>
    <w:p w:rsidR="00026EA7" w:rsidRPr="0063165A" w:rsidRDefault="00026EA7" w:rsidP="0063165A">
      <w:pPr>
        <w:pStyle w:val="BodyText"/>
        <w:spacing w:before="7" w:line="240" w:lineRule="atLeast"/>
        <w:rPr>
          <w:rFonts w:ascii="Times New Roman" w:hAnsi="Times New Roman"/>
          <w:sz w:val="22"/>
          <w:szCs w:val="22"/>
        </w:rPr>
      </w:pPr>
    </w:p>
    <w:p w:rsidR="00026EA7" w:rsidRPr="003A61F6" w:rsidRDefault="00026EA7" w:rsidP="0063165A">
      <w:pPr>
        <w:pStyle w:val="ListParagraph"/>
        <w:widowControl/>
        <w:numPr>
          <w:ilvl w:val="1"/>
          <w:numId w:val="13"/>
        </w:numPr>
        <w:spacing w:before="0" w:line="240" w:lineRule="atLeast"/>
        <w:ind w:left="720"/>
        <w:jc w:val="left"/>
        <w:rPr>
          <w:i/>
        </w:rPr>
      </w:pPr>
      <w:r>
        <w:rPr>
          <w:i/>
        </w:rPr>
        <w:t>giocattoli e prodotti per l'infanzia</w:t>
      </w:r>
    </w:p>
    <w:p w:rsidR="00026EA7" w:rsidRPr="003A61F6" w:rsidRDefault="00026EA7" w:rsidP="0063165A">
      <w:pPr>
        <w:pStyle w:val="BodyText"/>
        <w:spacing w:before="9" w:line="240" w:lineRule="atLeast"/>
        <w:ind w:left="720" w:hanging="360"/>
        <w:rPr>
          <w:rFonts w:ascii="Times New Roman" w:hAnsi="Times New Roman"/>
          <w:i/>
          <w:sz w:val="22"/>
          <w:szCs w:val="22"/>
        </w:rPr>
      </w:pPr>
    </w:p>
    <w:p w:rsidR="00026EA7" w:rsidRPr="003A61F6" w:rsidRDefault="00026EA7" w:rsidP="0063165A">
      <w:pPr>
        <w:pStyle w:val="ListParagraph"/>
        <w:widowControl/>
        <w:numPr>
          <w:ilvl w:val="1"/>
          <w:numId w:val="13"/>
        </w:numPr>
        <w:spacing w:before="1" w:line="240" w:lineRule="atLeast"/>
        <w:ind w:left="720"/>
        <w:jc w:val="left"/>
        <w:rPr>
          <w:i/>
        </w:rPr>
      </w:pPr>
      <w:r>
        <w:rPr>
          <w:i/>
        </w:rPr>
        <w:t>attrezzature sportive, quali manopole per bicicletta, mazze da golf, racchette</w:t>
      </w:r>
    </w:p>
    <w:p w:rsidR="00026EA7" w:rsidRPr="0063165A" w:rsidRDefault="00026EA7" w:rsidP="0063165A">
      <w:pPr>
        <w:pStyle w:val="BodyText"/>
        <w:spacing w:before="9" w:line="240" w:lineRule="atLeast"/>
        <w:ind w:left="720" w:hanging="360"/>
        <w:rPr>
          <w:rFonts w:ascii="Times New Roman" w:hAnsi="Times New Roman"/>
          <w:i/>
          <w:sz w:val="22"/>
          <w:szCs w:val="22"/>
        </w:rPr>
      </w:pPr>
    </w:p>
    <w:p w:rsidR="00026EA7" w:rsidRPr="003A61F6" w:rsidRDefault="00026EA7" w:rsidP="0063165A">
      <w:pPr>
        <w:pStyle w:val="ListParagraph"/>
        <w:widowControl/>
        <w:numPr>
          <w:ilvl w:val="1"/>
          <w:numId w:val="13"/>
        </w:numPr>
        <w:spacing w:before="0" w:line="240" w:lineRule="atLeast"/>
        <w:ind w:left="720"/>
        <w:jc w:val="left"/>
        <w:rPr>
          <w:i/>
        </w:rPr>
      </w:pPr>
      <w:r>
        <w:rPr>
          <w:i/>
        </w:rPr>
        <w:t>elettrodomestici, carrozzine da bambini, girelli per bebè</w:t>
      </w:r>
    </w:p>
    <w:p w:rsidR="00026EA7" w:rsidRPr="0063165A" w:rsidRDefault="00026EA7" w:rsidP="0063165A">
      <w:pPr>
        <w:pStyle w:val="BodyText"/>
        <w:spacing w:before="9" w:line="240" w:lineRule="atLeast"/>
        <w:ind w:left="720" w:hanging="360"/>
        <w:rPr>
          <w:rFonts w:ascii="Times New Roman" w:hAnsi="Times New Roman"/>
          <w:i/>
          <w:sz w:val="22"/>
          <w:szCs w:val="22"/>
        </w:rPr>
      </w:pPr>
    </w:p>
    <w:p w:rsidR="00026EA7" w:rsidRPr="003A61F6" w:rsidRDefault="00026EA7" w:rsidP="0063165A">
      <w:pPr>
        <w:pStyle w:val="ListParagraph"/>
        <w:widowControl/>
        <w:numPr>
          <w:ilvl w:val="1"/>
          <w:numId w:val="13"/>
        </w:numPr>
        <w:spacing w:before="0" w:line="240" w:lineRule="atLeast"/>
        <w:ind w:left="720"/>
        <w:jc w:val="left"/>
        <w:rPr>
          <w:i/>
        </w:rPr>
      </w:pPr>
      <w:r>
        <w:rPr>
          <w:i/>
        </w:rPr>
        <w:t>utensili domestici</w:t>
      </w:r>
    </w:p>
    <w:p w:rsidR="00026EA7" w:rsidRPr="003A61F6" w:rsidRDefault="00026EA7" w:rsidP="0063165A">
      <w:pPr>
        <w:pStyle w:val="BodyText"/>
        <w:spacing w:before="9" w:line="240" w:lineRule="atLeast"/>
        <w:ind w:left="720" w:hanging="360"/>
        <w:rPr>
          <w:rFonts w:ascii="Times New Roman" w:hAnsi="Times New Roman"/>
          <w:i/>
          <w:sz w:val="22"/>
          <w:szCs w:val="22"/>
        </w:rPr>
      </w:pPr>
    </w:p>
    <w:p w:rsidR="00026EA7" w:rsidRPr="003A61F6" w:rsidRDefault="00026EA7" w:rsidP="0063165A">
      <w:pPr>
        <w:pStyle w:val="ListParagraph"/>
        <w:widowControl/>
        <w:numPr>
          <w:ilvl w:val="1"/>
          <w:numId w:val="13"/>
        </w:numPr>
        <w:spacing w:before="1" w:line="240" w:lineRule="atLeast"/>
        <w:ind w:left="720"/>
        <w:jc w:val="left"/>
        <w:rPr>
          <w:i/>
        </w:rPr>
      </w:pPr>
      <w:r>
        <w:rPr>
          <w:i/>
        </w:rPr>
        <w:t>indumenti, calzature, guanti e abbigliamento sportivo</w:t>
      </w:r>
    </w:p>
    <w:p w:rsidR="00026EA7" w:rsidRPr="0063165A" w:rsidRDefault="00026EA7" w:rsidP="0063165A">
      <w:pPr>
        <w:pStyle w:val="BodyText"/>
        <w:spacing w:before="9" w:line="240" w:lineRule="atLeast"/>
        <w:ind w:left="720" w:hanging="360"/>
        <w:rPr>
          <w:rFonts w:ascii="Times New Roman" w:hAnsi="Times New Roman"/>
          <w:i/>
          <w:sz w:val="22"/>
          <w:szCs w:val="22"/>
        </w:rPr>
      </w:pPr>
    </w:p>
    <w:p w:rsidR="00026EA7" w:rsidRPr="003A61F6" w:rsidRDefault="00026EA7" w:rsidP="0063165A">
      <w:pPr>
        <w:pStyle w:val="ListParagraph"/>
        <w:widowControl/>
        <w:numPr>
          <w:ilvl w:val="1"/>
          <w:numId w:val="13"/>
        </w:numPr>
        <w:spacing w:before="0" w:line="240" w:lineRule="atLeast"/>
        <w:ind w:left="720"/>
        <w:jc w:val="left"/>
        <w:rPr>
          <w:i/>
        </w:rPr>
      </w:pPr>
      <w:r>
        <w:rPr>
          <w:i/>
        </w:rPr>
        <w:t>cinturini di orologi, bracciali, maschere, accessori per capelli</w:t>
      </w:r>
    </w:p>
    <w:p w:rsidR="00026EA7" w:rsidRPr="0063165A" w:rsidRDefault="00026EA7" w:rsidP="0063165A">
      <w:pPr>
        <w:rPr>
          <w:rFonts w:ascii="Times New Roman" w:hAnsi="Times New Roman"/>
          <w:sz w:val="22"/>
          <w:szCs w:val="22"/>
        </w:rPr>
        <w:sectPr w:rsidR="00026EA7" w:rsidRPr="0063165A" w:rsidSect="00FA02E7">
          <w:footerReference w:type="default" r:id="rId12"/>
          <w:pgSz w:w="11910" w:h="16840"/>
          <w:pgMar w:top="1180" w:right="711" w:bottom="900" w:left="1600" w:header="0" w:footer="712" w:gutter="0"/>
          <w:cols w:space="720"/>
        </w:sectPr>
      </w:pPr>
    </w:p>
    <w:p w:rsidR="00026EA7" w:rsidRPr="003A61F6" w:rsidRDefault="00026EA7" w:rsidP="0063165A">
      <w:pPr>
        <w:spacing w:before="90"/>
        <w:jc w:val="center"/>
        <w:rPr>
          <w:rFonts w:ascii="Times New Roman" w:hAnsi="Times New Roman"/>
          <w:b/>
          <w:spacing w:val="60"/>
          <w:sz w:val="22"/>
          <w:szCs w:val="22"/>
        </w:rPr>
      </w:pPr>
      <w:r>
        <w:rPr>
          <w:rFonts w:ascii="Times New Roman" w:hAnsi="Times New Roman"/>
          <w:b/>
          <w:sz w:val="22"/>
        </w:rPr>
        <w:lastRenderedPageBreak/>
        <w:t>ALLEGATO II</w:t>
      </w:r>
    </w:p>
    <w:p w:rsidR="00026EA7" w:rsidRPr="003A61F6" w:rsidRDefault="00026EA7" w:rsidP="0063165A">
      <w:pPr>
        <w:spacing w:before="184"/>
        <w:ind w:left="4803"/>
        <w:rPr>
          <w:rFonts w:ascii="Times New Roman" w:hAnsi="Times New Roman"/>
          <w:b/>
          <w:sz w:val="22"/>
          <w:szCs w:val="22"/>
        </w:rPr>
      </w:pPr>
      <w:r>
        <w:rPr>
          <w:rFonts w:ascii="Times New Roman" w:hAnsi="Times New Roman"/>
          <w:b/>
          <w:sz w:val="22"/>
        </w:rPr>
        <w:t>Requisiti per i prodotti di gomma lavorata</w:t>
      </w:r>
    </w:p>
    <w:p w:rsidR="00026EA7" w:rsidRPr="0063165A" w:rsidRDefault="00026EA7" w:rsidP="0063165A">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63165A">
            <w:pPr>
              <w:pStyle w:val="TableParagraph"/>
              <w:widowControl/>
              <w:spacing w:before="119"/>
              <w:ind w:left="37" w:right="214"/>
              <w:jc w:val="center"/>
              <w:rPr>
                <w:b/>
                <w:spacing w:val="60"/>
              </w:rPr>
            </w:pPr>
            <w:r>
              <w:rPr>
                <w:b/>
              </w:rPr>
              <w:t>Requisiti</w:t>
            </w:r>
          </w:p>
        </w:tc>
        <w:tc>
          <w:tcPr>
            <w:tcW w:w="7230" w:type="dxa"/>
            <w:shd w:val="clear" w:color="auto" w:fill="D9D9D9"/>
          </w:tcPr>
          <w:p w:rsidR="00026EA7" w:rsidRPr="003A61F6" w:rsidRDefault="00026EA7" w:rsidP="0063165A">
            <w:pPr>
              <w:pStyle w:val="TableParagraph"/>
              <w:widowControl/>
              <w:spacing w:before="119"/>
              <w:ind w:left="70" w:right="215"/>
              <w:jc w:val="center"/>
              <w:rPr>
                <w:b/>
                <w:spacing w:val="60"/>
              </w:rPr>
            </w:pPr>
            <w:r>
              <w:rPr>
                <w:b/>
              </w:rPr>
              <w:t>Conformità ai requisiti</w:t>
            </w:r>
          </w:p>
        </w:tc>
      </w:tr>
      <w:tr w:rsidR="003A61F6" w:rsidRPr="00DC516E" w:rsidTr="00525FA9">
        <w:tc>
          <w:tcPr>
            <w:tcW w:w="6488" w:type="dxa"/>
          </w:tcPr>
          <w:p w:rsidR="00026EA7" w:rsidRPr="003A61F6" w:rsidRDefault="00026EA7" w:rsidP="0063165A">
            <w:pPr>
              <w:pStyle w:val="TableParagraph"/>
              <w:widowControl/>
              <w:tabs>
                <w:tab w:val="left" w:pos="391"/>
              </w:tabs>
              <w:spacing w:before="61" w:line="235" w:lineRule="auto"/>
              <w:ind w:right="132"/>
              <w:jc w:val="both"/>
            </w:pPr>
          </w:p>
          <w:p w:rsidR="00026EA7" w:rsidRPr="003A61F6" w:rsidRDefault="00026EA7" w:rsidP="0063165A">
            <w:pPr>
              <w:pStyle w:val="TableParagraph"/>
              <w:widowControl/>
              <w:numPr>
                <w:ilvl w:val="0"/>
                <w:numId w:val="12"/>
              </w:numPr>
              <w:tabs>
                <w:tab w:val="left" w:pos="391"/>
              </w:tabs>
              <w:spacing w:before="61" w:line="235" w:lineRule="auto"/>
              <w:ind w:right="132"/>
              <w:jc w:val="both"/>
            </w:pPr>
            <w:r>
              <w:rPr>
                <w:b/>
                <w:bCs/>
              </w:rPr>
              <w:t>Prodotti di gomma lavorata per gli usi specificati all'allegato I:</w:t>
            </w:r>
          </w:p>
          <w:p w:rsidR="00026EA7" w:rsidRPr="003A61F6" w:rsidRDefault="00026EA7" w:rsidP="0063165A">
            <w:pPr>
              <w:pStyle w:val="TableParagraph"/>
              <w:widowControl/>
              <w:tabs>
                <w:tab w:val="left" w:pos="391"/>
              </w:tabs>
              <w:spacing w:before="61" w:line="235" w:lineRule="auto"/>
              <w:ind w:left="391" w:right="132"/>
              <w:jc w:val="both"/>
            </w:pPr>
          </w:p>
          <w:p w:rsidR="00026EA7" w:rsidRPr="003A61F6" w:rsidRDefault="00026EA7" w:rsidP="0063165A">
            <w:pPr>
              <w:pStyle w:val="TableParagraph"/>
              <w:widowControl/>
              <w:numPr>
                <w:ilvl w:val="1"/>
                <w:numId w:val="12"/>
              </w:numPr>
              <w:tabs>
                <w:tab w:val="left" w:pos="817"/>
              </w:tabs>
              <w:spacing w:before="59"/>
              <w:ind w:right="130" w:hanging="425"/>
              <w:jc w:val="both"/>
            </w:pPr>
            <w:r>
              <w:t>devono essere conformi alle specifiche tecniche e alle nome del settore di riferimento.</w:t>
            </w:r>
          </w:p>
          <w:p w:rsidR="00026EA7" w:rsidRPr="003A61F6" w:rsidRDefault="00026EA7" w:rsidP="0063165A">
            <w:pPr>
              <w:pStyle w:val="TableParagraph"/>
              <w:widowControl/>
              <w:tabs>
                <w:tab w:val="left" w:pos="817"/>
              </w:tabs>
              <w:spacing w:before="59"/>
              <w:ind w:left="816" w:right="130"/>
              <w:jc w:val="both"/>
            </w:pPr>
          </w:p>
          <w:p w:rsidR="00026EA7" w:rsidRPr="003A61F6" w:rsidRDefault="00026EA7" w:rsidP="0063165A">
            <w:pPr>
              <w:pStyle w:val="TableParagraph"/>
              <w:widowControl/>
              <w:numPr>
                <w:ilvl w:val="1"/>
                <w:numId w:val="12"/>
              </w:numPr>
              <w:tabs>
                <w:tab w:val="left" w:pos="817"/>
              </w:tabs>
              <w:spacing w:before="61"/>
              <w:ind w:right="130" w:hanging="425"/>
              <w:jc w:val="both"/>
            </w:pPr>
            <w:r>
              <w:t>devono essere conformi alle disposizioni del regolamento (CE) n. 1907/2006 (REACH) nella versione in vigore.</w:t>
            </w:r>
          </w:p>
          <w:p w:rsidR="00026EA7" w:rsidRPr="003A61F6" w:rsidRDefault="00026EA7" w:rsidP="0063165A">
            <w:pPr>
              <w:pStyle w:val="TableParagraph"/>
              <w:widowControl/>
              <w:tabs>
                <w:tab w:val="left" w:pos="817"/>
              </w:tabs>
              <w:spacing w:before="61"/>
              <w:ind w:right="130"/>
              <w:jc w:val="both"/>
            </w:pPr>
          </w:p>
          <w:p w:rsidR="00026EA7" w:rsidRPr="003A61F6" w:rsidRDefault="00026EA7" w:rsidP="0063165A">
            <w:pPr>
              <w:pStyle w:val="TableParagraph"/>
              <w:widowControl/>
              <w:numPr>
                <w:ilvl w:val="1"/>
                <w:numId w:val="12"/>
              </w:numPr>
              <w:tabs>
                <w:tab w:val="left" w:pos="817"/>
              </w:tabs>
              <w:spacing w:before="58"/>
              <w:ind w:right="129" w:hanging="425"/>
              <w:jc w:val="both"/>
            </w:pPr>
            <w:r>
              <w:t>devono essere conformi ai requisiti specifici dell'eventuale normativa ad essi pertinente.</w:t>
            </w:r>
          </w:p>
          <w:p w:rsidR="00026EA7" w:rsidRPr="003A61F6" w:rsidRDefault="00026EA7" w:rsidP="0063165A">
            <w:pPr>
              <w:pStyle w:val="TableParagraph"/>
              <w:widowControl/>
              <w:tabs>
                <w:tab w:val="left" w:pos="817"/>
              </w:tabs>
              <w:spacing w:before="61"/>
              <w:ind w:left="816"/>
              <w:jc w:val="both"/>
            </w:pPr>
          </w:p>
        </w:tc>
        <w:tc>
          <w:tcPr>
            <w:tcW w:w="7230" w:type="dxa"/>
          </w:tcPr>
          <w:p w:rsidR="00026EA7" w:rsidRPr="003A61F6" w:rsidRDefault="00026EA7" w:rsidP="0063165A">
            <w:pPr>
              <w:pStyle w:val="TableParagraph"/>
              <w:widowControl/>
              <w:spacing w:before="53"/>
              <w:ind w:left="108"/>
            </w:pPr>
          </w:p>
          <w:p w:rsidR="00026EA7" w:rsidRPr="003A61F6" w:rsidRDefault="00026EA7" w:rsidP="0063165A">
            <w:pPr>
              <w:pStyle w:val="TableParagraph"/>
              <w:widowControl/>
              <w:spacing w:before="53"/>
              <w:ind w:left="108"/>
            </w:pPr>
            <w:r>
              <w:t>I prodotti di gomma lavorata per gli usi specificati all'allegato I, devono essere valutati mediante:</w:t>
            </w:r>
          </w:p>
          <w:p w:rsidR="00026EA7" w:rsidRPr="003A61F6" w:rsidRDefault="00026EA7" w:rsidP="0063165A">
            <w:pPr>
              <w:pStyle w:val="TableParagraph"/>
              <w:widowControl/>
              <w:spacing w:before="53"/>
              <w:ind w:left="108"/>
            </w:pPr>
          </w:p>
          <w:p w:rsidR="00026EA7" w:rsidRPr="003A61F6" w:rsidRDefault="00026EA7" w:rsidP="0063165A">
            <w:pPr>
              <w:pStyle w:val="TableParagraph"/>
              <w:widowControl/>
              <w:numPr>
                <w:ilvl w:val="0"/>
                <w:numId w:val="11"/>
              </w:numPr>
              <w:tabs>
                <w:tab w:val="left" w:pos="467"/>
                <w:tab w:val="left" w:pos="468"/>
              </w:tabs>
              <w:spacing w:before="58"/>
            </w:pPr>
            <w:r>
              <w:t>Esame macroscopico</w:t>
            </w:r>
          </w:p>
          <w:p w:rsidR="00026EA7" w:rsidRPr="003A61F6" w:rsidRDefault="00026EA7" w:rsidP="0063165A">
            <w:pPr>
              <w:pStyle w:val="TableParagraph"/>
              <w:widowControl/>
              <w:tabs>
                <w:tab w:val="left" w:pos="467"/>
                <w:tab w:val="left" w:pos="468"/>
              </w:tabs>
              <w:spacing w:before="58"/>
              <w:ind w:left="468"/>
            </w:pPr>
          </w:p>
          <w:p w:rsidR="00026EA7" w:rsidRPr="003A61F6" w:rsidRDefault="00026EA7" w:rsidP="0063165A">
            <w:pPr>
              <w:pStyle w:val="TableParagraph"/>
              <w:widowControl/>
              <w:numPr>
                <w:ilvl w:val="0"/>
                <w:numId w:val="11"/>
              </w:numPr>
              <w:tabs>
                <w:tab w:val="left" w:pos="467"/>
                <w:tab w:val="left" w:pos="468"/>
              </w:tabs>
              <w:spacing w:before="60"/>
            </w:pPr>
            <w:r>
              <w:t xml:space="preserve">Prove di laboratorio (meccaniche, fisiche e chimiche), </w:t>
            </w:r>
          </w:p>
          <w:p w:rsidR="00026EA7" w:rsidRPr="003A61F6" w:rsidRDefault="00026EA7" w:rsidP="0063165A">
            <w:pPr>
              <w:pStyle w:val="TableParagraph"/>
              <w:widowControl/>
              <w:tabs>
                <w:tab w:val="left" w:pos="467"/>
                <w:tab w:val="left" w:pos="468"/>
              </w:tabs>
              <w:spacing w:before="60"/>
              <w:ind w:left="108"/>
            </w:pPr>
            <w:r>
              <w:t>quali previste dal sistema di gestione della qualità del produttore, in base all'allegato IV.</w:t>
            </w:r>
          </w:p>
          <w:p w:rsidR="00026EA7" w:rsidRPr="003A61F6" w:rsidRDefault="00026EA7" w:rsidP="0063165A">
            <w:pPr>
              <w:pStyle w:val="TableParagraph"/>
              <w:widowControl/>
              <w:tabs>
                <w:tab w:val="left" w:pos="467"/>
                <w:tab w:val="left" w:pos="468"/>
              </w:tabs>
              <w:spacing w:before="60"/>
              <w:ind w:left="108"/>
            </w:pPr>
          </w:p>
          <w:p w:rsidR="00026EA7" w:rsidRPr="003A61F6" w:rsidRDefault="00026EA7" w:rsidP="0063165A">
            <w:pPr>
              <w:pStyle w:val="TableParagraph"/>
              <w:widowControl/>
              <w:spacing w:before="60"/>
              <w:ind w:left="108"/>
            </w:pPr>
            <w:r>
              <w:t>Le prove di laboratorio devono essere effettuate presso un laboratorio accreditato in conformità della norma ISO/IEC 17025.</w:t>
            </w:r>
          </w:p>
        </w:tc>
      </w:tr>
      <w:tr w:rsidR="003A61F6" w:rsidRPr="00DC516E" w:rsidTr="00525FA9">
        <w:tc>
          <w:tcPr>
            <w:tcW w:w="6488" w:type="dxa"/>
          </w:tcPr>
          <w:p w:rsidR="00026EA7" w:rsidRPr="003A61F6" w:rsidRDefault="00026EA7" w:rsidP="0063165A">
            <w:pPr>
              <w:pStyle w:val="TableParagraph"/>
              <w:widowControl/>
              <w:tabs>
                <w:tab w:val="left" w:pos="391"/>
              </w:tabs>
              <w:spacing w:before="58"/>
              <w:ind w:left="467" w:right="132"/>
              <w:jc w:val="both"/>
              <w:rPr>
                <w:b/>
              </w:rPr>
            </w:pPr>
          </w:p>
          <w:p w:rsidR="00026EA7" w:rsidRPr="003A61F6" w:rsidRDefault="00026EA7" w:rsidP="0063165A">
            <w:pPr>
              <w:pStyle w:val="TableParagraph"/>
              <w:widowControl/>
              <w:numPr>
                <w:ilvl w:val="0"/>
                <w:numId w:val="10"/>
              </w:numPr>
              <w:tabs>
                <w:tab w:val="left" w:pos="391"/>
              </w:tabs>
              <w:spacing w:before="58"/>
              <w:ind w:right="132" w:hanging="360"/>
              <w:jc w:val="both"/>
              <w:rPr>
                <w:b/>
              </w:rPr>
            </w:pPr>
            <w:r>
              <w:rPr>
                <w:b/>
              </w:rPr>
              <w:t>Gomme e altri materiali utilizzati per produrre i prodotti di cui all'allegato I</w:t>
            </w:r>
          </w:p>
          <w:p w:rsidR="00026EA7" w:rsidRPr="003A61F6" w:rsidRDefault="00026EA7" w:rsidP="0063165A">
            <w:pPr>
              <w:pStyle w:val="TableParagraph"/>
              <w:widowControl/>
              <w:tabs>
                <w:tab w:val="left" w:pos="391"/>
              </w:tabs>
              <w:spacing w:before="58"/>
              <w:ind w:left="467" w:right="132"/>
              <w:jc w:val="both"/>
              <w:rPr>
                <w:b/>
              </w:rPr>
            </w:pPr>
          </w:p>
          <w:p w:rsidR="00026EA7" w:rsidRPr="003A61F6" w:rsidRDefault="00026EA7" w:rsidP="0063165A">
            <w:pPr>
              <w:pStyle w:val="TableParagraph"/>
              <w:widowControl/>
              <w:numPr>
                <w:ilvl w:val="1"/>
                <w:numId w:val="10"/>
              </w:numPr>
              <w:tabs>
                <w:tab w:val="left" w:pos="888"/>
              </w:tabs>
              <w:spacing w:before="59"/>
              <w:ind w:left="883" w:right="129" w:hanging="492"/>
              <w:jc w:val="both"/>
            </w:pPr>
            <w:r>
              <w:t>devono essere conformi alle specifiche tecniche e alle norme del settore di riferimento.</w:t>
            </w:r>
          </w:p>
          <w:p w:rsidR="00026EA7" w:rsidRPr="003A61F6" w:rsidRDefault="00026EA7" w:rsidP="0063165A">
            <w:pPr>
              <w:pStyle w:val="TableParagraph"/>
              <w:widowControl/>
              <w:tabs>
                <w:tab w:val="left" w:pos="746"/>
              </w:tabs>
              <w:spacing w:before="56"/>
              <w:ind w:left="816" w:right="130"/>
              <w:jc w:val="both"/>
            </w:pPr>
          </w:p>
          <w:p w:rsidR="00026EA7" w:rsidRPr="003A61F6" w:rsidRDefault="00026EA7" w:rsidP="0063165A">
            <w:pPr>
              <w:pStyle w:val="TableParagraph"/>
              <w:widowControl/>
              <w:numPr>
                <w:ilvl w:val="1"/>
                <w:numId w:val="10"/>
              </w:numPr>
              <w:tabs>
                <w:tab w:val="left" w:pos="888"/>
              </w:tabs>
              <w:spacing w:before="59"/>
              <w:ind w:left="883" w:right="129" w:hanging="492"/>
              <w:jc w:val="both"/>
            </w:pPr>
            <w:r>
              <w:t>devono essere conformi alla normativa ambientale applicabile, nel caso in cui le gomme provengano da materiale riciclato (ai sensi dell'allegato III della direttiva 2008/98/CE, nella versione in vigore, e dell'allegato IV del regolamento (CE) n. 850/2004).</w:t>
            </w:r>
          </w:p>
          <w:p w:rsidR="00026EA7" w:rsidRPr="003A61F6" w:rsidRDefault="00026EA7" w:rsidP="0063165A">
            <w:pPr>
              <w:pStyle w:val="TableParagraph"/>
              <w:widowControl/>
              <w:tabs>
                <w:tab w:val="left" w:pos="817"/>
              </w:tabs>
              <w:spacing w:before="61"/>
              <w:ind w:right="136"/>
              <w:jc w:val="both"/>
            </w:pPr>
          </w:p>
        </w:tc>
        <w:tc>
          <w:tcPr>
            <w:tcW w:w="7230" w:type="dxa"/>
          </w:tcPr>
          <w:p w:rsidR="00026EA7" w:rsidRPr="003A61F6" w:rsidRDefault="00026EA7" w:rsidP="0063165A">
            <w:pPr>
              <w:pStyle w:val="TableParagraph"/>
              <w:widowControl/>
              <w:spacing w:before="10"/>
              <w:rPr>
                <w:b/>
              </w:rPr>
            </w:pPr>
          </w:p>
          <w:p w:rsidR="00026EA7" w:rsidRPr="003A61F6" w:rsidRDefault="00026EA7" w:rsidP="0063165A">
            <w:pPr>
              <w:pStyle w:val="TableParagraph"/>
              <w:widowControl/>
              <w:spacing w:before="10"/>
              <w:rPr>
                <w:b/>
              </w:rPr>
            </w:pPr>
          </w:p>
          <w:p w:rsidR="00026EA7" w:rsidRPr="003A61F6" w:rsidRDefault="00026EA7" w:rsidP="0063165A">
            <w:pPr>
              <w:pStyle w:val="TableParagraph"/>
              <w:widowControl/>
              <w:numPr>
                <w:ilvl w:val="0"/>
                <w:numId w:val="9"/>
              </w:numPr>
              <w:tabs>
                <w:tab w:val="left" w:pos="495"/>
              </w:tabs>
              <w:ind w:right="275" w:hanging="360"/>
              <w:jc w:val="both"/>
            </w:pPr>
            <w:r>
              <w:t>I criteri di ammissibilità e rifiuto delle gomme e altri materiali di partenza devono essere definiti nel manuale delle procedure del sistema di gestione della qualità ai sensi dell'allegato IV.</w:t>
            </w:r>
          </w:p>
          <w:p w:rsidR="00026EA7" w:rsidRPr="003A61F6" w:rsidRDefault="00026EA7" w:rsidP="0063165A">
            <w:pPr>
              <w:pStyle w:val="TableParagraph"/>
              <w:widowControl/>
              <w:tabs>
                <w:tab w:val="left" w:pos="495"/>
              </w:tabs>
              <w:ind w:left="468" w:right="275"/>
              <w:jc w:val="both"/>
            </w:pPr>
          </w:p>
          <w:p w:rsidR="00026EA7" w:rsidRPr="003A61F6" w:rsidRDefault="00026EA7" w:rsidP="0063165A">
            <w:pPr>
              <w:pStyle w:val="TableParagraph"/>
              <w:widowControl/>
              <w:tabs>
                <w:tab w:val="left" w:pos="495"/>
              </w:tabs>
              <w:ind w:left="468" w:right="275"/>
              <w:jc w:val="both"/>
            </w:pPr>
          </w:p>
          <w:p w:rsidR="00026EA7" w:rsidRPr="003A61F6" w:rsidRDefault="00026EA7" w:rsidP="0063165A">
            <w:pPr>
              <w:pStyle w:val="TableParagraph"/>
              <w:widowControl/>
              <w:numPr>
                <w:ilvl w:val="0"/>
                <w:numId w:val="9"/>
              </w:numPr>
              <w:tabs>
                <w:tab w:val="left" w:pos="495"/>
              </w:tabs>
              <w:spacing w:before="60"/>
              <w:ind w:right="274" w:hanging="360"/>
              <w:jc w:val="both"/>
            </w:pPr>
            <w:r>
              <w:t>Il personale responsabile della manipolazione delle gomme e dei prodotti di gomma lavorata deve essere formato adeguatamente per attuare le procedure.</w:t>
            </w:r>
          </w:p>
        </w:tc>
      </w:tr>
    </w:tbl>
    <w:p w:rsidR="00026EA7" w:rsidRPr="0063165A" w:rsidRDefault="00026EA7" w:rsidP="0063165A">
      <w:pPr>
        <w:spacing w:before="1"/>
        <w:ind w:right="113"/>
        <w:rPr>
          <w:rFonts w:ascii="Times New Roman" w:hAnsi="Times New Roman"/>
          <w:sz w:val="22"/>
          <w:szCs w:val="22"/>
        </w:rPr>
      </w:pPr>
    </w:p>
    <w:p w:rsidR="00026EA7" w:rsidRPr="0063165A" w:rsidRDefault="00026EA7" w:rsidP="0063165A">
      <w:pPr>
        <w:jc w:val="right"/>
        <w:rPr>
          <w:rFonts w:ascii="Times New Roman" w:hAnsi="Times New Roman"/>
          <w:sz w:val="22"/>
          <w:szCs w:val="22"/>
        </w:rPr>
        <w:sectPr w:rsidR="00026EA7" w:rsidRPr="0063165A" w:rsidSect="00FD1D0F">
          <w:footerReference w:type="default" r:id="rId13"/>
          <w:pgSz w:w="16840" w:h="11910" w:orient="landscape"/>
          <w:pgMar w:top="1100" w:right="1300" w:bottom="280" w:left="1200" w:header="0" w:footer="258" w:gutter="0"/>
          <w:cols w:space="720"/>
        </w:sectPr>
      </w:pPr>
    </w:p>
    <w:p w:rsidR="00026EA7" w:rsidRPr="003A61F6" w:rsidRDefault="00026EA7" w:rsidP="0063165A">
      <w:pPr>
        <w:tabs>
          <w:tab w:val="left" w:pos="2064"/>
        </w:tabs>
        <w:spacing w:before="79"/>
        <w:ind w:right="313"/>
        <w:jc w:val="center"/>
        <w:rPr>
          <w:rFonts w:ascii="Times New Roman" w:hAnsi="Times New Roman"/>
          <w:b/>
          <w:spacing w:val="60"/>
          <w:sz w:val="22"/>
          <w:szCs w:val="22"/>
        </w:rPr>
      </w:pPr>
      <w:r>
        <w:rPr>
          <w:rFonts w:ascii="Times New Roman" w:hAnsi="Times New Roman"/>
          <w:b/>
          <w:sz w:val="22"/>
        </w:rPr>
        <w:lastRenderedPageBreak/>
        <w:t>ALLEGATO III</w:t>
      </w:r>
    </w:p>
    <w:p w:rsidR="00026EA7" w:rsidRPr="0063165A" w:rsidRDefault="00026EA7" w:rsidP="0063165A">
      <w:pPr>
        <w:pStyle w:val="BodyText"/>
        <w:spacing w:before="2"/>
        <w:rPr>
          <w:rFonts w:ascii="Times New Roman" w:hAnsi="Times New Roman"/>
          <w:b/>
          <w:sz w:val="22"/>
          <w:szCs w:val="22"/>
        </w:rPr>
      </w:pPr>
    </w:p>
    <w:p w:rsidR="00026EA7" w:rsidRPr="003A61F6" w:rsidRDefault="00026EA7" w:rsidP="0063165A">
      <w:pPr>
        <w:pStyle w:val="BodyText"/>
        <w:spacing w:before="2"/>
        <w:jc w:val="center"/>
        <w:rPr>
          <w:rFonts w:ascii="Times New Roman" w:hAnsi="Times New Roman"/>
          <w:sz w:val="22"/>
          <w:szCs w:val="22"/>
        </w:rPr>
      </w:pPr>
      <w:r>
        <w:rPr>
          <w:rFonts w:ascii="Times New Roman" w:hAnsi="Times New Roman"/>
          <w:b/>
          <w:sz w:val="22"/>
        </w:rPr>
        <w:t xml:space="preserve">Dichiarazione sull'onore </w:t>
      </w:r>
    </w:p>
    <w:p w:rsidR="00026EA7" w:rsidRPr="003A61F6" w:rsidRDefault="00026EA7" w:rsidP="0063165A">
      <w:pPr>
        <w:pStyle w:val="BodyText"/>
        <w:spacing w:before="2"/>
        <w:jc w:val="center"/>
        <w:rPr>
          <w:rFonts w:ascii="Times New Roman" w:hAnsi="Times New Roman"/>
          <w:b/>
          <w:sz w:val="22"/>
          <w:szCs w:val="22"/>
        </w:rPr>
      </w:pPr>
      <w:r>
        <w:rPr>
          <w:rFonts w:ascii="Times New Roman" w:hAnsi="Times New Roman"/>
          <w:sz w:val="22"/>
        </w:rPr>
        <w:t>di cui all'articolo 4 della presente decisione</w:t>
      </w:r>
    </w:p>
    <w:p w:rsidR="00026EA7" w:rsidRPr="0063165A" w:rsidRDefault="00026EA7" w:rsidP="0063165A">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1</w:t>
            </w:r>
          </w:p>
        </w:tc>
        <w:tc>
          <w:tcPr>
            <w:tcW w:w="9214" w:type="dxa"/>
            <w:vAlign w:val="center"/>
          </w:tcPr>
          <w:p w:rsidR="00026EA7" w:rsidRPr="0063165A" w:rsidRDefault="00026EA7" w:rsidP="0063165A">
            <w:pPr>
              <w:spacing w:line="237" w:lineRule="auto"/>
              <w:ind w:right="3040"/>
              <w:rPr>
                <w:rFonts w:ascii="Times New Roman" w:hAnsi="Times New Roman"/>
                <w:sz w:val="22"/>
                <w:szCs w:val="22"/>
              </w:rPr>
            </w:pPr>
          </w:p>
          <w:p w:rsidR="00026EA7" w:rsidRPr="003A61F6" w:rsidRDefault="00026EA7" w:rsidP="0063165A">
            <w:pPr>
              <w:tabs>
                <w:tab w:val="left" w:pos="2064"/>
              </w:tabs>
              <w:spacing w:before="120" w:after="120"/>
              <w:ind w:right="312"/>
              <w:rPr>
                <w:rFonts w:ascii="Times New Roman" w:hAnsi="Times New Roman"/>
                <w:sz w:val="22"/>
                <w:szCs w:val="22"/>
              </w:rPr>
            </w:pPr>
            <w:r>
              <w:rPr>
                <w:rFonts w:ascii="Times New Roman" w:hAnsi="Times New Roman"/>
                <w:sz w:val="22"/>
              </w:rPr>
              <w:t>Ragione sociale dell'azienda</w:t>
            </w:r>
            <w:r>
              <w:rPr>
                <w:rFonts w:ascii="Times New Roman" w:hAnsi="Times New Roman"/>
                <w:sz w:val="22"/>
              </w:rPr>
              <w:tab/>
            </w:r>
            <w:r>
              <w:rPr>
                <w:rFonts w:ascii="Times New Roman" w:hAnsi="Times New Roman"/>
                <w:b/>
                <w:sz w:val="22"/>
              </w:rPr>
              <w:t>:</w:t>
            </w:r>
          </w:p>
          <w:p w:rsidR="00026EA7" w:rsidRPr="003A61F6" w:rsidRDefault="00026EA7" w:rsidP="0063165A">
            <w:pPr>
              <w:tabs>
                <w:tab w:val="left" w:pos="2064"/>
              </w:tabs>
              <w:spacing w:before="120" w:after="120"/>
              <w:ind w:right="312"/>
              <w:rPr>
                <w:rFonts w:ascii="Times New Roman" w:hAnsi="Times New Roman"/>
                <w:b/>
                <w:sz w:val="22"/>
                <w:szCs w:val="22"/>
              </w:rPr>
            </w:pPr>
            <w:r>
              <w:rPr>
                <w:rFonts w:ascii="Times New Roman" w:hAnsi="Times New Roman"/>
                <w:sz w:val="22"/>
              </w:rPr>
              <w:t>Indirizzo</w:t>
            </w:r>
            <w:r>
              <w:rPr>
                <w:rFonts w:ascii="Times New Roman" w:hAnsi="Times New Roman"/>
                <w:sz w:val="22"/>
              </w:rPr>
              <w:tab/>
            </w:r>
            <w:r>
              <w:rPr>
                <w:rFonts w:ascii="Times New Roman" w:hAnsi="Times New Roman"/>
                <w:b/>
                <w:sz w:val="22"/>
              </w:rPr>
              <w:t>:</w:t>
            </w:r>
          </w:p>
          <w:p w:rsidR="00026EA7" w:rsidRPr="003A61F6" w:rsidRDefault="00026EA7" w:rsidP="0063165A">
            <w:pPr>
              <w:tabs>
                <w:tab w:val="left" w:pos="2064"/>
              </w:tabs>
              <w:spacing w:before="120" w:after="120"/>
              <w:ind w:right="312"/>
              <w:rPr>
                <w:rFonts w:ascii="Times New Roman" w:hAnsi="Times New Roman"/>
                <w:b/>
                <w:sz w:val="22"/>
                <w:szCs w:val="22"/>
              </w:rPr>
            </w:pPr>
            <w:r>
              <w:rPr>
                <w:rFonts w:ascii="Times New Roman" w:hAnsi="Times New Roman"/>
                <w:sz w:val="22"/>
              </w:rPr>
              <w:t>Referente</w:t>
            </w:r>
            <w:r>
              <w:rPr>
                <w:rFonts w:ascii="Times New Roman" w:hAnsi="Times New Roman"/>
                <w:sz w:val="22"/>
              </w:rPr>
              <w:tab/>
            </w:r>
            <w:r>
              <w:rPr>
                <w:rFonts w:ascii="Times New Roman" w:hAnsi="Times New Roman"/>
                <w:b/>
                <w:sz w:val="22"/>
              </w:rPr>
              <w:t>:</w:t>
            </w:r>
          </w:p>
          <w:p w:rsidR="00026EA7" w:rsidRPr="0063165A" w:rsidRDefault="00026EA7" w:rsidP="0063165A">
            <w:pPr>
              <w:tabs>
                <w:tab w:val="left" w:pos="2064"/>
              </w:tabs>
              <w:spacing w:before="120" w:after="120"/>
              <w:ind w:right="312"/>
              <w:rPr>
                <w:rFonts w:ascii="Times New Roman" w:hAnsi="Times New Roman"/>
                <w:b/>
                <w:sz w:val="22"/>
                <w:szCs w:val="22"/>
              </w:rPr>
            </w:pPr>
          </w:p>
        </w:tc>
      </w:tr>
      <w:tr w:rsidR="003A61F6" w:rsidRPr="00DC516E"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2</w:t>
            </w:r>
          </w:p>
          <w:p w:rsidR="00026EA7" w:rsidRPr="003A61F6" w:rsidRDefault="00026EA7" w:rsidP="0063165A">
            <w:pPr>
              <w:spacing w:line="237" w:lineRule="auto"/>
              <w:ind w:right="3040"/>
              <w:rPr>
                <w:rFonts w:ascii="Times New Roman" w:hAnsi="Times New Roman"/>
                <w:sz w:val="22"/>
                <w:szCs w:val="22"/>
              </w:rPr>
            </w:pPr>
          </w:p>
        </w:tc>
        <w:tc>
          <w:tcPr>
            <w:tcW w:w="9214" w:type="dxa"/>
            <w:vAlign w:val="center"/>
          </w:tcPr>
          <w:p w:rsidR="00026EA7" w:rsidRPr="0063165A" w:rsidRDefault="00026EA7" w:rsidP="0063165A">
            <w:pPr>
              <w:tabs>
                <w:tab w:val="left" w:pos="8113"/>
              </w:tabs>
              <w:spacing w:line="237" w:lineRule="auto"/>
              <w:ind w:right="3040"/>
              <w:rPr>
                <w:rFonts w:ascii="Times New Roman" w:hAnsi="Times New Roman"/>
                <w:sz w:val="22"/>
                <w:szCs w:val="22"/>
              </w:rPr>
            </w:pPr>
          </w:p>
          <w:p w:rsidR="00026EA7" w:rsidRPr="003A61F6" w:rsidRDefault="00026EA7" w:rsidP="0063165A">
            <w:pPr>
              <w:tabs>
                <w:tab w:val="left" w:pos="459"/>
              </w:tabs>
              <w:spacing w:line="237" w:lineRule="auto"/>
              <w:ind w:right="176"/>
              <w:jc w:val="both"/>
              <w:rPr>
                <w:rFonts w:ascii="Times New Roman" w:hAnsi="Times New Roman"/>
                <w:sz w:val="22"/>
                <w:szCs w:val="22"/>
              </w:rPr>
            </w:pPr>
            <w:r>
              <w:rPr>
                <w:rFonts w:ascii="Times New Roman" w:hAnsi="Times New Roman"/>
                <w:sz w:val="22"/>
              </w:rPr>
              <w:t>Norma o specifica tecnica alla quale è conforme il prodotto finito di gomma lavorata.</w:t>
            </w:r>
          </w:p>
          <w:p w:rsidR="00026EA7" w:rsidRPr="0063165A" w:rsidRDefault="00026EA7" w:rsidP="0063165A">
            <w:pPr>
              <w:tabs>
                <w:tab w:val="left" w:pos="459"/>
              </w:tabs>
              <w:spacing w:line="237" w:lineRule="auto"/>
              <w:ind w:left="459" w:right="176" w:hanging="425"/>
              <w:rPr>
                <w:rFonts w:ascii="Times New Roman" w:hAnsi="Times New Roman"/>
                <w:sz w:val="22"/>
                <w:szCs w:val="22"/>
              </w:rPr>
            </w:pPr>
          </w:p>
          <w:p w:rsidR="00026EA7" w:rsidRPr="0063165A" w:rsidRDefault="00026EA7" w:rsidP="0063165A">
            <w:pPr>
              <w:tabs>
                <w:tab w:val="left" w:pos="459"/>
              </w:tabs>
              <w:spacing w:line="237" w:lineRule="auto"/>
              <w:ind w:left="459" w:right="176"/>
              <w:rPr>
                <w:rFonts w:ascii="Times New Roman" w:hAnsi="Times New Roman"/>
                <w:sz w:val="22"/>
                <w:szCs w:val="22"/>
              </w:rPr>
            </w:pPr>
          </w:p>
        </w:tc>
      </w:tr>
      <w:tr w:rsidR="003A61F6" w:rsidRPr="003A61F6"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3</w:t>
            </w:r>
          </w:p>
        </w:tc>
        <w:tc>
          <w:tcPr>
            <w:tcW w:w="9214" w:type="dxa"/>
            <w:vAlign w:val="center"/>
          </w:tcPr>
          <w:p w:rsidR="00026EA7" w:rsidRPr="003A61F6" w:rsidRDefault="00026EA7" w:rsidP="0063165A">
            <w:pPr>
              <w:tabs>
                <w:tab w:val="left" w:pos="459"/>
              </w:tabs>
              <w:spacing w:line="237" w:lineRule="auto"/>
              <w:ind w:left="360" w:right="3040"/>
              <w:rPr>
                <w:rFonts w:ascii="Times New Roman" w:hAnsi="Times New Roman"/>
                <w:sz w:val="22"/>
                <w:szCs w:val="22"/>
              </w:rPr>
            </w:pPr>
          </w:p>
          <w:p w:rsidR="00026EA7" w:rsidRPr="003A61F6" w:rsidRDefault="00026EA7" w:rsidP="0063165A">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rPr>
              <w:t>Identificazione del lotto/carico</w:t>
            </w:r>
            <w:r>
              <w:rPr>
                <w:rFonts w:ascii="Times New Roman" w:hAnsi="Times New Roman"/>
                <w:b/>
                <w:sz w:val="22"/>
              </w:rPr>
              <w:t>:</w:t>
            </w:r>
          </w:p>
          <w:p w:rsidR="00026EA7" w:rsidRPr="003A61F6" w:rsidRDefault="00026EA7" w:rsidP="0063165A">
            <w:pPr>
              <w:tabs>
                <w:tab w:val="left" w:pos="459"/>
              </w:tabs>
              <w:spacing w:line="237" w:lineRule="auto"/>
              <w:ind w:right="3040"/>
              <w:rPr>
                <w:rFonts w:ascii="Times New Roman" w:hAnsi="Times New Roman"/>
                <w:sz w:val="22"/>
                <w:szCs w:val="22"/>
                <w:lang w:val="el-GR"/>
              </w:rPr>
            </w:pPr>
          </w:p>
          <w:p w:rsidR="00026EA7" w:rsidRPr="003A61F6" w:rsidRDefault="00026EA7" w:rsidP="0063165A">
            <w:pPr>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rPr>
              <w:t xml:space="preserve">Quantità del carico (kg), </w:t>
            </w:r>
          </w:p>
          <w:p w:rsidR="00026EA7" w:rsidRPr="003A61F6" w:rsidRDefault="00026EA7" w:rsidP="0063165A">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rPr>
              <w:t>volume (m</w:t>
            </w:r>
            <w:r>
              <w:rPr>
                <w:rFonts w:ascii="Times New Roman" w:hAnsi="Times New Roman"/>
                <w:sz w:val="22"/>
                <w:vertAlign w:val="superscript"/>
              </w:rPr>
              <w:t>3</w:t>
            </w:r>
            <w:r>
              <w:rPr>
                <w:rFonts w:ascii="Times New Roman" w:hAnsi="Times New Roman"/>
                <w:sz w:val="22"/>
              </w:rPr>
              <w:t>), n. di articoli</w:t>
            </w:r>
            <w:r>
              <w:rPr>
                <w:rFonts w:ascii="Times New Roman" w:hAnsi="Times New Roman"/>
                <w:b/>
                <w:sz w:val="22"/>
              </w:rPr>
              <w:t>:</w:t>
            </w:r>
          </w:p>
          <w:p w:rsidR="00026EA7" w:rsidRPr="003A61F6" w:rsidRDefault="00026EA7" w:rsidP="0063165A">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4</w:t>
            </w:r>
          </w:p>
        </w:tc>
        <w:tc>
          <w:tcPr>
            <w:tcW w:w="9214" w:type="dxa"/>
            <w:vAlign w:val="center"/>
          </w:tcPr>
          <w:p w:rsidR="00026EA7" w:rsidRPr="003A61F6" w:rsidRDefault="00026EA7" w:rsidP="0063165A">
            <w:pPr>
              <w:spacing w:line="237" w:lineRule="auto"/>
              <w:ind w:right="176"/>
              <w:rPr>
                <w:rFonts w:ascii="Times New Roman" w:hAnsi="Times New Roman"/>
                <w:sz w:val="22"/>
                <w:szCs w:val="22"/>
              </w:rPr>
            </w:pPr>
          </w:p>
          <w:p w:rsidR="00026EA7" w:rsidRPr="003A61F6" w:rsidRDefault="00026EA7" w:rsidP="0063165A">
            <w:pPr>
              <w:spacing w:line="237" w:lineRule="auto"/>
              <w:ind w:right="176"/>
              <w:rPr>
                <w:rFonts w:ascii="Times New Roman" w:hAnsi="Times New Roman"/>
                <w:sz w:val="22"/>
                <w:szCs w:val="22"/>
              </w:rPr>
            </w:pPr>
            <w:r>
              <w:rPr>
                <w:rFonts w:ascii="Times New Roman" w:hAnsi="Times New Roman"/>
                <w:sz w:val="22"/>
              </w:rPr>
              <w:t xml:space="preserve">Sistema di gestione della qualità adottato </w:t>
            </w:r>
          </w:p>
          <w:p w:rsidR="00026EA7" w:rsidRPr="003A61F6" w:rsidRDefault="00026EA7" w:rsidP="0063165A">
            <w:pPr>
              <w:spacing w:line="237" w:lineRule="auto"/>
              <w:ind w:right="176"/>
              <w:rPr>
                <w:rFonts w:ascii="Times New Roman" w:hAnsi="Times New Roman"/>
                <w:sz w:val="22"/>
                <w:szCs w:val="22"/>
              </w:rPr>
            </w:pPr>
          </w:p>
          <w:p w:rsidR="00026EA7" w:rsidRPr="003A61F6" w:rsidRDefault="00026EA7" w:rsidP="0063165A">
            <w:pPr>
              <w:spacing w:line="237" w:lineRule="auto"/>
              <w:ind w:right="176"/>
              <w:rPr>
                <w:rFonts w:ascii="Times New Roman" w:hAnsi="Times New Roman"/>
                <w:sz w:val="22"/>
                <w:szCs w:val="22"/>
              </w:rPr>
            </w:pPr>
            <w:r>
              <w:rPr>
                <w:rFonts w:ascii="Times New Roman" w:hAnsi="Times New Roman"/>
                <w:sz w:val="22"/>
              </w:rPr>
              <w:t>Conformità ai requisiti tecnici di cui all'allegato IV</w:t>
            </w:r>
            <w:r>
              <w:rPr>
                <w:rFonts w:ascii="Times New Roman" w:hAnsi="Times New Roman"/>
                <w:b/>
                <w:bCs/>
                <w:sz w:val="22"/>
              </w:rPr>
              <w:t>:</w:t>
            </w:r>
            <w:r>
              <w:rPr>
                <w:rFonts w:ascii="Times New Roman" w:hAnsi="Times New Roman"/>
                <w:b/>
                <w:sz w:val="22"/>
              </w:rPr>
              <w:t xml:space="preserve"> </w:t>
            </w:r>
          </w:p>
          <w:p w:rsidR="00026EA7" w:rsidRPr="0063165A" w:rsidRDefault="00026EA7" w:rsidP="0063165A">
            <w:pPr>
              <w:spacing w:line="237" w:lineRule="auto"/>
              <w:ind w:right="176"/>
              <w:rPr>
                <w:rFonts w:ascii="Times New Roman" w:hAnsi="Times New Roman"/>
                <w:sz w:val="22"/>
                <w:szCs w:val="22"/>
              </w:rPr>
            </w:pPr>
          </w:p>
          <w:p w:rsidR="00026EA7" w:rsidRPr="003A61F6" w:rsidRDefault="00026EA7" w:rsidP="0063165A">
            <w:pPr>
              <w:spacing w:line="237" w:lineRule="auto"/>
              <w:ind w:right="176"/>
              <w:rPr>
                <w:rFonts w:ascii="Times New Roman" w:hAnsi="Times New Roman"/>
                <w:sz w:val="22"/>
                <w:szCs w:val="22"/>
              </w:rPr>
            </w:pPr>
            <w:r>
              <w:rPr>
                <w:rFonts w:ascii="Times New Roman" w:hAnsi="Times New Roman"/>
                <w:sz w:val="22"/>
              </w:rPr>
              <w:t>Conformità ai requisiti della norma ISO 9001: 2015</w:t>
            </w:r>
            <w:r>
              <w:rPr>
                <w:rFonts w:ascii="Times New Roman" w:hAnsi="Times New Roman"/>
                <w:b/>
                <w:bCs/>
                <w:sz w:val="22"/>
              </w:rPr>
              <w:t>:</w:t>
            </w:r>
          </w:p>
          <w:p w:rsidR="00026EA7" w:rsidRPr="0063165A" w:rsidRDefault="00026EA7" w:rsidP="0063165A">
            <w:pPr>
              <w:spacing w:line="237" w:lineRule="auto"/>
              <w:ind w:right="176"/>
              <w:rPr>
                <w:rFonts w:ascii="Times New Roman" w:hAnsi="Times New Roman"/>
                <w:sz w:val="22"/>
                <w:szCs w:val="22"/>
              </w:rPr>
            </w:pPr>
          </w:p>
        </w:tc>
      </w:tr>
      <w:tr w:rsidR="003A61F6" w:rsidRPr="003A61F6"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5</w:t>
            </w:r>
          </w:p>
        </w:tc>
        <w:tc>
          <w:tcPr>
            <w:tcW w:w="9214" w:type="dxa"/>
            <w:vAlign w:val="center"/>
          </w:tcPr>
          <w:p w:rsidR="00026EA7" w:rsidRPr="0063165A" w:rsidRDefault="00026EA7" w:rsidP="0063165A">
            <w:pPr>
              <w:spacing w:line="237" w:lineRule="auto"/>
              <w:ind w:right="176"/>
              <w:rPr>
                <w:rFonts w:ascii="Times New Roman" w:hAnsi="Times New Roman"/>
                <w:sz w:val="22"/>
                <w:szCs w:val="22"/>
              </w:rPr>
            </w:pPr>
          </w:p>
          <w:p w:rsidR="00026EA7" w:rsidRPr="003A61F6" w:rsidRDefault="00026EA7" w:rsidP="0063165A">
            <w:pPr>
              <w:spacing w:line="237" w:lineRule="auto"/>
              <w:ind w:right="176"/>
              <w:rPr>
                <w:rFonts w:ascii="Times New Roman" w:hAnsi="Times New Roman"/>
                <w:sz w:val="22"/>
                <w:szCs w:val="22"/>
              </w:rPr>
            </w:pPr>
            <w:r>
              <w:rPr>
                <w:rFonts w:ascii="Times New Roman" w:hAnsi="Times New Roman"/>
                <w:sz w:val="22"/>
              </w:rPr>
              <w:t xml:space="preserve">Il carico trasportato è destinato esclusivamente all'uso: </w:t>
            </w:r>
          </w:p>
          <w:p w:rsidR="00026EA7" w:rsidRPr="003A61F6" w:rsidRDefault="00026EA7" w:rsidP="0063165A">
            <w:pPr>
              <w:spacing w:line="237" w:lineRule="auto"/>
              <w:ind w:right="176"/>
              <w:rPr>
                <w:rFonts w:ascii="Times New Roman" w:hAnsi="Times New Roman"/>
                <w:sz w:val="22"/>
                <w:szCs w:val="22"/>
              </w:rPr>
            </w:pPr>
            <w:r>
              <w:rPr>
                <w:rFonts w:ascii="Times New Roman" w:hAnsi="Times New Roman"/>
                <w:sz w:val="22"/>
              </w:rPr>
              <w:t>(</w:t>
            </w:r>
            <w:r>
              <w:rPr>
                <w:rFonts w:ascii="Times New Roman" w:hAnsi="Times New Roman"/>
                <w:i/>
                <w:iCs/>
                <w:sz w:val="22"/>
              </w:rPr>
              <w:t>riportare l'uso cui è destinato</w:t>
            </w:r>
            <w:r>
              <w:rPr>
                <w:rFonts w:ascii="Times New Roman" w:hAnsi="Times New Roman"/>
                <w:sz w:val="22"/>
              </w:rPr>
              <w:t xml:space="preserve">) </w:t>
            </w:r>
          </w:p>
          <w:p w:rsidR="00026EA7" w:rsidRPr="003A61F6" w:rsidRDefault="00026EA7" w:rsidP="0063165A">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63165A">
            <w:pPr>
              <w:spacing w:line="237" w:lineRule="auto"/>
              <w:ind w:right="3040"/>
              <w:rPr>
                <w:rFonts w:ascii="Times New Roman" w:hAnsi="Times New Roman"/>
                <w:sz w:val="22"/>
                <w:szCs w:val="22"/>
              </w:rPr>
            </w:pPr>
            <w:r>
              <w:rPr>
                <w:rFonts w:ascii="Times New Roman" w:hAnsi="Times New Roman"/>
                <w:sz w:val="22"/>
              </w:rPr>
              <w:t>6</w:t>
            </w:r>
          </w:p>
        </w:tc>
        <w:tc>
          <w:tcPr>
            <w:tcW w:w="9214" w:type="dxa"/>
            <w:vAlign w:val="center"/>
          </w:tcPr>
          <w:p w:rsidR="00026EA7" w:rsidRPr="0063165A" w:rsidRDefault="00026EA7" w:rsidP="0063165A">
            <w:pPr>
              <w:spacing w:line="237" w:lineRule="auto"/>
              <w:ind w:right="176"/>
              <w:rPr>
                <w:rFonts w:ascii="Times New Roman" w:hAnsi="Times New Roman"/>
                <w:sz w:val="22"/>
                <w:szCs w:val="22"/>
              </w:rPr>
            </w:pPr>
          </w:p>
          <w:p w:rsidR="00026EA7" w:rsidRPr="003A61F6" w:rsidRDefault="00026EA7" w:rsidP="0063165A">
            <w:pPr>
              <w:spacing w:line="237" w:lineRule="auto"/>
              <w:ind w:right="176"/>
              <w:rPr>
                <w:rFonts w:ascii="Times New Roman" w:hAnsi="Times New Roman"/>
                <w:b/>
                <w:sz w:val="22"/>
                <w:szCs w:val="22"/>
              </w:rPr>
            </w:pPr>
            <w:r>
              <w:rPr>
                <w:rFonts w:ascii="Times New Roman" w:hAnsi="Times New Roman"/>
                <w:b/>
                <w:sz w:val="22"/>
              </w:rPr>
              <w:t xml:space="preserve">Estremi del responsabile </w:t>
            </w:r>
          </w:p>
          <w:p w:rsidR="00026EA7" w:rsidRPr="0063165A" w:rsidRDefault="00026EA7" w:rsidP="0063165A">
            <w:pPr>
              <w:spacing w:line="237" w:lineRule="auto"/>
              <w:ind w:right="176"/>
              <w:rPr>
                <w:rFonts w:ascii="Times New Roman" w:hAnsi="Times New Roman"/>
                <w:sz w:val="22"/>
                <w:szCs w:val="22"/>
              </w:rPr>
            </w:pPr>
          </w:p>
          <w:p w:rsidR="00026EA7" w:rsidRPr="003A61F6" w:rsidRDefault="00026EA7" w:rsidP="0063165A">
            <w:pPr>
              <w:tabs>
                <w:tab w:val="left" w:pos="2106"/>
              </w:tabs>
              <w:spacing w:line="237" w:lineRule="auto"/>
              <w:ind w:right="176"/>
              <w:rPr>
                <w:rFonts w:ascii="Times New Roman" w:hAnsi="Times New Roman"/>
                <w:sz w:val="22"/>
                <w:szCs w:val="22"/>
              </w:rPr>
            </w:pPr>
            <w:r>
              <w:rPr>
                <w:rFonts w:ascii="Times New Roman" w:hAnsi="Times New Roman"/>
                <w:sz w:val="22"/>
              </w:rPr>
              <w:t>Nome cognome</w:t>
            </w:r>
            <w:r>
              <w:rPr>
                <w:rFonts w:ascii="Times New Roman" w:hAnsi="Times New Roman"/>
                <w:sz w:val="22"/>
              </w:rPr>
              <w:tab/>
              <w:t>:</w:t>
            </w:r>
          </w:p>
          <w:p w:rsidR="00026EA7" w:rsidRPr="0063165A" w:rsidRDefault="00026EA7" w:rsidP="0063165A">
            <w:pPr>
              <w:tabs>
                <w:tab w:val="left" w:pos="2106"/>
              </w:tabs>
              <w:spacing w:line="237" w:lineRule="auto"/>
              <w:ind w:right="176"/>
              <w:rPr>
                <w:rFonts w:ascii="Times New Roman" w:hAnsi="Times New Roman"/>
                <w:sz w:val="22"/>
                <w:szCs w:val="22"/>
              </w:rPr>
            </w:pPr>
          </w:p>
          <w:p w:rsidR="00026EA7" w:rsidRPr="003A61F6" w:rsidRDefault="00026EA7" w:rsidP="0063165A">
            <w:pPr>
              <w:tabs>
                <w:tab w:val="left" w:pos="2106"/>
              </w:tabs>
              <w:spacing w:line="237" w:lineRule="auto"/>
              <w:ind w:right="176"/>
              <w:rPr>
                <w:rFonts w:ascii="Times New Roman" w:hAnsi="Times New Roman"/>
                <w:sz w:val="22"/>
                <w:szCs w:val="22"/>
              </w:rPr>
            </w:pPr>
            <w:r>
              <w:rPr>
                <w:rFonts w:ascii="Times New Roman" w:hAnsi="Times New Roman"/>
                <w:sz w:val="22"/>
              </w:rPr>
              <w:t>Data</w:t>
            </w:r>
            <w:r>
              <w:rPr>
                <w:rFonts w:ascii="Times New Roman" w:hAnsi="Times New Roman"/>
                <w:sz w:val="22"/>
              </w:rPr>
              <w:tab/>
              <w:t>:</w:t>
            </w:r>
          </w:p>
          <w:p w:rsidR="00026EA7" w:rsidRPr="003A61F6" w:rsidRDefault="00026EA7" w:rsidP="0063165A">
            <w:pPr>
              <w:tabs>
                <w:tab w:val="left" w:pos="2106"/>
              </w:tabs>
              <w:spacing w:line="237" w:lineRule="auto"/>
              <w:ind w:right="176"/>
              <w:rPr>
                <w:rFonts w:ascii="Times New Roman" w:hAnsi="Times New Roman"/>
                <w:sz w:val="22"/>
                <w:szCs w:val="22"/>
                <w:lang w:val="el-GR"/>
              </w:rPr>
            </w:pPr>
          </w:p>
          <w:p w:rsidR="00026EA7" w:rsidRPr="003A61F6" w:rsidRDefault="00026EA7" w:rsidP="0063165A">
            <w:pPr>
              <w:tabs>
                <w:tab w:val="left" w:pos="2106"/>
              </w:tabs>
              <w:spacing w:line="237" w:lineRule="auto"/>
              <w:ind w:right="176"/>
              <w:rPr>
                <w:rFonts w:ascii="Times New Roman" w:hAnsi="Times New Roman"/>
                <w:sz w:val="22"/>
                <w:szCs w:val="22"/>
              </w:rPr>
            </w:pPr>
            <w:r>
              <w:rPr>
                <w:rFonts w:ascii="Times New Roman" w:hAnsi="Times New Roman"/>
                <w:sz w:val="22"/>
              </w:rPr>
              <w:t>Firma</w:t>
            </w:r>
            <w:r>
              <w:rPr>
                <w:rFonts w:ascii="Times New Roman" w:hAnsi="Times New Roman"/>
                <w:sz w:val="22"/>
              </w:rPr>
              <w:tab/>
              <w:t>:</w:t>
            </w:r>
          </w:p>
          <w:p w:rsidR="00026EA7" w:rsidRPr="003A61F6" w:rsidRDefault="00026EA7" w:rsidP="0063165A">
            <w:pPr>
              <w:spacing w:line="237" w:lineRule="auto"/>
              <w:ind w:right="176"/>
              <w:rPr>
                <w:rFonts w:ascii="Times New Roman" w:hAnsi="Times New Roman"/>
                <w:sz w:val="22"/>
                <w:szCs w:val="22"/>
                <w:lang w:val="el-GR"/>
              </w:rPr>
            </w:pPr>
          </w:p>
        </w:tc>
      </w:tr>
    </w:tbl>
    <w:p w:rsidR="00026EA7" w:rsidRPr="003A61F6" w:rsidRDefault="00026EA7" w:rsidP="0063165A">
      <w:pPr>
        <w:spacing w:line="237" w:lineRule="auto"/>
        <w:ind w:right="3040"/>
        <w:rPr>
          <w:rFonts w:ascii="Times New Roman" w:hAnsi="Times New Roman"/>
          <w:sz w:val="22"/>
          <w:szCs w:val="22"/>
          <w:lang w:val="el-GR"/>
        </w:rPr>
      </w:pPr>
    </w:p>
    <w:p w:rsidR="00026EA7" w:rsidRPr="003A61F6" w:rsidRDefault="00026EA7" w:rsidP="0063165A">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63165A">
      <w:pPr>
        <w:tabs>
          <w:tab w:val="left" w:pos="5532"/>
        </w:tabs>
        <w:spacing w:before="79"/>
        <w:ind w:left="3569"/>
        <w:rPr>
          <w:rFonts w:ascii="Times New Roman" w:hAnsi="Times New Roman"/>
          <w:b/>
          <w:spacing w:val="60"/>
          <w:sz w:val="22"/>
          <w:szCs w:val="22"/>
        </w:rPr>
      </w:pPr>
      <w:r>
        <w:rPr>
          <w:rFonts w:ascii="Times New Roman" w:hAnsi="Times New Roman"/>
          <w:b/>
          <w:sz w:val="22"/>
        </w:rPr>
        <w:lastRenderedPageBreak/>
        <w:t>ALLEGATO IV</w:t>
      </w:r>
    </w:p>
    <w:p w:rsidR="00026EA7" w:rsidRPr="003A61F6" w:rsidRDefault="00026EA7" w:rsidP="0063165A">
      <w:pPr>
        <w:pStyle w:val="BodyText"/>
        <w:spacing w:before="8"/>
        <w:rPr>
          <w:rFonts w:ascii="Times New Roman" w:hAnsi="Times New Roman"/>
          <w:b/>
          <w:sz w:val="22"/>
          <w:szCs w:val="22"/>
          <w:lang w:val="el-GR"/>
        </w:rPr>
      </w:pPr>
    </w:p>
    <w:p w:rsidR="00026EA7" w:rsidRPr="003A61F6" w:rsidRDefault="00026EA7" w:rsidP="0063165A">
      <w:pPr>
        <w:pStyle w:val="BodyText"/>
        <w:ind w:left="3355"/>
        <w:rPr>
          <w:rFonts w:ascii="Times New Roman" w:hAnsi="Times New Roman"/>
          <w:sz w:val="22"/>
          <w:szCs w:val="22"/>
        </w:rPr>
      </w:pPr>
      <w:r>
        <w:rPr>
          <w:rFonts w:ascii="Times New Roman" w:hAnsi="Times New Roman"/>
          <w:sz w:val="22"/>
        </w:rPr>
        <w:t>Sistema di gestione della qualità</w:t>
      </w:r>
    </w:p>
    <w:p w:rsidR="00026EA7" w:rsidRPr="003A61F6" w:rsidRDefault="00026EA7" w:rsidP="0063165A">
      <w:pPr>
        <w:pStyle w:val="BodyText"/>
        <w:spacing w:before="1"/>
        <w:rPr>
          <w:rFonts w:ascii="Times New Roman" w:hAnsi="Times New Roman"/>
          <w:sz w:val="22"/>
          <w:szCs w:val="22"/>
          <w:lang w:val="el-GR"/>
        </w:rPr>
      </w:pPr>
    </w:p>
    <w:p w:rsidR="00026EA7" w:rsidRPr="003A61F6" w:rsidRDefault="00026EA7" w:rsidP="0063165A">
      <w:pPr>
        <w:pStyle w:val="ListParagraph"/>
        <w:widowControl/>
        <w:numPr>
          <w:ilvl w:val="0"/>
          <w:numId w:val="8"/>
        </w:numPr>
        <w:tabs>
          <w:tab w:val="left" w:pos="928"/>
          <w:tab w:val="left" w:pos="929"/>
        </w:tabs>
        <w:spacing w:before="0"/>
        <w:ind w:right="250"/>
      </w:pPr>
      <w:r>
        <w:t>Il sistema di gestione della qualità attuato dal produttore di prodotti di gomma lavorata deve includere una serie di procedure documentate per ognuno dei seguenti aspetti:</w:t>
      </w:r>
    </w:p>
    <w:p w:rsidR="00026EA7" w:rsidRPr="003A61F6" w:rsidRDefault="00026EA7" w:rsidP="0063165A">
      <w:pPr>
        <w:pStyle w:val="ListParagraph"/>
        <w:widowControl/>
        <w:numPr>
          <w:ilvl w:val="1"/>
          <w:numId w:val="7"/>
        </w:numPr>
        <w:tabs>
          <w:tab w:val="left" w:pos="1661"/>
        </w:tabs>
        <w:spacing w:before="240" w:after="240"/>
        <w:ind w:right="249"/>
      </w:pPr>
      <w:r>
        <w:t xml:space="preserve">Applicazione dei criteri di conformità ai requisiti stabiliti all'allegato II, punto 1 e registrazione dei risultati. </w:t>
      </w:r>
    </w:p>
    <w:p w:rsidR="00026EA7" w:rsidRPr="003A61F6" w:rsidRDefault="00026EA7" w:rsidP="0063165A">
      <w:pPr>
        <w:pStyle w:val="ListParagraph"/>
        <w:widowControl/>
        <w:numPr>
          <w:ilvl w:val="1"/>
          <w:numId w:val="7"/>
        </w:numPr>
        <w:tabs>
          <w:tab w:val="left" w:pos="1661"/>
        </w:tabs>
        <w:spacing w:before="240" w:after="240"/>
        <w:ind w:right="249"/>
      </w:pPr>
      <w:r>
        <w:t>Applicazione dei criteri di conformità ai requisiti stabiliti all'allegato II, punto 2 e registrazione dei risultati.</w:t>
      </w:r>
    </w:p>
    <w:p w:rsidR="00026EA7" w:rsidRPr="003A61F6" w:rsidRDefault="00026EA7" w:rsidP="0063165A">
      <w:pPr>
        <w:pStyle w:val="ListParagraph"/>
        <w:widowControl/>
        <w:numPr>
          <w:ilvl w:val="1"/>
          <w:numId w:val="7"/>
        </w:numPr>
        <w:tabs>
          <w:tab w:val="left" w:pos="1660"/>
          <w:tab w:val="left" w:pos="1661"/>
        </w:tabs>
        <w:spacing w:before="240" w:after="240"/>
      </w:pPr>
      <w:r>
        <w:t>Gestione dei rifiuti derivanti dal processo di produzione.</w:t>
      </w:r>
    </w:p>
    <w:p w:rsidR="00026EA7" w:rsidRPr="003A61F6" w:rsidRDefault="00026EA7" w:rsidP="0063165A">
      <w:pPr>
        <w:pStyle w:val="ListParagraph"/>
        <w:widowControl/>
        <w:numPr>
          <w:ilvl w:val="1"/>
          <w:numId w:val="7"/>
        </w:numPr>
        <w:tabs>
          <w:tab w:val="left" w:pos="1660"/>
          <w:tab w:val="left" w:pos="1661"/>
        </w:tabs>
        <w:spacing w:before="240" w:after="240"/>
      </w:pPr>
      <w:r>
        <w:t>Rispetto del metodo di valutazione della soddisfazione del cliente.</w:t>
      </w:r>
    </w:p>
    <w:p w:rsidR="00026EA7" w:rsidRPr="003A61F6" w:rsidRDefault="00026EA7" w:rsidP="0063165A">
      <w:pPr>
        <w:pStyle w:val="ListParagraph"/>
        <w:widowControl/>
        <w:numPr>
          <w:ilvl w:val="1"/>
          <w:numId w:val="7"/>
        </w:numPr>
        <w:tabs>
          <w:tab w:val="left" w:pos="1660"/>
          <w:tab w:val="left" w:pos="1661"/>
        </w:tabs>
        <w:spacing w:before="240" w:after="240"/>
      </w:pPr>
      <w:r>
        <w:t>Attuazione di un sistema di tracciabilità.</w:t>
      </w:r>
    </w:p>
    <w:p w:rsidR="00026EA7" w:rsidRPr="003A61F6" w:rsidRDefault="00026EA7" w:rsidP="0063165A">
      <w:pPr>
        <w:pStyle w:val="ListParagraph"/>
        <w:widowControl/>
        <w:numPr>
          <w:ilvl w:val="1"/>
          <w:numId w:val="7"/>
        </w:numPr>
        <w:tabs>
          <w:tab w:val="left" w:pos="1660"/>
          <w:tab w:val="left" w:pos="1661"/>
        </w:tabs>
        <w:spacing w:before="240" w:after="240"/>
      </w:pPr>
      <w:r>
        <w:t>Attuazione di un adeguato sistema di stoccaggio.</w:t>
      </w:r>
    </w:p>
    <w:p w:rsidR="00026EA7" w:rsidRPr="003A61F6" w:rsidRDefault="00026EA7" w:rsidP="0063165A">
      <w:pPr>
        <w:pStyle w:val="ListParagraph"/>
        <w:widowControl/>
        <w:numPr>
          <w:ilvl w:val="1"/>
          <w:numId w:val="7"/>
        </w:numPr>
        <w:tabs>
          <w:tab w:val="left" w:pos="1660"/>
          <w:tab w:val="left" w:pos="1661"/>
        </w:tabs>
        <w:spacing w:before="240" w:after="240"/>
      </w:pPr>
      <w:r>
        <w:t>Formazione del personale.</w:t>
      </w:r>
    </w:p>
    <w:p w:rsidR="00026EA7" w:rsidRPr="003A61F6" w:rsidRDefault="00026EA7" w:rsidP="0063165A">
      <w:pPr>
        <w:pStyle w:val="ListParagraph"/>
        <w:widowControl/>
        <w:numPr>
          <w:ilvl w:val="1"/>
          <w:numId w:val="7"/>
        </w:numPr>
        <w:tabs>
          <w:tab w:val="left" w:pos="1660"/>
          <w:tab w:val="left" w:pos="1661"/>
        </w:tabs>
        <w:spacing w:before="240" w:after="240"/>
        <w:ind w:right="767"/>
      </w:pPr>
      <w:r>
        <w:t>Gestione dei prodotti non conformi.</w:t>
      </w:r>
    </w:p>
    <w:p w:rsidR="00026EA7" w:rsidRPr="003A61F6" w:rsidRDefault="00026EA7" w:rsidP="0063165A">
      <w:pPr>
        <w:pStyle w:val="ListParagraph"/>
        <w:widowControl/>
        <w:numPr>
          <w:ilvl w:val="1"/>
          <w:numId w:val="7"/>
        </w:numPr>
        <w:tabs>
          <w:tab w:val="left" w:pos="1660"/>
          <w:tab w:val="left" w:pos="1661"/>
        </w:tabs>
        <w:spacing w:before="240" w:after="240"/>
      </w:pPr>
      <w:r>
        <w:t>Tenuta di un registro dei reclami.</w:t>
      </w:r>
    </w:p>
    <w:p w:rsidR="00026EA7" w:rsidRPr="003A61F6" w:rsidRDefault="00026EA7" w:rsidP="0063165A">
      <w:pPr>
        <w:pStyle w:val="ListParagraph"/>
        <w:widowControl/>
        <w:numPr>
          <w:ilvl w:val="1"/>
          <w:numId w:val="7"/>
        </w:numPr>
        <w:tabs>
          <w:tab w:val="left" w:pos="1660"/>
          <w:tab w:val="left" w:pos="1661"/>
        </w:tabs>
        <w:spacing w:before="240" w:after="240"/>
      </w:pPr>
      <w:r>
        <w:t>Revisione, riesame e miglioramento del Sistema di gestione della qualità.</w:t>
      </w:r>
    </w:p>
    <w:p w:rsidR="00026EA7" w:rsidRPr="003A61F6" w:rsidRDefault="00026EA7" w:rsidP="0063165A">
      <w:pPr>
        <w:pStyle w:val="ListParagraph"/>
        <w:widowControl/>
        <w:tabs>
          <w:tab w:val="left" w:pos="1660"/>
          <w:tab w:val="left" w:pos="1661"/>
        </w:tabs>
        <w:spacing w:before="240" w:after="240"/>
      </w:pPr>
    </w:p>
    <w:p w:rsidR="00026EA7" w:rsidRPr="003A61F6" w:rsidRDefault="00026EA7" w:rsidP="0063165A">
      <w:pPr>
        <w:pStyle w:val="ListParagraph"/>
        <w:widowControl/>
        <w:numPr>
          <w:ilvl w:val="0"/>
          <w:numId w:val="8"/>
        </w:numPr>
        <w:tabs>
          <w:tab w:val="left" w:pos="928"/>
          <w:tab w:val="left" w:pos="929"/>
        </w:tabs>
        <w:spacing w:before="122"/>
        <w:ind w:right="252"/>
      </w:pPr>
      <w:r>
        <w:t xml:space="preserve">Il sistema di gestione della qualità è verificato da terzi, ossia da un organismo di valutazione della conformità indipendente. </w:t>
      </w:r>
    </w:p>
    <w:p w:rsidR="00026EA7" w:rsidRPr="003A61F6" w:rsidRDefault="00026EA7" w:rsidP="0063165A">
      <w:pPr>
        <w:pStyle w:val="ListParagraph"/>
        <w:widowControl/>
        <w:tabs>
          <w:tab w:val="left" w:pos="928"/>
          <w:tab w:val="left" w:pos="929"/>
        </w:tabs>
        <w:spacing w:before="122"/>
        <w:ind w:left="928" w:right="252" w:firstLine="0"/>
      </w:pPr>
    </w:p>
    <w:p w:rsidR="00026EA7" w:rsidRPr="003A61F6" w:rsidRDefault="00026EA7" w:rsidP="0063165A">
      <w:pPr>
        <w:pStyle w:val="ListParagraph"/>
        <w:widowControl/>
        <w:numPr>
          <w:ilvl w:val="0"/>
          <w:numId w:val="8"/>
        </w:numPr>
        <w:tabs>
          <w:tab w:val="left" w:pos="928"/>
          <w:tab w:val="left" w:pos="929"/>
        </w:tabs>
        <w:spacing w:before="122"/>
        <w:ind w:right="252"/>
      </w:pPr>
      <w:r>
        <w:t>La verifica del sistema di gestione della qualità è condotta ogni tre anni, salvo in caso di cambiamento dei metodi e delle tecniche di produzione, nel qual caso la verifica è condotta immediatamente.</w:t>
      </w:r>
    </w:p>
    <w:p w:rsidR="00026EA7" w:rsidRPr="0063165A" w:rsidRDefault="00026EA7" w:rsidP="0063165A">
      <w:pPr>
        <w:pStyle w:val="BodyText"/>
        <w:spacing w:before="119"/>
        <w:ind w:left="928" w:right="250"/>
        <w:jc w:val="both"/>
        <w:rPr>
          <w:rFonts w:ascii="Times New Roman" w:hAnsi="Times New Roman"/>
          <w:sz w:val="22"/>
          <w:szCs w:val="22"/>
        </w:rPr>
      </w:pPr>
    </w:p>
    <w:p w:rsidR="00026EA7" w:rsidRPr="0063165A" w:rsidRDefault="00026EA7" w:rsidP="0063165A">
      <w:pPr>
        <w:jc w:val="both"/>
        <w:rPr>
          <w:rFonts w:ascii="Times New Roman" w:hAnsi="Times New Roman"/>
          <w:sz w:val="22"/>
          <w:szCs w:val="22"/>
        </w:rPr>
        <w:sectPr w:rsidR="00026EA7" w:rsidRPr="0063165A">
          <w:pgSz w:w="11910" w:h="16840"/>
          <w:pgMar w:top="1340" w:right="640" w:bottom="900" w:left="1580" w:header="0" w:footer="709" w:gutter="0"/>
          <w:cols w:space="720"/>
        </w:sectPr>
      </w:pPr>
    </w:p>
    <w:p w:rsidR="00026EA7" w:rsidRPr="003A61F6" w:rsidRDefault="00026EA7" w:rsidP="0063165A">
      <w:pPr>
        <w:pStyle w:val="Heading2"/>
        <w:widowControl/>
        <w:tabs>
          <w:tab w:val="left" w:pos="2215"/>
        </w:tabs>
        <w:spacing w:before="152"/>
        <w:ind w:right="27"/>
        <w:rPr>
          <w:spacing w:val="60"/>
        </w:rPr>
      </w:pPr>
      <w:r>
        <w:lastRenderedPageBreak/>
        <w:t>ALLEGATO V</w:t>
      </w:r>
    </w:p>
    <w:p w:rsidR="00525FA9" w:rsidRPr="003A61F6" w:rsidRDefault="00525FA9" w:rsidP="0063165A">
      <w:pPr>
        <w:pStyle w:val="Heading2"/>
        <w:widowControl/>
        <w:tabs>
          <w:tab w:val="left" w:pos="2215"/>
        </w:tabs>
        <w:spacing w:before="152"/>
        <w:ind w:right="27"/>
        <w:rPr>
          <w:b w:val="0"/>
          <w:spacing w:val="60"/>
        </w:rPr>
      </w:pPr>
    </w:p>
    <w:p w:rsidR="00026EA7" w:rsidRPr="003A61F6" w:rsidRDefault="00026EA7" w:rsidP="0063165A">
      <w:pPr>
        <w:pStyle w:val="BodyText"/>
        <w:ind w:right="31"/>
        <w:jc w:val="center"/>
        <w:rPr>
          <w:rFonts w:ascii="Times New Roman" w:hAnsi="Times New Roman"/>
          <w:sz w:val="22"/>
          <w:szCs w:val="22"/>
        </w:rPr>
      </w:pPr>
      <w:r>
        <w:rPr>
          <w:rFonts w:ascii="Times New Roman" w:hAnsi="Times New Roman"/>
          <w:sz w:val="22"/>
        </w:rPr>
        <w:t>ELENCO INDICATIVO DELLE NORME</w:t>
      </w:r>
      <w:r w:rsidRPr="003A61F6">
        <w:rPr>
          <w:rStyle w:val="FootnoteReference"/>
          <w:rFonts w:ascii="Times New Roman" w:hAnsi="Times New Roman"/>
          <w:sz w:val="22"/>
          <w:szCs w:val="22"/>
        </w:rPr>
        <w:footnoteReference w:id="1"/>
      </w:r>
      <w:r>
        <w:rPr>
          <w:rFonts w:ascii="Times New Roman" w:hAnsi="Times New Roman"/>
          <w:sz w:val="22"/>
        </w:rPr>
        <w:t xml:space="preserve"> E DELLE SPECIFICHE TECNICHE AD USO DEI PRODUTTORI DI PRODOTTI DI GOMMA LAVORATA</w:t>
      </w:r>
    </w:p>
    <w:p w:rsidR="00026EA7" w:rsidRPr="003A61F6" w:rsidRDefault="00026EA7" w:rsidP="0063165A">
      <w:pPr>
        <w:pStyle w:val="BodyText"/>
        <w:jc w:val="both"/>
        <w:rPr>
          <w:rFonts w:ascii="Times New Roman" w:hAnsi="Times New Roman"/>
          <w:sz w:val="22"/>
          <w:szCs w:val="22"/>
        </w:rPr>
      </w:pPr>
      <w:r>
        <w:rPr>
          <w:rFonts w:ascii="Times New Roman" w:hAnsi="Times New Roman"/>
          <w:sz w:val="22"/>
        </w:rPr>
        <w:t>L'elenco verrà aggiornato con le nuove norme emanate dal Comitato europeo per la standardizzazione, pertinenti agli scopi della presente decisione</w:t>
      </w:r>
      <w:r w:rsidRPr="003A61F6">
        <w:rPr>
          <w:rStyle w:val="FootnoteReference"/>
          <w:rFonts w:ascii="Times New Roman" w:hAnsi="Times New Roman"/>
          <w:sz w:val="22"/>
          <w:szCs w:val="22"/>
        </w:rPr>
        <w:footnoteReference w:id="2"/>
      </w:r>
      <w:r>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CEN/TS 14243</w:t>
            </w:r>
          </w:p>
        </w:tc>
        <w:tc>
          <w:tcPr>
            <w:tcW w:w="7229" w:type="dxa"/>
          </w:tcPr>
          <w:p w:rsidR="00026EA7" w:rsidRPr="00B54FFC" w:rsidRDefault="00026EA7" w:rsidP="0063165A">
            <w:pPr>
              <w:pStyle w:val="TableParagraph"/>
              <w:widowControl/>
              <w:ind w:left="129" w:right="59"/>
              <w:rPr>
                <w:lang w:val="en-US"/>
              </w:rPr>
            </w:pPr>
            <w:r w:rsidRPr="00B54FFC">
              <w:rPr>
                <w:lang w:val="en-US"/>
              </w:rPr>
              <w:t xml:space="preserve">Materials produced from end of life </w:t>
            </w:r>
            <w:proofErr w:type="spellStart"/>
            <w:r w:rsidRPr="00B54FFC">
              <w:rPr>
                <w:lang w:val="en-US"/>
              </w:rPr>
              <w:t>tyres</w:t>
            </w:r>
            <w:proofErr w:type="spellEnd"/>
            <w:r w:rsidRPr="00B54FFC">
              <w:rPr>
                <w:lang w:val="en-US"/>
              </w:rPr>
              <w:t xml:space="preserve"> - Specification of categories based on their dimension(s) and impurities and methods for determining their dimension (s) and impurities</w:t>
            </w:r>
          </w:p>
        </w:tc>
      </w:tr>
      <w:tr w:rsidR="003A61F6" w:rsidRPr="0063165A" w:rsidTr="00525FA9">
        <w:tc>
          <w:tcPr>
            <w:tcW w:w="2020" w:type="dxa"/>
            <w:vAlign w:val="center"/>
          </w:tcPr>
          <w:p w:rsidR="00026EA7" w:rsidRPr="003A61F6" w:rsidRDefault="00026EA7" w:rsidP="0063165A">
            <w:pPr>
              <w:pStyle w:val="TableParagraph"/>
              <w:widowControl/>
              <w:ind w:left="107"/>
              <w:rPr>
                <w:b/>
              </w:rPr>
            </w:pPr>
            <w:r>
              <w:rPr>
                <w:b/>
              </w:rPr>
              <w:t>EN 14243-1</w:t>
            </w:r>
          </w:p>
        </w:tc>
        <w:tc>
          <w:tcPr>
            <w:tcW w:w="7229" w:type="dxa"/>
          </w:tcPr>
          <w:p w:rsidR="00026EA7" w:rsidRPr="00B54FFC" w:rsidRDefault="00026EA7" w:rsidP="0063165A">
            <w:pPr>
              <w:pStyle w:val="TableParagraph"/>
              <w:widowControl/>
              <w:spacing w:line="216" w:lineRule="exact"/>
              <w:ind w:left="107"/>
              <w:rPr>
                <w:lang w:val="en-US"/>
              </w:rPr>
            </w:pPr>
            <w:r w:rsidRPr="00B54FFC">
              <w:rPr>
                <w:lang w:val="en-US"/>
              </w:rPr>
              <w:t xml:space="preserve">Materials obtained from end of life </w:t>
            </w:r>
            <w:proofErr w:type="spellStart"/>
            <w:r w:rsidRPr="00B54FFC">
              <w:rPr>
                <w:lang w:val="en-US"/>
              </w:rPr>
              <w:t>tyres</w:t>
            </w:r>
            <w:proofErr w:type="spellEnd"/>
            <w:r w:rsidRPr="00B54FFC">
              <w:rPr>
                <w:lang w:val="en-US"/>
              </w:rPr>
              <w:t xml:space="preserve"> - Part 1: General definitions related to the methods for determining their dimension(s) and impurities</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EN 14243-2</w:t>
            </w:r>
          </w:p>
        </w:tc>
        <w:tc>
          <w:tcPr>
            <w:tcW w:w="7229" w:type="dxa"/>
          </w:tcPr>
          <w:p w:rsidR="00026EA7" w:rsidRPr="00B54FFC" w:rsidRDefault="00026EA7" w:rsidP="0063165A">
            <w:pPr>
              <w:pStyle w:val="TableParagraph"/>
              <w:widowControl/>
              <w:spacing w:line="230" w:lineRule="atLeast"/>
              <w:ind w:left="107" w:right="184"/>
              <w:rPr>
                <w:lang w:val="en-US"/>
              </w:rPr>
            </w:pPr>
            <w:r w:rsidRPr="00B54FFC">
              <w:rPr>
                <w:lang w:val="en-US"/>
              </w:rPr>
              <w:t xml:space="preserve">Materials obtained from end of life </w:t>
            </w:r>
            <w:proofErr w:type="spellStart"/>
            <w:r w:rsidRPr="00B54FFC">
              <w:rPr>
                <w:lang w:val="en-US"/>
              </w:rPr>
              <w:t>tyres</w:t>
            </w:r>
            <w:proofErr w:type="spellEnd"/>
            <w:r w:rsidRPr="00B54FFC">
              <w:rPr>
                <w:lang w:val="en-US"/>
              </w:rPr>
              <w:t xml:space="preserve"> - Part 2: Granulates and powders - Methods for determining the particle size distribution and impurities, including free steel and free textile content</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EN 14243-3</w:t>
            </w:r>
          </w:p>
        </w:tc>
        <w:tc>
          <w:tcPr>
            <w:tcW w:w="7229" w:type="dxa"/>
          </w:tcPr>
          <w:p w:rsidR="00026EA7" w:rsidRPr="00B54FFC" w:rsidRDefault="00026EA7" w:rsidP="0063165A">
            <w:pPr>
              <w:pStyle w:val="TableParagraph"/>
              <w:widowControl/>
              <w:spacing w:line="230" w:lineRule="atLeast"/>
              <w:ind w:left="107" w:right="59"/>
              <w:rPr>
                <w:lang w:val="en-US"/>
              </w:rPr>
            </w:pPr>
            <w:r w:rsidRPr="00B54FFC">
              <w:rPr>
                <w:lang w:val="en-US"/>
              </w:rPr>
              <w:t xml:space="preserve">Materials obtained from end of life </w:t>
            </w:r>
            <w:proofErr w:type="spellStart"/>
            <w:r w:rsidRPr="00B54FFC">
              <w:rPr>
                <w:lang w:val="en-US"/>
              </w:rPr>
              <w:t>tyres</w:t>
            </w:r>
            <w:proofErr w:type="spellEnd"/>
            <w:r w:rsidRPr="00B54FFC">
              <w:rPr>
                <w:lang w:val="en-US"/>
              </w:rPr>
              <w:t xml:space="preserve"> - Part 3: Shreds, cuts and chips - Methods for determining their dimension(s) including protruding filaments dimensions</w:t>
            </w:r>
          </w:p>
        </w:tc>
      </w:tr>
      <w:tr w:rsidR="003A61F6" w:rsidRPr="003A61F6" w:rsidTr="00525FA9">
        <w:tc>
          <w:tcPr>
            <w:tcW w:w="2020" w:type="dxa"/>
            <w:vAlign w:val="center"/>
          </w:tcPr>
          <w:p w:rsidR="00026EA7" w:rsidRPr="003A61F6" w:rsidRDefault="00026EA7" w:rsidP="0063165A">
            <w:pPr>
              <w:pStyle w:val="TableParagraph"/>
              <w:widowControl/>
              <w:spacing w:line="228" w:lineRule="exact"/>
              <w:ind w:left="107"/>
              <w:rPr>
                <w:b/>
              </w:rPr>
            </w:pPr>
            <w:r>
              <w:rPr>
                <w:b/>
              </w:rPr>
              <w:t>PAS 107</w:t>
            </w:r>
          </w:p>
        </w:tc>
        <w:tc>
          <w:tcPr>
            <w:tcW w:w="7229" w:type="dxa"/>
          </w:tcPr>
          <w:p w:rsidR="00026EA7" w:rsidRPr="00B54FFC" w:rsidRDefault="00026EA7" w:rsidP="0063165A">
            <w:pPr>
              <w:pStyle w:val="TableParagraph"/>
              <w:widowControl/>
              <w:spacing w:line="223" w:lineRule="exact"/>
              <w:ind w:left="107"/>
              <w:rPr>
                <w:lang w:val="en-US"/>
              </w:rPr>
            </w:pPr>
            <w:r w:rsidRPr="00B54FFC">
              <w:rPr>
                <w:lang w:val="en-US"/>
              </w:rPr>
              <w:t>Publicly available specification, for the manufacture and storage of size-reduced</w:t>
            </w:r>
          </w:p>
          <w:p w:rsidR="00026EA7" w:rsidRPr="003A61F6" w:rsidRDefault="00026EA7" w:rsidP="0063165A">
            <w:pPr>
              <w:pStyle w:val="TableParagraph"/>
              <w:widowControl/>
              <w:spacing w:line="215" w:lineRule="exact"/>
              <w:ind w:left="107"/>
            </w:pPr>
            <w:proofErr w:type="spellStart"/>
            <w:r>
              <w:t>tyre</w:t>
            </w:r>
            <w:proofErr w:type="spellEnd"/>
            <w:r>
              <w:t xml:space="preserve"> </w:t>
            </w:r>
            <w:proofErr w:type="spellStart"/>
            <w:r>
              <w:t>materials</w:t>
            </w:r>
            <w:proofErr w:type="spellEnd"/>
          </w:p>
        </w:tc>
      </w:tr>
      <w:tr w:rsidR="003A61F6" w:rsidRPr="0063165A" w:rsidTr="00525FA9">
        <w:tc>
          <w:tcPr>
            <w:tcW w:w="2020" w:type="dxa"/>
            <w:vAlign w:val="center"/>
          </w:tcPr>
          <w:p w:rsidR="00026EA7" w:rsidRPr="003A61F6" w:rsidRDefault="00026EA7" w:rsidP="0063165A">
            <w:pPr>
              <w:pStyle w:val="TableParagraph"/>
              <w:widowControl/>
              <w:spacing w:line="212" w:lineRule="exact"/>
              <w:ind w:left="107"/>
              <w:rPr>
                <w:b/>
              </w:rPr>
            </w:pPr>
            <w:r>
              <w:rPr>
                <w:b/>
              </w:rPr>
              <w:t xml:space="preserve">PAS 108 </w:t>
            </w:r>
          </w:p>
        </w:tc>
        <w:tc>
          <w:tcPr>
            <w:tcW w:w="7229" w:type="dxa"/>
          </w:tcPr>
          <w:p w:rsidR="00026EA7" w:rsidRPr="00B54FFC" w:rsidRDefault="00026EA7" w:rsidP="0063165A">
            <w:pPr>
              <w:pStyle w:val="TableParagraph"/>
              <w:widowControl/>
              <w:spacing w:line="212" w:lineRule="exact"/>
              <w:ind w:left="107"/>
              <w:rPr>
                <w:lang w:val="en-US"/>
              </w:rPr>
            </w:pPr>
            <w:r w:rsidRPr="00B54FFC">
              <w:rPr>
                <w:lang w:val="en-US"/>
              </w:rPr>
              <w:t xml:space="preserve">Specification for the production of </w:t>
            </w:r>
            <w:proofErr w:type="spellStart"/>
            <w:r w:rsidRPr="00B54FFC">
              <w:rPr>
                <w:lang w:val="en-US"/>
              </w:rPr>
              <w:t>tyre</w:t>
            </w:r>
            <w:proofErr w:type="spellEnd"/>
            <w:r w:rsidRPr="00B54FFC">
              <w:rPr>
                <w:lang w:val="en-US"/>
              </w:rPr>
              <w:t xml:space="preserve"> bales for use in construction</w:t>
            </w:r>
          </w:p>
        </w:tc>
      </w:tr>
      <w:tr w:rsidR="003A61F6" w:rsidRPr="00DC516E" w:rsidTr="00525FA9">
        <w:tc>
          <w:tcPr>
            <w:tcW w:w="2020" w:type="dxa"/>
            <w:vAlign w:val="center"/>
          </w:tcPr>
          <w:p w:rsidR="00026EA7" w:rsidRPr="003A61F6" w:rsidRDefault="00026EA7" w:rsidP="0063165A">
            <w:pPr>
              <w:pStyle w:val="TableParagraph"/>
              <w:widowControl/>
              <w:spacing w:line="228" w:lineRule="exact"/>
              <w:ind w:left="107"/>
              <w:rPr>
                <w:b/>
              </w:rPr>
            </w:pPr>
            <w:r>
              <w:rPr>
                <w:b/>
              </w:rPr>
              <w:t>ELOT ΕΝ 1176-1</w:t>
            </w:r>
          </w:p>
        </w:tc>
        <w:tc>
          <w:tcPr>
            <w:tcW w:w="7229" w:type="dxa"/>
          </w:tcPr>
          <w:p w:rsidR="00026EA7" w:rsidRPr="003A61F6" w:rsidRDefault="00026EA7" w:rsidP="0063165A">
            <w:pPr>
              <w:pStyle w:val="TableParagraph"/>
              <w:widowControl/>
              <w:spacing w:line="223" w:lineRule="exact"/>
              <w:ind w:left="107"/>
            </w:pPr>
            <w:r>
              <w:t>Attrezzature e superfici per aree da gioco – Parte 1:</w:t>
            </w:r>
          </w:p>
          <w:p w:rsidR="00026EA7" w:rsidRPr="003A61F6" w:rsidRDefault="00026EA7" w:rsidP="0063165A">
            <w:pPr>
              <w:pStyle w:val="TableParagraph"/>
              <w:widowControl/>
              <w:spacing w:before="1" w:line="215" w:lineRule="exact"/>
              <w:ind w:left="107"/>
            </w:pPr>
            <w:r>
              <w:t>Requisiti generali di sicurezza e metodi di prova</w:t>
            </w:r>
          </w:p>
        </w:tc>
      </w:tr>
      <w:tr w:rsidR="003A61F6" w:rsidRPr="00DC516E" w:rsidTr="00525FA9">
        <w:tc>
          <w:tcPr>
            <w:tcW w:w="2020" w:type="dxa"/>
            <w:vAlign w:val="center"/>
          </w:tcPr>
          <w:p w:rsidR="00026EA7" w:rsidRPr="003A61F6" w:rsidRDefault="00026EA7" w:rsidP="0063165A">
            <w:pPr>
              <w:pStyle w:val="TableParagraph"/>
              <w:widowControl/>
              <w:ind w:left="107"/>
              <w:rPr>
                <w:b/>
              </w:rPr>
            </w:pPr>
            <w:r>
              <w:rPr>
                <w:b/>
              </w:rPr>
              <w:t>ELOT ΕΝ 1176-7</w:t>
            </w:r>
          </w:p>
        </w:tc>
        <w:tc>
          <w:tcPr>
            <w:tcW w:w="7229" w:type="dxa"/>
          </w:tcPr>
          <w:p w:rsidR="00026EA7" w:rsidRPr="003A61F6" w:rsidRDefault="00026EA7" w:rsidP="0063165A">
            <w:pPr>
              <w:pStyle w:val="TableParagraph"/>
              <w:widowControl/>
              <w:spacing w:line="228" w:lineRule="exact"/>
              <w:ind w:left="107" w:right="153"/>
            </w:pPr>
            <w:r>
              <w:t>Attrezzature per aree da gioco – Parte 7: Guida all'installazione, ispezione, manutenzione e funzionamento</w:t>
            </w:r>
          </w:p>
        </w:tc>
      </w:tr>
      <w:tr w:rsidR="003A61F6" w:rsidRPr="00DC516E" w:rsidTr="00525FA9">
        <w:tc>
          <w:tcPr>
            <w:tcW w:w="2020" w:type="dxa"/>
            <w:vAlign w:val="center"/>
          </w:tcPr>
          <w:p w:rsidR="00026EA7" w:rsidRPr="003A61F6" w:rsidRDefault="00026EA7" w:rsidP="0063165A">
            <w:pPr>
              <w:pStyle w:val="TableParagraph"/>
              <w:widowControl/>
              <w:spacing w:line="228" w:lineRule="exact"/>
              <w:ind w:left="107"/>
              <w:rPr>
                <w:b/>
              </w:rPr>
            </w:pPr>
            <w:r>
              <w:rPr>
                <w:b/>
              </w:rPr>
              <w:t>ELOT ΕΝ 1177</w:t>
            </w:r>
          </w:p>
        </w:tc>
        <w:tc>
          <w:tcPr>
            <w:tcW w:w="7229" w:type="dxa"/>
          </w:tcPr>
          <w:p w:rsidR="00026EA7" w:rsidRPr="003A61F6" w:rsidRDefault="00026EA7" w:rsidP="0063165A">
            <w:pPr>
              <w:pStyle w:val="TableParagraph"/>
              <w:widowControl/>
              <w:ind w:left="107" w:right="1692"/>
            </w:pPr>
            <w:r>
              <w:t>Rivestimenti di superfici di aree da gioco per attenuare l'impatto – Determinazione dell'altezza di caduta critica</w:t>
            </w:r>
          </w:p>
        </w:tc>
      </w:tr>
      <w:tr w:rsidR="003A61F6" w:rsidRPr="00DC516E" w:rsidTr="00525FA9">
        <w:tc>
          <w:tcPr>
            <w:tcW w:w="2020" w:type="dxa"/>
            <w:vAlign w:val="center"/>
          </w:tcPr>
          <w:p w:rsidR="00026EA7" w:rsidRPr="003A61F6" w:rsidRDefault="00026EA7" w:rsidP="0063165A">
            <w:pPr>
              <w:pStyle w:val="TableParagraph"/>
              <w:widowControl/>
              <w:spacing w:line="210" w:lineRule="exact"/>
              <w:ind w:left="107"/>
              <w:rPr>
                <w:b/>
              </w:rPr>
            </w:pPr>
            <w:r>
              <w:rPr>
                <w:b/>
              </w:rPr>
              <w:t>ELOT ΕΝ 71-3</w:t>
            </w:r>
          </w:p>
        </w:tc>
        <w:tc>
          <w:tcPr>
            <w:tcW w:w="7229" w:type="dxa"/>
          </w:tcPr>
          <w:p w:rsidR="00026EA7" w:rsidRPr="003A61F6" w:rsidRDefault="00026EA7" w:rsidP="0063165A">
            <w:pPr>
              <w:pStyle w:val="TableParagraph"/>
              <w:widowControl/>
              <w:spacing w:line="210" w:lineRule="exact"/>
              <w:ind w:left="107"/>
            </w:pPr>
            <w:r>
              <w:t>Sicurezza dei giocattoli – Parte 3: Migrazione di alcuni elementi</w:t>
            </w:r>
          </w:p>
        </w:tc>
      </w:tr>
      <w:tr w:rsidR="003A61F6" w:rsidRPr="00DC516E" w:rsidTr="00525FA9">
        <w:tc>
          <w:tcPr>
            <w:tcW w:w="2020" w:type="dxa"/>
            <w:vAlign w:val="center"/>
          </w:tcPr>
          <w:p w:rsidR="00026EA7" w:rsidRPr="003A61F6" w:rsidRDefault="00026EA7" w:rsidP="0063165A">
            <w:pPr>
              <w:pStyle w:val="TableParagraph"/>
              <w:widowControl/>
              <w:ind w:left="107"/>
              <w:rPr>
                <w:b/>
              </w:rPr>
            </w:pPr>
            <w:r>
              <w:rPr>
                <w:b/>
              </w:rPr>
              <w:t>ELOT ΕΝ 14877</w:t>
            </w:r>
          </w:p>
        </w:tc>
        <w:tc>
          <w:tcPr>
            <w:tcW w:w="7229" w:type="dxa"/>
          </w:tcPr>
          <w:p w:rsidR="00026EA7" w:rsidRPr="003A61F6" w:rsidRDefault="00026EA7" w:rsidP="0063165A">
            <w:pPr>
              <w:pStyle w:val="TableParagraph"/>
              <w:widowControl/>
              <w:ind w:left="105"/>
            </w:pPr>
            <w:r>
              <w:t>Superfici sintetiche per aree sportive all'aperto - Specifiche</w:t>
            </w:r>
          </w:p>
        </w:tc>
      </w:tr>
      <w:tr w:rsidR="003A61F6" w:rsidRPr="00DC516E" w:rsidTr="00525FA9">
        <w:tc>
          <w:tcPr>
            <w:tcW w:w="2020" w:type="dxa"/>
            <w:vAlign w:val="center"/>
          </w:tcPr>
          <w:p w:rsidR="00026EA7" w:rsidRPr="003A61F6" w:rsidRDefault="00026EA7" w:rsidP="0063165A">
            <w:pPr>
              <w:pStyle w:val="TableParagraph"/>
              <w:widowControl/>
              <w:ind w:left="107"/>
              <w:rPr>
                <w:b/>
              </w:rPr>
            </w:pPr>
            <w:r>
              <w:rPr>
                <w:b/>
              </w:rPr>
              <w:t xml:space="preserve">DIN 18035-6 </w:t>
            </w:r>
          </w:p>
        </w:tc>
        <w:tc>
          <w:tcPr>
            <w:tcW w:w="7229" w:type="dxa"/>
          </w:tcPr>
          <w:p w:rsidR="00026EA7" w:rsidRPr="003A61F6" w:rsidRDefault="00026EA7" w:rsidP="0063165A">
            <w:pPr>
              <w:pStyle w:val="TableParagraph"/>
              <w:widowControl/>
              <w:tabs>
                <w:tab w:val="left" w:pos="1695"/>
                <w:tab w:val="left" w:pos="2792"/>
                <w:tab w:val="left" w:pos="3293"/>
                <w:tab w:val="left" w:pos="4343"/>
                <w:tab w:val="left" w:pos="5477"/>
              </w:tabs>
              <w:ind w:left="105" w:right="179"/>
            </w:pPr>
            <w:r>
              <w:t>Requisiti ambientali per il contenuto di metalli pesanti nelle superfici sintetiche in gomma</w:t>
            </w:r>
          </w:p>
        </w:tc>
      </w:tr>
      <w:tr w:rsidR="003A61F6" w:rsidRPr="00DC516E" w:rsidTr="00525FA9">
        <w:tc>
          <w:tcPr>
            <w:tcW w:w="2020" w:type="dxa"/>
            <w:vAlign w:val="center"/>
          </w:tcPr>
          <w:p w:rsidR="00026EA7" w:rsidRPr="003A61F6" w:rsidRDefault="00026EA7" w:rsidP="0063165A">
            <w:pPr>
              <w:pStyle w:val="TableParagraph"/>
              <w:widowControl/>
              <w:ind w:left="107"/>
              <w:rPr>
                <w:b/>
              </w:rPr>
            </w:pPr>
            <w:r>
              <w:rPr>
                <w:b/>
              </w:rPr>
              <w:t>ELOT ΕΝ 15330-1</w:t>
            </w:r>
          </w:p>
        </w:tc>
        <w:tc>
          <w:tcPr>
            <w:tcW w:w="7229" w:type="dxa"/>
          </w:tcPr>
          <w:p w:rsidR="00026EA7" w:rsidRPr="003A61F6" w:rsidRDefault="00026EA7" w:rsidP="0063165A">
            <w:pPr>
              <w:pStyle w:val="TableParagraph"/>
              <w:widowControl/>
              <w:ind w:left="105"/>
            </w:pPr>
            <w:r>
              <w:t>Superfici per aree sportive – Prato sintetico e superfici punzonate con ago principalmente destinate per l'utilizzo all'esterno – Parte 1: Specifiche per superfici per prato sintetico per calcio, hockey, allenamenti di rugby, tennis e utilizzo sportivo multifunzionale</w:t>
            </w:r>
          </w:p>
        </w:tc>
      </w:tr>
      <w:tr w:rsidR="003A61F6" w:rsidRPr="00DC516E" w:rsidTr="00525FA9">
        <w:tc>
          <w:tcPr>
            <w:tcW w:w="2020" w:type="dxa"/>
            <w:vAlign w:val="center"/>
          </w:tcPr>
          <w:p w:rsidR="00026EA7" w:rsidRPr="003A61F6" w:rsidRDefault="00026EA7" w:rsidP="0063165A">
            <w:pPr>
              <w:pStyle w:val="TableParagraph"/>
              <w:widowControl/>
              <w:ind w:left="107"/>
              <w:rPr>
                <w:b/>
              </w:rPr>
            </w:pPr>
            <w:r>
              <w:rPr>
                <w:b/>
              </w:rPr>
              <w:t>DIN 18035-6</w:t>
            </w:r>
          </w:p>
        </w:tc>
        <w:tc>
          <w:tcPr>
            <w:tcW w:w="7229" w:type="dxa"/>
          </w:tcPr>
          <w:p w:rsidR="00026EA7" w:rsidRPr="003A61F6" w:rsidRDefault="00026EA7" w:rsidP="0063165A">
            <w:pPr>
              <w:pStyle w:val="TableParagraph"/>
              <w:widowControl/>
              <w:tabs>
                <w:tab w:val="left" w:pos="1694"/>
                <w:tab w:val="left" w:pos="2790"/>
                <w:tab w:val="left" w:pos="3289"/>
                <w:tab w:val="left" w:pos="4339"/>
                <w:tab w:val="left" w:pos="5471"/>
              </w:tabs>
              <w:ind w:left="105" w:right="186"/>
            </w:pPr>
            <w:r>
              <w:t>Requisiti ambientali per il contenuto di metalli pesanti nelle superfici sintetiche in gomma</w:t>
            </w:r>
          </w:p>
        </w:tc>
      </w:tr>
      <w:tr w:rsidR="003A61F6" w:rsidRPr="0063165A" w:rsidTr="00525FA9">
        <w:tc>
          <w:tcPr>
            <w:tcW w:w="2020" w:type="dxa"/>
            <w:vAlign w:val="center"/>
          </w:tcPr>
          <w:p w:rsidR="00026EA7" w:rsidRPr="003A61F6" w:rsidRDefault="00A01F2C" w:rsidP="0063165A">
            <w:pPr>
              <w:pStyle w:val="TableParagraph"/>
              <w:widowControl/>
              <w:spacing w:before="3"/>
              <w:rPr>
                <w:b/>
              </w:rPr>
            </w:pPr>
            <w:r>
              <w:rPr>
                <w:b/>
              </w:rPr>
              <w:t xml:space="preserve"> </w:t>
            </w:r>
            <w:r w:rsidR="00251A8E">
              <w:rPr>
                <w:b/>
              </w:rPr>
              <w:t xml:space="preserve"> </w:t>
            </w:r>
            <w:r>
              <w:rPr>
                <w:b/>
              </w:rPr>
              <w:t>DIN 18035-7</w:t>
            </w:r>
          </w:p>
        </w:tc>
        <w:tc>
          <w:tcPr>
            <w:tcW w:w="7229" w:type="dxa"/>
          </w:tcPr>
          <w:p w:rsidR="00026EA7" w:rsidRPr="00B54FFC" w:rsidRDefault="00A01F2C" w:rsidP="0063165A">
            <w:pPr>
              <w:pStyle w:val="Heading2"/>
              <w:widowControl/>
              <w:jc w:val="left"/>
              <w:rPr>
                <w:lang w:val="en-US"/>
              </w:rPr>
            </w:pPr>
            <w:r w:rsidRPr="00B54FFC">
              <w:rPr>
                <w:b w:val="0"/>
                <w:lang w:val="en-US"/>
              </w:rPr>
              <w:t xml:space="preserve"> Sports grounds - Part 7: Synthetic turf areas </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 xml:space="preserve">EN 15330-1 </w:t>
            </w:r>
          </w:p>
        </w:tc>
        <w:tc>
          <w:tcPr>
            <w:tcW w:w="7229" w:type="dxa"/>
          </w:tcPr>
          <w:p w:rsidR="00026EA7" w:rsidRPr="00B54FFC" w:rsidRDefault="00026EA7" w:rsidP="0063165A">
            <w:pPr>
              <w:pStyle w:val="TableParagraph"/>
              <w:widowControl/>
              <w:spacing w:line="223" w:lineRule="exact"/>
              <w:ind w:left="105"/>
              <w:rPr>
                <w:lang w:val="en-US"/>
              </w:rPr>
            </w:pPr>
            <w:r w:rsidRPr="00B54FFC">
              <w:rPr>
                <w:lang w:val="en-US"/>
              </w:rPr>
              <w:t>Surfaces for sports areas. Synthetic turf and needle-punched surfaces primarily designed for outdoor use.</w:t>
            </w:r>
          </w:p>
        </w:tc>
      </w:tr>
      <w:tr w:rsidR="003A61F6" w:rsidRPr="0063165A" w:rsidTr="00525FA9">
        <w:tc>
          <w:tcPr>
            <w:tcW w:w="2020" w:type="dxa"/>
            <w:vAlign w:val="center"/>
          </w:tcPr>
          <w:p w:rsidR="00026EA7" w:rsidRPr="003A61F6" w:rsidRDefault="00026EA7" w:rsidP="0063165A">
            <w:pPr>
              <w:pStyle w:val="TableParagraph"/>
              <w:widowControl/>
              <w:ind w:left="107"/>
              <w:rPr>
                <w:b/>
              </w:rPr>
            </w:pPr>
            <w:r>
              <w:rPr>
                <w:b/>
              </w:rPr>
              <w:t xml:space="preserve">EN 933-1 </w:t>
            </w:r>
          </w:p>
        </w:tc>
        <w:tc>
          <w:tcPr>
            <w:tcW w:w="7229" w:type="dxa"/>
          </w:tcPr>
          <w:p w:rsidR="00026EA7" w:rsidRPr="00B54FFC" w:rsidRDefault="00026EA7" w:rsidP="0063165A">
            <w:pPr>
              <w:pStyle w:val="TableParagraph"/>
              <w:widowControl/>
              <w:spacing w:line="228" w:lineRule="exact"/>
              <w:ind w:left="105" w:right="718"/>
              <w:rPr>
                <w:lang w:val="en-US"/>
              </w:rPr>
            </w:pPr>
            <w:r w:rsidRPr="00B54FFC">
              <w:rPr>
                <w:lang w:val="en-US"/>
              </w:rPr>
              <w:t>Tests for geometrical properties of aggregates part 1: determination of particle size distribution – sieving method.</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 xml:space="preserve">EN 14955 </w:t>
            </w:r>
          </w:p>
        </w:tc>
        <w:tc>
          <w:tcPr>
            <w:tcW w:w="7229" w:type="dxa"/>
          </w:tcPr>
          <w:p w:rsidR="00026EA7" w:rsidRPr="00B54FFC" w:rsidRDefault="00026EA7" w:rsidP="0063165A">
            <w:pPr>
              <w:pStyle w:val="TableParagraph"/>
              <w:widowControl/>
              <w:spacing w:line="223" w:lineRule="exact"/>
              <w:ind w:left="105"/>
              <w:rPr>
                <w:lang w:val="en-US"/>
              </w:rPr>
            </w:pPr>
            <w:r w:rsidRPr="00B54FFC">
              <w:rPr>
                <w:lang w:val="en-US"/>
              </w:rPr>
              <w:t>Surfaces for sport areas – determination of composition and particle shape of unbound mineral surfaces for outdoor sport areas.</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 xml:space="preserve">EN 1097-3 </w:t>
            </w:r>
          </w:p>
        </w:tc>
        <w:tc>
          <w:tcPr>
            <w:tcW w:w="7229" w:type="dxa"/>
          </w:tcPr>
          <w:p w:rsidR="00026EA7" w:rsidRPr="00B54FFC" w:rsidRDefault="00026EA7" w:rsidP="0063165A">
            <w:pPr>
              <w:pStyle w:val="TableParagraph"/>
              <w:widowControl/>
              <w:spacing w:line="223" w:lineRule="exact"/>
              <w:ind w:left="105"/>
              <w:rPr>
                <w:lang w:val="en-US"/>
              </w:rPr>
            </w:pPr>
            <w:r w:rsidRPr="00B54FFC">
              <w:rPr>
                <w:lang w:val="en-US"/>
              </w:rPr>
              <w:t>Tests for mechanical and physical properties of aggregates – part 3: determination of loose bulk density and voids.</w:t>
            </w:r>
          </w:p>
        </w:tc>
      </w:tr>
      <w:tr w:rsidR="003A61F6" w:rsidRPr="003A61F6" w:rsidTr="00525FA9">
        <w:tc>
          <w:tcPr>
            <w:tcW w:w="2020" w:type="dxa"/>
            <w:vAlign w:val="center"/>
          </w:tcPr>
          <w:p w:rsidR="00026EA7" w:rsidRPr="003A61F6" w:rsidRDefault="00026EA7" w:rsidP="0063165A">
            <w:pPr>
              <w:pStyle w:val="TableParagraph"/>
              <w:widowControl/>
              <w:spacing w:line="210" w:lineRule="exact"/>
              <w:ind w:left="107"/>
              <w:rPr>
                <w:b/>
              </w:rPr>
            </w:pPr>
            <w:r>
              <w:rPr>
                <w:b/>
              </w:rPr>
              <w:t xml:space="preserve">EN 14836 </w:t>
            </w:r>
          </w:p>
        </w:tc>
        <w:tc>
          <w:tcPr>
            <w:tcW w:w="7229" w:type="dxa"/>
          </w:tcPr>
          <w:p w:rsidR="00026EA7" w:rsidRPr="003A61F6" w:rsidRDefault="00026EA7" w:rsidP="0063165A">
            <w:pPr>
              <w:pStyle w:val="TableParagraph"/>
              <w:widowControl/>
              <w:spacing w:line="210" w:lineRule="exact"/>
              <w:ind w:left="105"/>
            </w:pPr>
            <w:r w:rsidRPr="00B54FFC">
              <w:rPr>
                <w:lang w:val="en-US"/>
              </w:rPr>
              <w:t xml:space="preserve">Synthetic surfaces for outdoor sport areas. </w:t>
            </w:r>
            <w:proofErr w:type="spellStart"/>
            <w:r>
              <w:t>Exposure</w:t>
            </w:r>
            <w:proofErr w:type="spellEnd"/>
            <w:r>
              <w:t xml:space="preserve"> to </w:t>
            </w:r>
            <w:proofErr w:type="spellStart"/>
            <w:r>
              <w:t>artificial</w:t>
            </w:r>
            <w:proofErr w:type="spellEnd"/>
            <w:r>
              <w:t xml:space="preserve"> </w:t>
            </w:r>
            <w:proofErr w:type="spellStart"/>
            <w:r>
              <w:t>weathering</w:t>
            </w:r>
            <w:proofErr w:type="spellEnd"/>
            <w:r>
              <w:t>.</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 xml:space="preserve">DIN 18035-7 </w:t>
            </w:r>
          </w:p>
        </w:tc>
        <w:tc>
          <w:tcPr>
            <w:tcW w:w="7229" w:type="dxa"/>
          </w:tcPr>
          <w:p w:rsidR="00026EA7" w:rsidRPr="00B54FFC" w:rsidRDefault="00026EA7" w:rsidP="0063165A">
            <w:pPr>
              <w:pStyle w:val="TableParagraph"/>
              <w:widowControl/>
              <w:spacing w:line="223" w:lineRule="exact"/>
              <w:ind w:left="105"/>
              <w:rPr>
                <w:lang w:val="en-US"/>
              </w:rPr>
            </w:pPr>
            <w:r w:rsidRPr="00B54FFC">
              <w:rPr>
                <w:lang w:val="en-US"/>
              </w:rPr>
              <w:t>Sports Grounds Part 7: Synthetic Turf Areas, Determination of Environment Compatibility</w:t>
            </w:r>
          </w:p>
        </w:tc>
      </w:tr>
      <w:tr w:rsidR="003A61F6" w:rsidRPr="0063165A" w:rsidTr="00525FA9">
        <w:tc>
          <w:tcPr>
            <w:tcW w:w="2020" w:type="dxa"/>
            <w:vAlign w:val="center"/>
          </w:tcPr>
          <w:p w:rsidR="00026EA7" w:rsidRPr="003A61F6" w:rsidRDefault="00026EA7" w:rsidP="0063165A">
            <w:pPr>
              <w:pStyle w:val="TableParagraph"/>
              <w:widowControl/>
              <w:spacing w:line="228" w:lineRule="exact"/>
              <w:ind w:left="107"/>
              <w:rPr>
                <w:b/>
              </w:rPr>
            </w:pPr>
            <w:r>
              <w:rPr>
                <w:b/>
              </w:rPr>
              <w:t>NF P90-112</w:t>
            </w:r>
          </w:p>
        </w:tc>
        <w:tc>
          <w:tcPr>
            <w:tcW w:w="7229" w:type="dxa"/>
          </w:tcPr>
          <w:p w:rsidR="00026EA7" w:rsidRPr="00B54FFC" w:rsidRDefault="00026EA7" w:rsidP="0063165A">
            <w:pPr>
              <w:pStyle w:val="TableParagraph"/>
              <w:widowControl/>
              <w:spacing w:line="223" w:lineRule="exact"/>
              <w:ind w:left="105"/>
              <w:rPr>
                <w:lang w:val="en-US"/>
              </w:rPr>
            </w:pPr>
            <w:r w:rsidRPr="00B54FFC">
              <w:rPr>
                <w:lang w:val="en-US"/>
              </w:rPr>
              <w:t>Sports grounds - Unbound mineral surfaces for outdoor sport areas Specifications for construction.</w:t>
            </w:r>
          </w:p>
        </w:tc>
      </w:tr>
    </w:tbl>
    <w:p w:rsidR="00651276" w:rsidRPr="00B54FFC" w:rsidRDefault="00651276" w:rsidP="0063165A">
      <w:pPr>
        <w:rPr>
          <w:lang w:val="en-US"/>
        </w:rPr>
      </w:pPr>
    </w:p>
    <w:sectPr w:rsidR="00651276" w:rsidRPr="00B54FFC"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4CC" w:rsidRDefault="007C24CC" w:rsidP="00247089">
      <w:r>
        <w:separator/>
      </w:r>
    </w:p>
  </w:endnote>
  <w:endnote w:type="continuationSeparator" w:id="0">
    <w:p w:rsidR="007C24CC" w:rsidRDefault="007C24CC"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63165A">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63165A">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63165A">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63165A">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63165A">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63165A">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4CC" w:rsidRDefault="007C24CC" w:rsidP="00247089">
      <w:r>
        <w:separator/>
      </w:r>
    </w:p>
  </w:footnote>
  <w:footnote w:type="continuationSeparator" w:id="0">
    <w:p w:rsidR="007C24CC" w:rsidRDefault="007C24CC"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rPr>
        <w:t xml:space="preserve"> Si applica la versione aggiornata delle norme.</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Mandate M/556, C (2017) 2926 </w:t>
      </w:r>
      <w:proofErr w:type="spellStart"/>
      <w:r>
        <w:rPr>
          <w:sz w:val="18"/>
        </w:rPr>
        <w:t>final</w:t>
      </w:r>
      <w:proofErr w:type="spellEnd"/>
      <w:r>
        <w:rPr>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51A8E"/>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3165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C24C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54FF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it-IT"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it-IT"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it-IT"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it-IT"/>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it-IT"/>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it-IT"/>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it-IT"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it-IT"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it-IT"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76C51C0F-C040-430A-B796-C094541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4794</Words>
  <Characters>27330</Characters>
  <Application>Microsoft Office Word</Application>
  <DocSecurity>0</DocSecurity>
  <Lines>227</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4</cp:revision>
  <cp:lastPrinted>2020-09-03T05:39:00Z</cp:lastPrinted>
  <dcterms:created xsi:type="dcterms:W3CDTF">2020-12-01T11:41:00Z</dcterms:created>
  <dcterms:modified xsi:type="dcterms:W3CDTF">2020-12-04T02:36:00Z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