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4356"/>
        <w:gridCol w:w="18"/>
      </w:tblGrid>
      <w:tr w:rsidR="00293B53" w:rsidRPr="00293B53" w14:paraId="50CF83BF" w14:textId="77777777" w:rsidTr="00293B53">
        <w:trPr>
          <w:gridAfter w:val="1"/>
          <w:wAfter w:w="18" w:type="dxa"/>
          <w:trHeight w:val="151"/>
          <w:jc w:val="center"/>
        </w:trPr>
        <w:tc>
          <w:tcPr>
            <w:tcW w:w="4374" w:type="dxa"/>
            <w:gridSpan w:val="2"/>
          </w:tcPr>
          <w:p w14:paraId="4A92B424" w14:textId="77777777" w:rsidR="00293B53" w:rsidRPr="00293B53" w:rsidRDefault="00293B53" w:rsidP="00293B53">
            <w:pPr>
              <w:keepNext/>
              <w:spacing w:after="0" w:line="240" w:lineRule="auto"/>
              <w:jc w:val="center"/>
              <w:outlineLvl w:val="1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Belgické království</w:t>
            </w:r>
          </w:p>
        </w:tc>
      </w:tr>
      <w:tr w:rsidR="00293B53" w:rsidRPr="00293B53" w14:paraId="4E7674D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3FE0F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</w:t>
            </w:r>
          </w:p>
        </w:tc>
      </w:tr>
      <w:tr w:rsidR="00293B53" w:rsidRPr="00293B53" w14:paraId="034E871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6D9BE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573A68C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A0BD4A" w14:textId="77777777" w:rsidR="00293B53" w:rsidRPr="00293B53" w:rsidRDefault="00293B53" w:rsidP="00293B53">
            <w:pPr>
              <w:tabs>
                <w:tab w:val="left" w:pos="2410"/>
                <w:tab w:val="left" w:pos="3616"/>
                <w:tab w:val="left" w:pos="3899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FEDERÁLNÍ VEŘEJNÁ SLUŽBA PRO VEŘEJNÉ ZDRAVÍ, BEZPEČNOST POTRAVINOVÉHO ŘETĚZCE A ŽIVOTNÍ PROSTŘEDÍ</w:t>
            </w:r>
          </w:p>
        </w:tc>
      </w:tr>
      <w:tr w:rsidR="00293B53" w:rsidRPr="00293B53" w14:paraId="361212F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D2D7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________________________</w:t>
            </w:r>
          </w:p>
        </w:tc>
      </w:tr>
      <w:tr w:rsidR="00293B53" w:rsidRPr="00293B53" w14:paraId="4D46C327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6F6C6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  <w:p w14:paraId="439E3B87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7365768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EB988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color w:val="000000"/>
                <w:rFonts w:ascii="Garamond" w:hAnsi="Garamond"/>
              </w:rPr>
              <w:t xml:space="preserve">Královský výnos zakazující výrobu a uvádění na trh některých podobných výrobků</w:t>
            </w:r>
            <w:r>
              <w:rPr>
                <w:b/>
                <w:color w:val="000000"/>
                <w:rFonts w:ascii="Garamond" w:hAnsi="Garamond"/>
              </w:rPr>
              <w:t xml:space="preserve"> </w:t>
            </w:r>
          </w:p>
        </w:tc>
      </w:tr>
      <w:tr w:rsidR="00293B53" w:rsidRPr="00293B53" w14:paraId="4F0A5BD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681569D" w14:textId="77777777" w:rsidR="00293B53" w:rsidRPr="00293B53" w:rsidRDefault="00293B53" w:rsidP="00293B53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nl-NL"/>
              </w:rPr>
            </w:pPr>
          </w:p>
        </w:tc>
      </w:tr>
      <w:tr w:rsidR="00293B53" w:rsidRPr="00293B53" w14:paraId="6F74941D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5B71A77C" w14:textId="77777777" w:rsidR="00293B53" w:rsidRPr="00293B53" w:rsidRDefault="00293B53" w:rsidP="00293B53">
            <w:pPr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FILIP, král Belgičanů,</w:t>
            </w:r>
            <w:r>
              <w:rPr>
                <w:b/>
                <w:rFonts w:ascii="Garamond" w:hAnsi="Garamond"/>
              </w:rPr>
              <w:t xml:space="preserve"> </w:t>
            </w:r>
          </w:p>
        </w:tc>
      </w:tr>
      <w:tr w:rsidR="00293B53" w:rsidRPr="00293B53" w14:paraId="5E588F65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66317A4" w14:textId="77777777" w:rsidR="00293B53" w:rsidRPr="00293B53" w:rsidRDefault="00293B53" w:rsidP="00293B5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25F9B8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682021E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dává na vědomí všem současným a budoucím.</w:t>
            </w:r>
          </w:p>
        </w:tc>
      </w:tr>
      <w:tr w:rsidR="00293B53" w:rsidRPr="00293B53" w14:paraId="6EE6F2B3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8DEDB8A" w14:textId="77777777" w:rsidR="00293B53" w:rsidRPr="00293B53" w:rsidRDefault="00293B53" w:rsidP="00293B53">
            <w:pPr>
              <w:keepNext/>
              <w:tabs>
                <w:tab w:val="left" w:pos="567"/>
                <w:tab w:val="left" w:pos="2410"/>
              </w:tabs>
              <w:spacing w:after="0" w:line="240" w:lineRule="auto"/>
              <w:outlineLvl w:val="0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7E32D738" w14:textId="77777777" w:rsidTr="00293B53">
        <w:trPr>
          <w:gridAfter w:val="1"/>
          <w:wAfter w:w="18" w:type="dxa"/>
          <w:trHeight w:val="824"/>
          <w:jc w:val="center"/>
        </w:trPr>
        <w:tc>
          <w:tcPr>
            <w:tcW w:w="4374" w:type="dxa"/>
            <w:gridSpan w:val="2"/>
          </w:tcPr>
          <w:p w14:paraId="2CF9BA62" w14:textId="77777777" w:rsidR="00293B53" w:rsidRPr="00293B53" w:rsidRDefault="00293B53" w:rsidP="00293B53">
            <w:pPr>
              <w:keepNext/>
              <w:tabs>
                <w:tab w:val="left" w:pos="355"/>
                <w:tab w:val="left" w:pos="2410"/>
              </w:tabs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 ohledem na čl. 6 odst. 1 písm. a) zákona ze dne 24. ledna 1977 o ochraně zdraví spotřebitelů s ohledem na potraviny a jiné výrobky, ve znění zákona ze dne 22. března 1989 a čl. 18 odst. 1, který byl nahrazen zákonem ze dne 22. března 1989 a změněn zákonem ze dne 22. prosince 2003;</w:t>
            </w:r>
          </w:p>
        </w:tc>
      </w:tr>
      <w:tr w:rsidR="00293B53" w:rsidRPr="00293B53" w14:paraId="4817417F" w14:textId="77777777" w:rsidTr="00293B53">
        <w:trPr>
          <w:gridAfter w:val="1"/>
          <w:wAfter w:w="18" w:type="dxa"/>
          <w:trHeight w:val="206"/>
          <w:jc w:val="center"/>
        </w:trPr>
        <w:tc>
          <w:tcPr>
            <w:tcW w:w="4374" w:type="dxa"/>
            <w:gridSpan w:val="2"/>
          </w:tcPr>
          <w:p w14:paraId="7F7787EF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47A46B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F3879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 ohledem na stanovisko finančního inspektorátu vydané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;</w:t>
            </w:r>
          </w:p>
        </w:tc>
      </w:tr>
      <w:tr w:rsidR="00293B53" w:rsidRPr="00293B53" w14:paraId="264511E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F7687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3DC097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2CCC41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 ohledem na souhlas státního tajemníka pro rozpočet vydaný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;</w:t>
            </w:r>
          </w:p>
        </w:tc>
      </w:tr>
      <w:tr w:rsidR="00293B53" w:rsidRPr="00293B53" w14:paraId="72A4337F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B64F82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8E629CC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587F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 ohledem na posouzení dopadů předpisu ze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které bylo provedeno v souladu s články 6 a 7 zákona ze dne 15. prosince 2013, který obsahuje různá ustanovení týkající se administrativního zjednodušení;</w:t>
            </w:r>
          </w:p>
        </w:tc>
      </w:tr>
      <w:tr w:rsidR="00293B53" w:rsidRPr="00293B53" w14:paraId="6CD5DB2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DE402B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72FB66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3457A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 ohledem na sdělení Evropské komisi ze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 podle čl. 5 odst. 1 směrnice Evropského parlamentu a Rady (EU) 2015/1535 ze dne 9. září 2015 o postupu při poskytování informací v oblasti technických předpisů a praviel pro služby informační společnosti;</w:t>
            </w:r>
          </w:p>
          <w:p w14:paraId="7B89B76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6D4ECE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[s ohledem na připomínku Evropské komise po sdělení......... ze dne..................;]</w:t>
            </w:r>
          </w:p>
          <w:p w14:paraId="03653D8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5DF63F6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 ohledem na stanovisko Státní rady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 vydané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 podle čl. 84 odst. 1 pododst. 1 bodu 2 zákonů o Státní radě koordinovaných dne 12. ledna 1973;</w:t>
            </w:r>
          </w:p>
        </w:tc>
      </w:tr>
      <w:tr w:rsidR="00293B53" w:rsidRPr="00293B53" w14:paraId="757AB58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C758169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42291B6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F9326A7" w14:textId="77777777" w:rsidR="00293B53" w:rsidRPr="00293B53" w:rsidRDefault="00293B53" w:rsidP="00293B53">
            <w:pPr>
              <w:tabs>
                <w:tab w:val="left" w:pos="355"/>
                <w:tab w:val="left" w:pos="567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na návrh ministra veřejného zdraví,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3DC3CC1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E0CFD5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6546F921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B79A530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JSEM NAŘÍDIL A TÍMTO VÝNOSEM STANOVUJI:</w:t>
            </w:r>
          </w:p>
        </w:tc>
      </w:tr>
      <w:tr w:rsidR="00293B53" w:rsidRPr="00293B53" w14:paraId="554EB2B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D059A0" w14:textId="77777777" w:rsidR="00293B53" w:rsidRPr="00293B53" w:rsidRDefault="00293B53" w:rsidP="00293B53">
            <w:pPr>
              <w:tabs>
                <w:tab w:val="left" w:pos="567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971376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72B68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Článek 1.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Definice</w:t>
            </w:r>
          </w:p>
          <w:p w14:paraId="67607B8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Pro účely tohoto výnosu se níže uvedenými výrazy rozumí:</w:t>
            </w:r>
          </w:p>
          <w:p w14:paraId="7B6EE7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(1) nikotinovými sáčky: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jakýkoli výrobek bez tabáku pro orální použití sestávající zcela nebo částečně ze syntetického nebo přírodního nikotinu ve formě prášku, částic nebo pasty nebo v jakékoli kombinaci těchto forem, zejména ty, které jsou porcovány do sáčků nebo porézních sáčků;</w:t>
            </w:r>
          </w:p>
          <w:p w14:paraId="68B1C33F" w14:textId="42A6D7BF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(2) kanabinoidními sáčky: každý přípravek pro orální použití sestávající z jednoho nebo více kanabinoidů nebo jejich derivátů, ve formě prášku, částic nebo pasty nebo v jakékoli kombinaci těchto forem, včetně těch, které jsou porcovány do sáčků nebo porézních sáčků;</w:t>
            </w:r>
          </w:p>
          <w:p w14:paraId="069C48F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(3) uváděním na trh: zpřístupnění výrobků spotřebitelům v Belgii bez ohledu na místo jejich výroby, ať už za úplatu či nikoli, včetně prodeje na dálku;</w:t>
            </w:r>
          </w:p>
          <w:p w14:paraId="34A8EA7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(4) výrobcem: každá fyzická nebo právnická osoba, která vyrábí výrobek nebo si nechává výrobek navrhnout nebo vyrobit a která uvádí výrobek na trh pod svým vlastním jménem nebo značkou;</w:t>
            </w:r>
          </w:p>
          <w:p w14:paraId="4F38189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(5) dovozcem do Belgie: vlastník nebo osoba oprávněná nakládat s produkty dovezenými na území Belgie;</w:t>
            </w:r>
          </w:p>
          <w:p w14:paraId="36155E7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(6)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maloobchodníkem: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jakékoli místo prodeje, kde jsou výrobky uváděny na trh, včetně fyzické osoby.</w:t>
            </w:r>
          </w:p>
        </w:tc>
      </w:tr>
      <w:tr w:rsidR="00293B53" w:rsidRPr="00293B53" w14:paraId="75877B49" w14:textId="77777777" w:rsidTr="00293B53">
        <w:trPr>
          <w:gridAfter w:val="1"/>
          <w:wAfter w:w="18" w:type="dxa"/>
          <w:trHeight w:val="331"/>
          <w:jc w:val="center"/>
        </w:trPr>
        <w:tc>
          <w:tcPr>
            <w:tcW w:w="4374" w:type="dxa"/>
            <w:gridSpan w:val="2"/>
          </w:tcPr>
          <w:p w14:paraId="1767DBFD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1DC5914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9918B7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Článek 2.</w:t>
            </w:r>
            <w:r>
              <w:rPr>
                <w:b/>
                <w:rFonts w:ascii="Garamond" w:hAnsi="Garamond"/>
              </w:rPr>
              <w:t xml:space="preserve">  </w:t>
            </w:r>
            <w:r>
              <w:rPr>
                <w:b/>
                <w:rFonts w:ascii="Garamond" w:hAnsi="Garamond"/>
              </w:rPr>
              <w:t xml:space="preserve">Zákaz</w:t>
            </w:r>
          </w:p>
          <w:p w14:paraId="0FA130E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Zakazuje se uvádět nikotinové sáčky a kanabinoidní sáčky na trh.</w:t>
            </w:r>
          </w:p>
          <w:p w14:paraId="35DCBB8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5552DB5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3F633FB0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22918896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6B5A9B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Článek 3.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Trestní sankce</w:t>
            </w:r>
          </w:p>
          <w:p w14:paraId="623DB1A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Odst. 1.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Výrobky uvedené v článku 2 tohoto výnosu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se považují za škodlivé ve smyslu článku 18 zákona ze dne 24. ledna 1977 o ochraně zdraví spotřebitelů s ohledem na potraviny a jiné výrobky.</w:t>
            </w:r>
          </w:p>
          <w:p w14:paraId="73D4D5B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Odst. 2.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Porušení tohoto výnosu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jsou vyhledávána, odhalena a stíhána v souladu s výše uvedenými ustanoveními zákona ze dne 24. ledna 1977.</w:t>
            </w:r>
          </w:p>
          <w:p w14:paraId="4716BD7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Odst. 3.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Sankce uvedené v článku 13 zákona ze dne 24. ledna 1977 o ochraně zdraví spotřebitelů s ohledem na potraviny a jiné výrobky se trestají, pokud porušují zákaz stanovený v článku 2 tohoto výnosu.</w:t>
            </w:r>
          </w:p>
          <w:p w14:paraId="4E6F7A3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Odst. 4.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Výrobce, dovozce do Belgie a maloobchodník mohou nést odpovědnost za nedodržení článku 2 toto výnosu.</w:t>
            </w:r>
          </w:p>
        </w:tc>
      </w:tr>
      <w:tr w:rsidR="00293B53" w:rsidRPr="00293B53" w14:paraId="5529DEA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431B98F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95EDD39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24FB9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Článek 4.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Vstup v platnost</w:t>
            </w:r>
          </w:p>
          <w:p w14:paraId="079622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Tento výnos vstupuje v platnost tři měsíce po zveřejnění v belgickém promulgačním listu s výjimkou maloobchodníka, pro nějž tento výnos vstupuje v platnost šest měsíců po zveřejnění v belgickém promulgačním listu.</w:t>
            </w:r>
          </w:p>
        </w:tc>
      </w:tr>
      <w:tr w:rsidR="00293B53" w:rsidRPr="00293B53" w14:paraId="75DA5B7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0759B75E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ab/>
            </w:r>
          </w:p>
        </w:tc>
      </w:tr>
      <w:tr w:rsidR="00293B53" w:rsidRPr="00293B53" w14:paraId="14538C3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54F409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Článek 5.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Závěrečné ustanovení</w:t>
            </w:r>
            <w:r>
              <w:rPr>
                <w:b/>
                <w:rFonts w:ascii="Garamond" w:hAnsi="Garamond"/>
              </w:rPr>
              <w:t xml:space="preserve"> </w:t>
            </w:r>
          </w:p>
          <w:p w14:paraId="312C876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Za provádění tohoto výnosu odpovídá ministr veřejného zdraví.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1A5B13F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6437790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3F2B6B0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FB5785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FD7173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29A2A95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4855E3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213BE0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A6E073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4A174EF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B3D94A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047D921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5AE6F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Za krále:</w:t>
            </w:r>
          </w:p>
        </w:tc>
      </w:tr>
      <w:tr w:rsidR="00293B53" w:rsidRPr="00293B53" w14:paraId="126B4253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331A48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73FB4F2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B423D8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ministr veřejného zdraví,</w:t>
            </w:r>
          </w:p>
        </w:tc>
      </w:tr>
      <w:tr w:rsidR="00293B53" w:rsidRPr="00293B53" w14:paraId="26504951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4A62E6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nl-NL"/>
              </w:rPr>
            </w:pPr>
          </w:p>
        </w:tc>
      </w:tr>
      <w:tr w:rsidR="00293B53" w:rsidRPr="00293B53" w14:paraId="7A28C210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1197EF7" w14:textId="3F909246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sz w:val="20"/>
                <w:szCs w:val="20"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Frank VANDENBROUCKE</w:t>
            </w:r>
          </w:p>
        </w:tc>
      </w:tr>
    </w:tbl>
    <w:p w14:paraId="2EF75113" w14:textId="77777777" w:rsidR="00493F25" w:rsidRPr="00293B53" w:rsidRDefault="00493F25">
      <w:pPr>
        <w:rPr>
          <w:lang w:val="fr-FR"/>
        </w:rPr>
      </w:pPr>
    </w:p>
    <w:sectPr w:rsidR="00493F25" w:rsidRPr="00293B53" w:rsidSect="00CD02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3"/>
    <w:rsid w:val="00293B53"/>
    <w:rsid w:val="00493F25"/>
    <w:rsid w:val="004C1DD3"/>
    <w:rsid w:val="007A2CB6"/>
    <w:rsid w:val="00C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A695"/>
  <w15:chartTrackingRefBased/>
  <w15:docId w15:val="{8D0CE7A6-4027-4852-96A3-1A6BF3AC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Bertrand (SPF Santé Publique - FOD Volksgezondheid)</dc:creator>
  <cp:keywords/>
  <dc:description/>
  <cp:lastModifiedBy>Dimitris Dimitriadis</cp:lastModifiedBy>
  <cp:revision>4</cp:revision>
  <dcterms:created xsi:type="dcterms:W3CDTF">2022-06-15T09:12:00Z</dcterms:created>
  <dcterms:modified xsi:type="dcterms:W3CDTF">2022-06-15T09:57:00Z</dcterms:modified>
</cp:coreProperties>
</file>