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392" w:type="dxa"/>
        <w:jc w:val="center"/>
        <w:tblLayout w:type="fixed"/>
        <w:tblCellMar>
          <w:left w:w="70" w:type="dxa"/>
          <w:right w:w="70" w:type="dxa"/>
        </w:tblCellMar>
        <w:tblLook w:val="0000" w:firstRow="0" w:lastRow="0" w:firstColumn="0" w:lastColumn="0" w:noHBand="0" w:noVBand="0"/>
      </w:tblPr>
      <w:tblGrid>
        <w:gridCol w:w="18"/>
        <w:gridCol w:w="4356"/>
        <w:gridCol w:w="18"/>
      </w:tblGrid>
      <w:tr w:rsidR="00293B53" w:rsidRPr="00293B53" w14:paraId="50CF83BF" w14:textId="77777777" w:rsidTr="00293B53">
        <w:trPr>
          <w:gridAfter w:val="1"/>
          <w:wAfter w:w="18" w:type="dxa"/>
          <w:trHeight w:val="151"/>
          <w:jc w:val="center"/>
        </w:trPr>
        <w:tc>
          <w:tcPr>
            <w:tcW w:w="4374" w:type="dxa"/>
            <w:gridSpan w:val="2"/>
          </w:tcPr>
          <w:p w14:paraId="4A92B424" w14:textId="77777777" w:rsidR="00293B53" w:rsidRPr="00293B53" w:rsidRDefault="00293B53" w:rsidP="00293B53">
            <w:pPr>
              <w:keepNext/>
              <w:spacing w:after="0" w:line="240" w:lineRule="auto"/>
              <w:jc w:val="center"/>
              <w:outlineLvl w:val="1"/>
              <w:rPr>
                <w:b/>
                <w:rFonts w:ascii="Garamond" w:eastAsia="Times New Roman" w:hAnsi="Garamond" w:cs="Times New Roman"/>
              </w:rPr>
            </w:pPr>
            <w:r>
              <w:rPr>
                <w:b/>
                <w:rFonts w:ascii="Garamond" w:hAnsi="Garamond"/>
              </w:rPr>
              <w:t xml:space="preserve">Belgian kuningaskunta</w:t>
            </w:r>
          </w:p>
        </w:tc>
      </w:tr>
      <w:tr w:rsidR="00293B53" w:rsidRPr="00293B53" w14:paraId="4E7674DA" w14:textId="77777777" w:rsidTr="00293B53">
        <w:trPr>
          <w:gridAfter w:val="1"/>
          <w:wAfter w:w="18" w:type="dxa"/>
          <w:jc w:val="center"/>
        </w:trPr>
        <w:tc>
          <w:tcPr>
            <w:tcW w:w="4374" w:type="dxa"/>
            <w:gridSpan w:val="2"/>
          </w:tcPr>
          <w:p w14:paraId="43FE0FED" w14:textId="77777777" w:rsidR="00293B53" w:rsidRPr="00293B53" w:rsidRDefault="00293B53" w:rsidP="00293B53">
            <w:pPr>
              <w:tabs>
                <w:tab w:val="left" w:pos="2410"/>
              </w:tabs>
              <w:spacing w:after="0" w:line="240" w:lineRule="auto"/>
              <w:jc w:val="center"/>
              <w:rPr>
                <w:rFonts w:ascii="Garamond" w:eastAsia="Times New Roman" w:hAnsi="Garamond" w:cs="Times New Roman"/>
              </w:rPr>
            </w:pPr>
            <w:r>
              <w:rPr>
                <w:rFonts w:ascii="Garamond" w:hAnsi="Garamond"/>
              </w:rPr>
              <w:t xml:space="preserve">_________</w:t>
            </w:r>
          </w:p>
        </w:tc>
      </w:tr>
      <w:tr w:rsidR="00293B53" w:rsidRPr="00293B53" w14:paraId="034E8714" w14:textId="77777777" w:rsidTr="00293B53">
        <w:trPr>
          <w:gridAfter w:val="1"/>
          <w:wAfter w:w="18" w:type="dxa"/>
          <w:jc w:val="center"/>
        </w:trPr>
        <w:tc>
          <w:tcPr>
            <w:tcW w:w="4374" w:type="dxa"/>
            <w:gridSpan w:val="2"/>
          </w:tcPr>
          <w:p w14:paraId="316D9BEC" w14:textId="77777777" w:rsidR="00293B53" w:rsidRPr="00293B53" w:rsidRDefault="00293B53" w:rsidP="00293B53">
            <w:pPr>
              <w:tabs>
                <w:tab w:val="left" w:pos="2410"/>
              </w:tabs>
              <w:spacing w:after="0" w:line="240" w:lineRule="auto"/>
              <w:jc w:val="center"/>
              <w:rPr>
                <w:rFonts w:ascii="Garamond" w:eastAsia="Times New Roman" w:hAnsi="Garamond" w:cs="Times New Roman"/>
                <w:lang w:eastAsia="nl-NL"/>
              </w:rPr>
            </w:pPr>
          </w:p>
        </w:tc>
      </w:tr>
      <w:tr w:rsidR="00293B53" w:rsidRPr="00293B53" w14:paraId="573A68C9" w14:textId="77777777" w:rsidTr="00293B53">
        <w:trPr>
          <w:gridAfter w:val="1"/>
          <w:wAfter w:w="18" w:type="dxa"/>
          <w:jc w:val="center"/>
        </w:trPr>
        <w:tc>
          <w:tcPr>
            <w:tcW w:w="4374" w:type="dxa"/>
            <w:gridSpan w:val="2"/>
          </w:tcPr>
          <w:p w14:paraId="76A0BD4A" w14:textId="77777777" w:rsidR="00293B53" w:rsidRPr="00293B53" w:rsidRDefault="00293B53" w:rsidP="00293B53">
            <w:pPr>
              <w:tabs>
                <w:tab w:val="left" w:pos="2410"/>
                <w:tab w:val="left" w:pos="3616"/>
                <w:tab w:val="left" w:pos="3899"/>
              </w:tabs>
              <w:spacing w:after="0" w:line="240" w:lineRule="auto"/>
              <w:jc w:val="center"/>
              <w:rPr>
                <w:b/>
                <w:bCs/>
                <w:rFonts w:ascii="Garamond" w:eastAsia="Times New Roman" w:hAnsi="Garamond" w:cs="Times New Roman"/>
              </w:rPr>
            </w:pPr>
            <w:r>
              <w:rPr>
                <w:b/>
                <w:rFonts w:ascii="Garamond" w:hAnsi="Garamond"/>
              </w:rPr>
              <w:t xml:space="preserve">KANSANTERVEYDESTÄ, ELINTARVIKEKETJUN TURVALLISUUDESTA JA YMPÄRISTÖSTÄ VASTAAVA LIITTOVALTION VIRASTO</w:t>
            </w:r>
          </w:p>
        </w:tc>
      </w:tr>
      <w:tr w:rsidR="00293B53" w:rsidRPr="00293B53" w14:paraId="361212FE" w14:textId="77777777" w:rsidTr="00293B53">
        <w:trPr>
          <w:gridAfter w:val="1"/>
          <w:wAfter w:w="18" w:type="dxa"/>
          <w:jc w:val="center"/>
        </w:trPr>
        <w:tc>
          <w:tcPr>
            <w:tcW w:w="4374" w:type="dxa"/>
            <w:gridSpan w:val="2"/>
          </w:tcPr>
          <w:p w14:paraId="76D2D742" w14:textId="77777777" w:rsidR="00293B53" w:rsidRPr="00293B53" w:rsidRDefault="00293B53" w:rsidP="00293B53">
            <w:pPr>
              <w:tabs>
                <w:tab w:val="left" w:pos="2410"/>
              </w:tabs>
              <w:spacing w:after="0" w:line="240" w:lineRule="auto"/>
              <w:jc w:val="center"/>
              <w:rPr>
                <w:bCs/>
                <w:rFonts w:ascii="Garamond" w:eastAsia="Times New Roman" w:hAnsi="Garamond" w:cs="Times New Roman"/>
              </w:rPr>
            </w:pPr>
            <w:r>
              <w:rPr>
                <w:rFonts w:ascii="Garamond" w:hAnsi="Garamond"/>
              </w:rPr>
              <w:t xml:space="preserve">________________________</w:t>
            </w:r>
          </w:p>
        </w:tc>
      </w:tr>
      <w:tr w:rsidR="00293B53" w:rsidRPr="00293B53" w14:paraId="4D46C327" w14:textId="77777777" w:rsidTr="00293B53">
        <w:trPr>
          <w:gridAfter w:val="1"/>
          <w:wAfter w:w="18" w:type="dxa"/>
          <w:jc w:val="center"/>
        </w:trPr>
        <w:tc>
          <w:tcPr>
            <w:tcW w:w="4374" w:type="dxa"/>
            <w:gridSpan w:val="2"/>
          </w:tcPr>
          <w:p w14:paraId="6E6F6C64" w14:textId="77777777" w:rsidR="00293B53" w:rsidRPr="00293B53" w:rsidRDefault="00293B53" w:rsidP="00293B53">
            <w:pPr>
              <w:tabs>
                <w:tab w:val="left" w:pos="2410"/>
              </w:tabs>
              <w:spacing w:after="0" w:line="240" w:lineRule="auto"/>
              <w:jc w:val="center"/>
              <w:rPr>
                <w:rFonts w:ascii="Garamond" w:eastAsia="Times New Roman" w:hAnsi="Garamond" w:cs="Times New Roman"/>
                <w:lang w:val="fr-FR" w:eastAsia="nl-NL"/>
              </w:rPr>
            </w:pPr>
          </w:p>
          <w:p w14:paraId="439E3B87" w14:textId="77777777" w:rsidR="00293B53" w:rsidRPr="00293B53" w:rsidRDefault="00293B53" w:rsidP="00293B53">
            <w:pPr>
              <w:tabs>
                <w:tab w:val="left" w:pos="2410"/>
              </w:tabs>
              <w:spacing w:after="0" w:line="240" w:lineRule="auto"/>
              <w:jc w:val="center"/>
              <w:rPr>
                <w:rFonts w:ascii="Garamond" w:eastAsia="Times New Roman" w:hAnsi="Garamond" w:cs="Times New Roman"/>
                <w:lang w:val="fr-FR" w:eastAsia="nl-NL"/>
              </w:rPr>
            </w:pPr>
          </w:p>
        </w:tc>
      </w:tr>
      <w:tr w:rsidR="00293B53" w:rsidRPr="00293B53" w14:paraId="73657689" w14:textId="77777777" w:rsidTr="00293B53">
        <w:trPr>
          <w:gridAfter w:val="1"/>
          <w:wAfter w:w="18" w:type="dxa"/>
          <w:jc w:val="center"/>
        </w:trPr>
        <w:tc>
          <w:tcPr>
            <w:tcW w:w="4374" w:type="dxa"/>
            <w:gridSpan w:val="2"/>
          </w:tcPr>
          <w:p w14:paraId="2EB98842" w14:textId="77777777" w:rsidR="00293B53" w:rsidRPr="00293B53" w:rsidRDefault="00293B53" w:rsidP="00293B53">
            <w:pPr>
              <w:tabs>
                <w:tab w:val="left" w:pos="2410"/>
              </w:tabs>
              <w:spacing w:after="0" w:line="240" w:lineRule="auto"/>
              <w:jc w:val="center"/>
              <w:rPr>
                <w:b/>
                <w:bCs/>
                <w:rFonts w:ascii="Garamond" w:eastAsia="Times New Roman" w:hAnsi="Garamond" w:cs="Times New Roman"/>
              </w:rPr>
            </w:pPr>
            <w:r>
              <w:rPr>
                <w:b/>
                <w:color w:val="000000"/>
                <w:rFonts w:ascii="Garamond" w:hAnsi="Garamond"/>
              </w:rPr>
              <w:t xml:space="preserve">Kuninkaan asetus tiettyjen samankaltaisten tuotteiden valmistuksen ja markkinoille saattamisen kieltämisestä</w:t>
            </w:r>
            <w:r>
              <w:rPr>
                <w:b/>
                <w:color w:val="000000"/>
                <w:rFonts w:ascii="Garamond" w:hAnsi="Garamond"/>
              </w:rPr>
              <w:t xml:space="preserve"> </w:t>
            </w:r>
          </w:p>
        </w:tc>
      </w:tr>
      <w:tr w:rsidR="00293B53" w:rsidRPr="00293B53" w14:paraId="4F0A5BD4" w14:textId="77777777" w:rsidTr="00293B53">
        <w:trPr>
          <w:gridAfter w:val="1"/>
          <w:wAfter w:w="18" w:type="dxa"/>
          <w:jc w:val="center"/>
        </w:trPr>
        <w:tc>
          <w:tcPr>
            <w:tcW w:w="4374" w:type="dxa"/>
            <w:gridSpan w:val="2"/>
          </w:tcPr>
          <w:p w14:paraId="1681569D" w14:textId="77777777" w:rsidR="00293B53" w:rsidRPr="00293B53" w:rsidRDefault="00293B53" w:rsidP="00293B53">
            <w:pPr>
              <w:spacing w:after="0" w:line="240" w:lineRule="auto"/>
              <w:rPr>
                <w:rFonts w:ascii="Garamond" w:eastAsia="Times New Roman" w:hAnsi="Garamond" w:cs="Times New Roman"/>
                <w:b/>
                <w:lang w:eastAsia="nl-NL"/>
              </w:rPr>
            </w:pPr>
          </w:p>
        </w:tc>
      </w:tr>
      <w:tr w:rsidR="00293B53" w:rsidRPr="00293B53" w14:paraId="6F74941D" w14:textId="77777777" w:rsidTr="00293B53">
        <w:trPr>
          <w:gridAfter w:val="1"/>
          <w:wAfter w:w="18" w:type="dxa"/>
          <w:jc w:val="center"/>
        </w:trPr>
        <w:tc>
          <w:tcPr>
            <w:tcW w:w="4374" w:type="dxa"/>
            <w:gridSpan w:val="2"/>
          </w:tcPr>
          <w:p w14:paraId="5B71A77C" w14:textId="77777777" w:rsidR="00293B53" w:rsidRPr="00293B53" w:rsidRDefault="00293B53" w:rsidP="00293B53">
            <w:pPr>
              <w:spacing w:after="0" w:line="240" w:lineRule="auto"/>
              <w:jc w:val="center"/>
              <w:rPr>
                <w:b/>
                <w:bCs/>
                <w:rFonts w:ascii="Garamond" w:eastAsia="Times New Roman" w:hAnsi="Garamond" w:cs="Times New Roman"/>
              </w:rPr>
            </w:pPr>
            <w:r>
              <w:rPr>
                <w:b/>
                <w:rFonts w:ascii="Garamond" w:hAnsi="Garamond"/>
              </w:rPr>
              <w:t xml:space="preserve">PHILIPPE, Belgian kuningas,</w:t>
            </w:r>
            <w:r>
              <w:rPr>
                <w:b/>
                <w:rFonts w:ascii="Garamond" w:hAnsi="Garamond"/>
              </w:rPr>
              <w:t xml:space="preserve"> </w:t>
            </w:r>
          </w:p>
        </w:tc>
      </w:tr>
      <w:tr w:rsidR="00293B53" w:rsidRPr="00293B53" w14:paraId="5E588F65" w14:textId="77777777" w:rsidTr="00293B53">
        <w:trPr>
          <w:gridAfter w:val="1"/>
          <w:wAfter w:w="18" w:type="dxa"/>
          <w:jc w:val="center"/>
        </w:trPr>
        <w:tc>
          <w:tcPr>
            <w:tcW w:w="4374" w:type="dxa"/>
            <w:gridSpan w:val="2"/>
          </w:tcPr>
          <w:p w14:paraId="666317A4" w14:textId="77777777" w:rsidR="00293B53" w:rsidRPr="00293B53" w:rsidRDefault="00293B53" w:rsidP="00293B53">
            <w:pPr>
              <w:spacing w:after="0" w:line="240" w:lineRule="auto"/>
              <w:jc w:val="center"/>
              <w:rPr>
                <w:rFonts w:ascii="Garamond" w:eastAsia="Times New Roman" w:hAnsi="Garamond" w:cs="Times New Roman"/>
                <w:bCs/>
                <w:lang w:eastAsia="nl-NL"/>
              </w:rPr>
            </w:pPr>
          </w:p>
        </w:tc>
      </w:tr>
      <w:tr w:rsidR="00293B53" w:rsidRPr="00293B53" w14:paraId="125F9B8B" w14:textId="77777777" w:rsidTr="00293B53">
        <w:trPr>
          <w:gridAfter w:val="1"/>
          <w:wAfter w:w="18" w:type="dxa"/>
          <w:jc w:val="center"/>
        </w:trPr>
        <w:tc>
          <w:tcPr>
            <w:tcW w:w="4374" w:type="dxa"/>
            <w:gridSpan w:val="2"/>
          </w:tcPr>
          <w:p w14:paraId="0682021E" w14:textId="77777777" w:rsidR="00293B53" w:rsidRPr="00293B53" w:rsidRDefault="00293B53" w:rsidP="00293B53">
            <w:pPr>
              <w:tabs>
                <w:tab w:val="left" w:pos="355"/>
                <w:tab w:val="left" w:pos="2410"/>
              </w:tabs>
              <w:spacing w:after="0" w:line="240" w:lineRule="auto"/>
              <w:jc w:val="center"/>
              <w:rPr>
                <w:rFonts w:ascii="Garamond" w:eastAsia="Times New Roman" w:hAnsi="Garamond" w:cs="Times New Roman"/>
              </w:rPr>
            </w:pPr>
            <w:r>
              <w:rPr>
                <w:rFonts w:ascii="Garamond" w:hAnsi="Garamond"/>
              </w:rPr>
              <w:t xml:space="preserve">joka tervehtii kaikkia nyt ja vastaisuudessa eläviä,</w:t>
            </w:r>
          </w:p>
        </w:tc>
      </w:tr>
      <w:tr w:rsidR="00293B53" w:rsidRPr="00293B53" w14:paraId="6EE6F2B3" w14:textId="77777777" w:rsidTr="00293B53">
        <w:trPr>
          <w:gridAfter w:val="1"/>
          <w:wAfter w:w="18" w:type="dxa"/>
          <w:jc w:val="center"/>
        </w:trPr>
        <w:tc>
          <w:tcPr>
            <w:tcW w:w="4374" w:type="dxa"/>
            <w:gridSpan w:val="2"/>
          </w:tcPr>
          <w:p w14:paraId="78DEDB8A" w14:textId="77777777" w:rsidR="00293B53" w:rsidRPr="00293B53" w:rsidRDefault="00293B53" w:rsidP="00293B53">
            <w:pPr>
              <w:keepNext/>
              <w:tabs>
                <w:tab w:val="left" w:pos="567"/>
                <w:tab w:val="left" w:pos="2410"/>
              </w:tabs>
              <w:spacing w:after="0" w:line="240" w:lineRule="auto"/>
              <w:outlineLvl w:val="0"/>
              <w:rPr>
                <w:rFonts w:ascii="Garamond" w:eastAsia="Times New Roman" w:hAnsi="Garamond" w:cs="Times New Roman"/>
                <w:lang w:eastAsia="nl-NL"/>
              </w:rPr>
            </w:pPr>
          </w:p>
        </w:tc>
      </w:tr>
      <w:tr w:rsidR="00293B53" w:rsidRPr="00293B53" w14:paraId="7E32D738" w14:textId="77777777" w:rsidTr="00293B53">
        <w:trPr>
          <w:gridAfter w:val="1"/>
          <w:wAfter w:w="18" w:type="dxa"/>
          <w:trHeight w:val="824"/>
          <w:jc w:val="center"/>
        </w:trPr>
        <w:tc>
          <w:tcPr>
            <w:tcW w:w="4374" w:type="dxa"/>
            <w:gridSpan w:val="2"/>
          </w:tcPr>
          <w:p w14:paraId="2CF9BA62" w14:textId="77777777" w:rsidR="00293B53" w:rsidRPr="00293B53" w:rsidRDefault="00293B53" w:rsidP="00293B53">
            <w:pPr>
              <w:keepNext/>
              <w:tabs>
                <w:tab w:val="left" w:pos="355"/>
                <w:tab w:val="left" w:pos="2410"/>
              </w:tabs>
              <w:spacing w:after="0" w:line="240" w:lineRule="auto"/>
              <w:jc w:val="both"/>
              <w:outlineLvl w:val="0"/>
              <w:rPr>
                <w:rFonts w:ascii="Garamond" w:eastAsia="Times New Roman" w:hAnsi="Garamond" w:cs="Times New Roman"/>
              </w:rPr>
            </w:pPr>
            <w:r>
              <w:rPr>
                <w:rFonts w:ascii="Garamond" w:hAnsi="Garamond"/>
              </w:rPr>
              <w:t xml:space="preserve">ottaa huomioon kuluttajien terveyden suojelusta elintarvikkeiden ja muiden tuotteiden osalta 24 päivänä tammikuuta 1977 annetun lain, sellaisena kuin se on muutettuna 22 päivänä maaliskuuta 1989 annetulla lailla, 6 §:n 1 momentin a kohdan ja 18 §:n 1 momentin, joka on korvattu 22 päivänä maaliskuuta 1989 annetulla lailla ja muutettu 22 päivänä julukuuta 2003 annetulla lailla,</w:t>
            </w:r>
          </w:p>
        </w:tc>
      </w:tr>
      <w:tr w:rsidR="00293B53" w:rsidRPr="00293B53" w14:paraId="4817417F" w14:textId="77777777" w:rsidTr="00293B53">
        <w:trPr>
          <w:gridAfter w:val="1"/>
          <w:wAfter w:w="18" w:type="dxa"/>
          <w:trHeight w:val="206"/>
          <w:jc w:val="center"/>
        </w:trPr>
        <w:tc>
          <w:tcPr>
            <w:tcW w:w="4374" w:type="dxa"/>
            <w:gridSpan w:val="2"/>
          </w:tcPr>
          <w:p w14:paraId="7F7787EF" w14:textId="77777777" w:rsidR="00293B53" w:rsidRPr="00293B53" w:rsidRDefault="00293B53" w:rsidP="00293B53">
            <w:pPr>
              <w:tabs>
                <w:tab w:val="left" w:pos="355"/>
                <w:tab w:val="left" w:pos="2410"/>
              </w:tabs>
              <w:spacing w:after="0" w:line="240" w:lineRule="auto"/>
              <w:jc w:val="both"/>
              <w:rPr>
                <w:rFonts w:ascii="Garamond" w:eastAsia="Times New Roman" w:hAnsi="Garamond" w:cs="Times New Roman"/>
                <w:bCs/>
                <w:lang w:eastAsia="nl-NL"/>
              </w:rPr>
            </w:pPr>
          </w:p>
        </w:tc>
      </w:tr>
      <w:tr w:rsidR="00293B53" w:rsidRPr="00293B53" w14:paraId="147A46B6" w14:textId="77777777" w:rsidTr="00293B53">
        <w:trPr>
          <w:gridAfter w:val="1"/>
          <w:wAfter w:w="18" w:type="dxa"/>
          <w:jc w:val="center"/>
        </w:trPr>
        <w:tc>
          <w:tcPr>
            <w:tcW w:w="4374" w:type="dxa"/>
            <w:gridSpan w:val="2"/>
          </w:tcPr>
          <w:p w14:paraId="3F3879CE"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ottaa huomioon [</w:t>
            </w:r>
            <w:r>
              <w:rPr>
                <w:highlight w:val="yellow"/>
                <w:rFonts w:ascii="Garamond" w:hAnsi="Garamond"/>
              </w:rPr>
              <w:t xml:space="preserve">päivämäärä</w:t>
            </w:r>
            <w:r>
              <w:rPr>
                <w:rFonts w:ascii="Garamond" w:hAnsi="Garamond"/>
              </w:rPr>
              <w:t xml:space="preserve">] annetun valtion tilintarkastusviranomaisen lausunnon,</w:t>
            </w:r>
          </w:p>
        </w:tc>
      </w:tr>
      <w:tr w:rsidR="00293B53" w:rsidRPr="00293B53" w14:paraId="264511E8" w14:textId="77777777" w:rsidTr="00293B53">
        <w:trPr>
          <w:gridAfter w:val="1"/>
          <w:wAfter w:w="18" w:type="dxa"/>
          <w:jc w:val="center"/>
        </w:trPr>
        <w:tc>
          <w:tcPr>
            <w:tcW w:w="4374" w:type="dxa"/>
            <w:gridSpan w:val="2"/>
          </w:tcPr>
          <w:p w14:paraId="31F7687E"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23DC097E" w14:textId="77777777" w:rsidTr="00293B53">
        <w:trPr>
          <w:gridAfter w:val="1"/>
          <w:wAfter w:w="18" w:type="dxa"/>
          <w:jc w:val="center"/>
        </w:trPr>
        <w:tc>
          <w:tcPr>
            <w:tcW w:w="4374" w:type="dxa"/>
            <w:gridSpan w:val="2"/>
          </w:tcPr>
          <w:p w14:paraId="42CCC414"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ottaa huomioon budjetista vastaavan valtiosihteerin </w:t>
            </w:r>
            <w:r>
              <w:rPr>
                <w:highlight w:val="yellow"/>
                <w:rFonts w:ascii="Garamond" w:hAnsi="Garamond"/>
              </w:rPr>
              <w:t xml:space="preserve">XXX</w:t>
            </w:r>
            <w:r>
              <w:rPr>
                <w:rFonts w:ascii="Garamond" w:hAnsi="Garamond"/>
              </w:rPr>
              <w:t xml:space="preserve"> antaman sopimuksen,</w:t>
            </w:r>
          </w:p>
        </w:tc>
      </w:tr>
      <w:tr w:rsidR="00293B53" w:rsidRPr="00293B53" w14:paraId="72A4337F" w14:textId="77777777" w:rsidTr="00293B53">
        <w:trPr>
          <w:gridAfter w:val="1"/>
          <w:wAfter w:w="18" w:type="dxa"/>
          <w:jc w:val="center"/>
        </w:trPr>
        <w:tc>
          <w:tcPr>
            <w:tcW w:w="4374" w:type="dxa"/>
            <w:gridSpan w:val="2"/>
          </w:tcPr>
          <w:p w14:paraId="4B64F825"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28E629CC" w14:textId="77777777" w:rsidTr="00293B53">
        <w:trPr>
          <w:gridAfter w:val="1"/>
          <w:wAfter w:w="18" w:type="dxa"/>
          <w:jc w:val="center"/>
        </w:trPr>
        <w:tc>
          <w:tcPr>
            <w:tcW w:w="4374" w:type="dxa"/>
            <w:gridSpan w:val="2"/>
          </w:tcPr>
          <w:p w14:paraId="20587FC2"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ottaa huomioon 15 päivänä joulukuuta 2013 annetun lain 6 ja 7 §:n mukaisesti tehdyn vaikutustenarvioinnin, joka koskee asetusta </w:t>
            </w:r>
            <w:r>
              <w:rPr>
                <w:highlight w:val="yellow"/>
                <w:rFonts w:ascii="Garamond" w:hAnsi="Garamond"/>
              </w:rPr>
              <w:t xml:space="preserve">XXX</w:t>
            </w:r>
            <w:r>
              <w:rPr>
                <w:rFonts w:ascii="Garamond" w:hAnsi="Garamond"/>
              </w:rPr>
              <w:t xml:space="preserve"> ja joka sisältää useita hallinnon yksinkertaistamiseen liittyviä säännöksiä,</w:t>
            </w:r>
          </w:p>
        </w:tc>
      </w:tr>
      <w:tr w:rsidR="00293B53" w:rsidRPr="00293B53" w14:paraId="6CD5DB28" w14:textId="77777777" w:rsidTr="00293B53">
        <w:trPr>
          <w:gridAfter w:val="1"/>
          <w:wAfter w:w="18" w:type="dxa"/>
          <w:jc w:val="center"/>
        </w:trPr>
        <w:tc>
          <w:tcPr>
            <w:tcW w:w="4374" w:type="dxa"/>
            <w:gridSpan w:val="2"/>
          </w:tcPr>
          <w:p w14:paraId="20DE402B"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472FB668" w14:textId="77777777" w:rsidTr="00293B53">
        <w:trPr>
          <w:gridAfter w:val="1"/>
          <w:wAfter w:w="18" w:type="dxa"/>
          <w:jc w:val="center"/>
        </w:trPr>
        <w:tc>
          <w:tcPr>
            <w:tcW w:w="4374" w:type="dxa"/>
            <w:gridSpan w:val="2"/>
          </w:tcPr>
          <w:p w14:paraId="63457AED"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ottaa huomioon teknisiä määräyksiä ja tietoyhteiskunnan palveluja koskevia määräyksiä koskevien tietojen toimittamisessa noudatettavasta menettelystä 9 päivänä syyskuuta 2015 annetun Euroopan parlamentin ja neuvoston direktiivin (EU) 2015/1535 5 artiklan 1 kohdan mukaisesti </w:t>
            </w:r>
            <w:r>
              <w:rPr>
                <w:highlight w:val="yellow"/>
                <w:rFonts w:ascii="Garamond" w:hAnsi="Garamond"/>
              </w:rPr>
              <w:t xml:space="preserve">päivämäärä</w:t>
            </w:r>
            <w:r>
              <w:rPr>
                <w:rFonts w:ascii="Garamond" w:hAnsi="Garamond"/>
              </w:rPr>
              <w:t xml:space="preserve"> Euroopan komissiolle annetun tiedonannon,</w:t>
            </w:r>
          </w:p>
          <w:p w14:paraId="7B89B76D"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p w14:paraId="6D4ECEED"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[ottaa huomioon Euroopan komission......... antaman tiedonannon............... jälkeen esittämän huomautuksen;]</w:t>
            </w:r>
          </w:p>
          <w:p w14:paraId="03653D88"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p w14:paraId="5DF63F6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ottaa huomioon ylimmästä hallintotuomioistuimesta annettujen, 12 päivänä tammikuuta 1973 konsolidoitujen lakien 84 §:n 1 momentin 1 kohdan 2 alakohdan mukaisesti [</w:t>
            </w:r>
            <w:r>
              <w:rPr>
                <w:highlight w:val="yellow"/>
                <w:rFonts w:ascii="Garamond" w:hAnsi="Garamond"/>
              </w:rPr>
              <w:t xml:space="preserve">päivämäärä</w:t>
            </w:r>
            <w:r>
              <w:rPr>
                <w:rFonts w:ascii="Garamond" w:hAnsi="Garamond"/>
              </w:rPr>
              <w:t xml:space="preserve">] annetun ylimmän hallintotuomioistuimen lausunnon </w:t>
            </w:r>
            <w:r>
              <w:rPr>
                <w:highlight w:val="yellow"/>
                <w:rFonts w:ascii="Garamond" w:hAnsi="Garamond"/>
              </w:rPr>
              <w:t xml:space="preserve">...</w:t>
            </w:r>
            <w:r>
              <w:rPr>
                <w:rFonts w:ascii="Garamond" w:hAnsi="Garamond"/>
              </w:rPr>
              <w:t xml:space="preserve">, ja</w:t>
            </w:r>
          </w:p>
        </w:tc>
      </w:tr>
      <w:tr w:rsidR="00293B53" w:rsidRPr="00293B53" w14:paraId="757AB588" w14:textId="77777777" w:rsidTr="00293B53">
        <w:trPr>
          <w:gridAfter w:val="1"/>
          <w:wAfter w:w="18" w:type="dxa"/>
          <w:jc w:val="center"/>
        </w:trPr>
        <w:tc>
          <w:tcPr>
            <w:tcW w:w="4374" w:type="dxa"/>
            <w:gridSpan w:val="2"/>
          </w:tcPr>
          <w:p w14:paraId="0C758169" w14:textId="77777777" w:rsidR="00293B53" w:rsidRPr="004C1DD3" w:rsidRDefault="00293B53" w:rsidP="00293B53">
            <w:pPr>
              <w:tabs>
                <w:tab w:val="left" w:pos="2410"/>
              </w:tabs>
              <w:spacing w:after="0" w:line="240" w:lineRule="auto"/>
              <w:jc w:val="both"/>
              <w:rPr>
                <w:rFonts w:ascii="Garamond" w:eastAsia="Times New Roman" w:hAnsi="Garamond" w:cs="Times New Roman"/>
                <w:lang w:val="fr-FR" w:eastAsia="nl-NL"/>
              </w:rPr>
            </w:pPr>
          </w:p>
        </w:tc>
      </w:tr>
      <w:tr w:rsidR="00293B53" w:rsidRPr="00293B53" w14:paraId="42291B66" w14:textId="77777777" w:rsidTr="00293B53">
        <w:trPr>
          <w:gridAfter w:val="1"/>
          <w:wAfter w:w="18" w:type="dxa"/>
          <w:jc w:val="center"/>
        </w:trPr>
        <w:tc>
          <w:tcPr>
            <w:tcW w:w="4374" w:type="dxa"/>
            <w:gridSpan w:val="2"/>
          </w:tcPr>
          <w:p w14:paraId="7F9326A7" w14:textId="77777777" w:rsidR="00293B53" w:rsidRPr="00293B53" w:rsidRDefault="00293B53" w:rsidP="00293B53">
            <w:pPr>
              <w:tabs>
                <w:tab w:val="left" w:pos="355"/>
                <w:tab w:val="left" w:pos="567"/>
                <w:tab w:val="left" w:pos="2410"/>
              </w:tabs>
              <w:spacing w:after="0" w:line="240" w:lineRule="auto"/>
              <w:jc w:val="both"/>
              <w:rPr>
                <w:rFonts w:ascii="Garamond" w:eastAsia="Times New Roman" w:hAnsi="Garamond" w:cs="Times New Roman"/>
              </w:rPr>
            </w:pPr>
            <w:r>
              <w:rPr>
                <w:rFonts w:ascii="Garamond" w:hAnsi="Garamond"/>
              </w:rPr>
              <w:t xml:space="preserve">kansanterveysministerin ehdotuksesta,</w:t>
            </w:r>
            <w:r>
              <w:rPr>
                <w:rFonts w:ascii="Garamond" w:hAnsi="Garamond"/>
              </w:rPr>
              <w:t xml:space="preserve"> </w:t>
            </w:r>
          </w:p>
        </w:tc>
      </w:tr>
      <w:tr w:rsidR="00293B53" w:rsidRPr="00293B53" w14:paraId="3DC3CC19" w14:textId="77777777" w:rsidTr="00293B53">
        <w:trPr>
          <w:gridAfter w:val="1"/>
          <w:wAfter w:w="18" w:type="dxa"/>
          <w:jc w:val="center"/>
        </w:trPr>
        <w:tc>
          <w:tcPr>
            <w:tcW w:w="4374" w:type="dxa"/>
            <w:gridSpan w:val="2"/>
          </w:tcPr>
          <w:p w14:paraId="3E0CFD5C"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6546F921" w14:textId="77777777" w:rsidTr="00293B53">
        <w:trPr>
          <w:gridAfter w:val="1"/>
          <w:wAfter w:w="18" w:type="dxa"/>
          <w:jc w:val="center"/>
        </w:trPr>
        <w:tc>
          <w:tcPr>
            <w:tcW w:w="4374" w:type="dxa"/>
            <w:gridSpan w:val="2"/>
          </w:tcPr>
          <w:p w14:paraId="1B79A530" w14:textId="77777777" w:rsidR="00293B53" w:rsidRPr="00293B53" w:rsidRDefault="00293B53" w:rsidP="00293B53">
            <w:pPr>
              <w:tabs>
                <w:tab w:val="left" w:pos="355"/>
                <w:tab w:val="left" w:pos="2410"/>
              </w:tabs>
              <w:spacing w:after="0" w:line="240" w:lineRule="auto"/>
              <w:jc w:val="center"/>
              <w:rPr>
                <w:rFonts w:ascii="Garamond" w:eastAsia="Times New Roman" w:hAnsi="Garamond" w:cs="Times New Roman"/>
              </w:rPr>
            </w:pPr>
            <w:r>
              <w:rPr>
                <w:rFonts w:ascii="Garamond" w:hAnsi="Garamond"/>
              </w:rPr>
              <w:t xml:space="preserve">OLEN SÄÄTÄNYT JA SÄÄDÄN SEURAAVAA:</w:t>
            </w:r>
          </w:p>
        </w:tc>
      </w:tr>
      <w:tr w:rsidR="00293B53" w:rsidRPr="00293B53" w14:paraId="554EB2BA" w14:textId="77777777" w:rsidTr="00293B53">
        <w:trPr>
          <w:gridAfter w:val="1"/>
          <w:wAfter w:w="18" w:type="dxa"/>
          <w:jc w:val="center"/>
        </w:trPr>
        <w:tc>
          <w:tcPr>
            <w:tcW w:w="4374" w:type="dxa"/>
            <w:gridSpan w:val="2"/>
          </w:tcPr>
          <w:p w14:paraId="6ED059A0" w14:textId="77777777" w:rsidR="00293B53" w:rsidRPr="00293B53" w:rsidRDefault="00293B53" w:rsidP="00293B53">
            <w:pPr>
              <w:tabs>
                <w:tab w:val="left" w:pos="567"/>
                <w:tab w:val="left" w:pos="2410"/>
              </w:tabs>
              <w:spacing w:after="0" w:line="240" w:lineRule="auto"/>
              <w:jc w:val="center"/>
              <w:rPr>
                <w:rFonts w:ascii="Garamond" w:eastAsia="Times New Roman" w:hAnsi="Garamond" w:cs="Times New Roman"/>
                <w:lang w:eastAsia="nl-NL"/>
              </w:rPr>
            </w:pPr>
          </w:p>
        </w:tc>
      </w:tr>
      <w:tr w:rsidR="00293B53" w:rsidRPr="00293B53" w14:paraId="4971376B" w14:textId="77777777" w:rsidTr="00293B53">
        <w:trPr>
          <w:gridAfter w:val="1"/>
          <w:wAfter w:w="18" w:type="dxa"/>
          <w:jc w:val="center"/>
        </w:trPr>
        <w:tc>
          <w:tcPr>
            <w:tcW w:w="4374" w:type="dxa"/>
            <w:gridSpan w:val="2"/>
          </w:tcPr>
          <w:p w14:paraId="472B68CE" w14:textId="77777777" w:rsidR="00293B53" w:rsidRPr="00293B53" w:rsidRDefault="00293B53" w:rsidP="00293B53">
            <w:pPr>
              <w:tabs>
                <w:tab w:val="left" w:pos="2410"/>
              </w:tabs>
              <w:spacing w:after="0" w:line="240" w:lineRule="auto"/>
              <w:jc w:val="both"/>
              <w:rPr>
                <w:b/>
                <w:bCs/>
                <w:rFonts w:ascii="Garamond" w:eastAsia="Times New Roman" w:hAnsi="Garamond" w:cs="Times New Roman"/>
              </w:rPr>
            </w:pPr>
            <w:r>
              <w:rPr>
                <w:b/>
                <w:rFonts w:ascii="Garamond" w:hAnsi="Garamond"/>
              </w:rPr>
              <w:t xml:space="preserve">1 §</w:t>
            </w:r>
            <w:r>
              <w:rPr>
                <w:rFonts w:ascii="Garamond" w:hAnsi="Garamond"/>
              </w:rPr>
              <w:t xml:space="preserve"> </w:t>
            </w:r>
            <w:r>
              <w:rPr>
                <w:b/>
                <w:rFonts w:ascii="Garamond" w:hAnsi="Garamond"/>
              </w:rPr>
              <w:t xml:space="preserve">Määritelmät</w:t>
            </w:r>
          </w:p>
          <w:p w14:paraId="67607B8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Tässä määräyksessä käytetään seuraavia määritelmiä:</w:t>
            </w:r>
          </w:p>
          <w:p w14:paraId="7B6EE77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(1) nikotiinipussit:</w:t>
            </w:r>
            <w:r>
              <w:rPr>
                <w:sz w:val="20"/>
                <w:rFonts w:ascii="Times New Roman" w:hAnsi="Times New Roman"/>
              </w:rPr>
              <w:t xml:space="preserve"> </w:t>
            </w:r>
            <w:r>
              <w:rPr>
                <w:rFonts w:ascii="Garamond" w:hAnsi="Garamond"/>
              </w:rPr>
              <w:t xml:space="preserve">kaikki suussa käytettäväksi tarkoitetut tuotteet, jotka koostuvat kokonaan tai osittain synteettisestä tai luonnollisesta nikotiinista jauheena, hiukkasina tai tahnana tai niiden yhdistelmänä, erityisesti annospusseissa tai huokoisissa annospusseissa olevat tuotteet, jotka eivät sisällä tupakkaa;</w:t>
            </w:r>
          </w:p>
          <w:p w14:paraId="68B1C33F" w14:textId="42A6D7BF"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(2) kannabinoidipussi: kaikki suussa käytettäväksi tarkoitetut tuotteet, jotka koostuvat kannabinoidista tai kannabinoideista tai niiden johdannaisista tai sisältävät niitä jauheena, hiukkasina tai tahnana tai niiden yhdistelmänä, mukaan ukien annospusseissa tai huokoisissa pusseissa;</w:t>
            </w:r>
          </w:p>
          <w:p w14:paraId="069C48FE"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(3) markkinoille saattaminen: tuotteiden asettaminen niiden valmistuspaikasta riippumatta kuluttajien saataville Belgiassa joko maksua vastaan tai muuten, myös etämyynnillä;</w:t>
            </w:r>
          </w:p>
          <w:p w14:paraId="34A8EA7A"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(4) valmistaja: luonnollinen henkilö tai oikeushenkilö, joka valmistaa tuotetta tai suunnitteluttaa tai valmistuttaa tuotetta ja joka markkinoi tuotetta omalla nimellään tai tavaramerkillään;</w:t>
            </w:r>
          </w:p>
          <w:p w14:paraId="4F38189F"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(5) Belgiaan sijoittautunut tuoja: Belgian alueelle tuotujen tuotteiden omistaja tai haltija;</w:t>
            </w:r>
          </w:p>
          <w:p w14:paraId="36155E7C"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(6)</w:t>
            </w:r>
            <w:r>
              <w:rPr>
                <w:sz w:val="20"/>
                <w:rFonts w:ascii="Times New Roman" w:hAnsi="Times New Roman"/>
              </w:rPr>
              <w:t xml:space="preserve"> </w:t>
            </w:r>
            <w:r>
              <w:rPr>
                <w:rFonts w:ascii="Garamond" w:hAnsi="Garamond"/>
              </w:rPr>
              <w:t xml:space="preserve">vähittäismyyjä:</w:t>
            </w:r>
            <w:r>
              <w:rPr>
                <w:sz w:val="20"/>
                <w:rFonts w:ascii="Times New Roman" w:hAnsi="Times New Roman"/>
              </w:rPr>
              <w:t xml:space="preserve"> </w:t>
            </w:r>
            <w:r>
              <w:rPr>
                <w:rFonts w:ascii="Garamond" w:hAnsi="Garamond"/>
              </w:rPr>
              <w:t xml:space="preserve">myyntipiste, jossa tuotteet saatetaan markkinoille, mukaan lukien luonnollisen henkilön toimesta.</w:t>
            </w:r>
          </w:p>
        </w:tc>
      </w:tr>
      <w:tr w:rsidR="00293B53" w:rsidRPr="00293B53" w14:paraId="75877B49" w14:textId="77777777" w:rsidTr="00293B53">
        <w:trPr>
          <w:gridAfter w:val="1"/>
          <w:wAfter w:w="18" w:type="dxa"/>
          <w:trHeight w:val="331"/>
          <w:jc w:val="center"/>
        </w:trPr>
        <w:tc>
          <w:tcPr>
            <w:tcW w:w="4374" w:type="dxa"/>
            <w:gridSpan w:val="2"/>
          </w:tcPr>
          <w:p w14:paraId="1767DBFD"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1DC59148" w14:textId="77777777" w:rsidTr="00293B53">
        <w:trPr>
          <w:gridAfter w:val="1"/>
          <w:wAfter w:w="18" w:type="dxa"/>
          <w:trHeight w:val="322"/>
          <w:jc w:val="center"/>
        </w:trPr>
        <w:tc>
          <w:tcPr>
            <w:tcW w:w="4374" w:type="dxa"/>
            <w:gridSpan w:val="2"/>
          </w:tcPr>
          <w:p w14:paraId="69918B7D"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2 §</w:t>
            </w:r>
            <w:r>
              <w:rPr>
                <w:b/>
                <w:rFonts w:ascii="Garamond" w:hAnsi="Garamond"/>
              </w:rPr>
              <w:t xml:space="preserve">  </w:t>
            </w:r>
            <w:r>
              <w:rPr>
                <w:b/>
                <w:rFonts w:ascii="Garamond" w:hAnsi="Garamond"/>
              </w:rPr>
              <w:t xml:space="preserve">Kielto</w:t>
            </w:r>
          </w:p>
          <w:p w14:paraId="0FA130E0"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Nikotiinipusseja ja kannabinoidipusseja ei saa saattaa markkinoille.</w:t>
            </w:r>
          </w:p>
          <w:p w14:paraId="35DCBB85"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 </w:t>
            </w:r>
          </w:p>
        </w:tc>
      </w:tr>
      <w:tr w:rsidR="00293B53" w:rsidRPr="00293B53" w14:paraId="5552DB58" w14:textId="77777777" w:rsidTr="00293B53">
        <w:trPr>
          <w:gridAfter w:val="1"/>
          <w:wAfter w:w="18" w:type="dxa"/>
          <w:trHeight w:val="322"/>
          <w:jc w:val="center"/>
        </w:trPr>
        <w:tc>
          <w:tcPr>
            <w:tcW w:w="4374" w:type="dxa"/>
            <w:gridSpan w:val="2"/>
          </w:tcPr>
          <w:p w14:paraId="3F633FB0"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22918896" w14:textId="77777777" w:rsidTr="00293B53">
        <w:trPr>
          <w:gridAfter w:val="1"/>
          <w:wAfter w:w="18" w:type="dxa"/>
          <w:trHeight w:val="322"/>
          <w:jc w:val="center"/>
        </w:trPr>
        <w:tc>
          <w:tcPr>
            <w:tcW w:w="4374" w:type="dxa"/>
            <w:gridSpan w:val="2"/>
          </w:tcPr>
          <w:p w14:paraId="66B5A9BD"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3 §</w:t>
            </w:r>
            <w:r>
              <w:rPr>
                <w:b/>
                <w:rFonts w:ascii="Garamond" w:hAnsi="Garamond"/>
              </w:rPr>
              <w:t xml:space="preserve"> </w:t>
            </w:r>
            <w:r>
              <w:rPr>
                <w:b/>
                <w:rFonts w:ascii="Garamond" w:hAnsi="Garamond"/>
              </w:rPr>
              <w:t xml:space="preserve">Rikosoikeudelliset seuraamukset</w:t>
            </w:r>
          </w:p>
          <w:p w14:paraId="623DB1A4"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1 momentti</w:t>
            </w:r>
            <w:r>
              <w:rPr>
                <w:b/>
                <w:rFonts w:ascii="Garamond" w:hAnsi="Garamond"/>
              </w:rPr>
              <w:t xml:space="preserve"> </w:t>
            </w:r>
            <w:r>
              <w:rPr>
                <w:rFonts w:ascii="Garamond" w:hAnsi="Garamond"/>
              </w:rPr>
              <w:t xml:space="preserve">Tämän määräyksen 2 §:ssä lueteltuja tuotteita</w:t>
            </w:r>
            <w:r>
              <w:rPr>
                <w:sz w:val="20"/>
                <w:rFonts w:ascii="Times New Roman" w:hAnsi="Times New Roman"/>
              </w:rPr>
              <w:t xml:space="preserve"> </w:t>
            </w:r>
            <w:r>
              <w:rPr>
                <w:rFonts w:ascii="Garamond" w:hAnsi="Garamond"/>
              </w:rPr>
              <w:t xml:space="preserve">on pidettävä kuluttajien terveyden suojelemisesta elintarvikkeiden ja muiden tuotteiden osalta 24 päivänä tammikuuta 1977 annetun lain 18 §:ssä tarkoitettuina haitallisina tuotteina.</w:t>
            </w:r>
          </w:p>
          <w:p w14:paraId="73D4D5B0"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2 momentti</w:t>
            </w:r>
            <w:r>
              <w:rPr>
                <w:rFonts w:ascii="Garamond" w:hAnsi="Garamond"/>
              </w:rPr>
              <w:t xml:space="preserve"> </w:t>
            </w:r>
            <w:r>
              <w:rPr>
                <w:rFonts w:ascii="Garamond" w:hAnsi="Garamond"/>
              </w:rPr>
              <w:t xml:space="preserve">Tämän määräyksen rikkomuksia</w:t>
            </w:r>
            <w:r>
              <w:rPr>
                <w:sz w:val="20"/>
                <w:rFonts w:ascii="Times New Roman" w:hAnsi="Times New Roman"/>
              </w:rPr>
              <w:t xml:space="preserve"> </w:t>
            </w:r>
            <w:r>
              <w:rPr>
                <w:rFonts w:ascii="Garamond" w:hAnsi="Garamond"/>
              </w:rPr>
              <w:t xml:space="preserve">koskeva valvonta, havaitseminen ja syytetoimet toteutetaan edellä mainitun 24 päivänä tammikuuta 1977 annetun lain säännösten mukaisesti.</w:t>
            </w:r>
          </w:p>
          <w:p w14:paraId="4716BD78"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3 momentti</w:t>
            </w:r>
            <w:r>
              <w:rPr>
                <w:rFonts w:ascii="Garamond" w:hAnsi="Garamond"/>
              </w:rPr>
              <w:t xml:space="preserve"> </w:t>
            </w:r>
            <w:r>
              <w:rPr>
                <w:rFonts w:ascii="Garamond" w:hAnsi="Garamond"/>
              </w:rPr>
              <w:t xml:space="preserve">Kuluttajien terveyden suojelemisesta elintarvikkeiden ja muiden tuotteiden osalta 24 päivänä tammikuuta 1977 annetun lain 13 §:ssä tarkoitetuista seuraamuksista määrätään seuraamuksia, jos ne rikkovat tämän määräyksen 2 §:ssä säädettyä kieltoa.</w:t>
            </w:r>
          </w:p>
          <w:p w14:paraId="4E6F7A3C"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rFonts w:ascii="Garamond" w:hAnsi="Garamond"/>
              </w:rPr>
              <w:t xml:space="preserve">4 momentti</w:t>
            </w:r>
            <w:r>
              <w:rPr>
                <w:b/>
                <w:rFonts w:ascii="Garamond" w:hAnsi="Garamond"/>
              </w:rPr>
              <w:t xml:space="preserve"> </w:t>
            </w:r>
            <w:r>
              <w:rPr>
                <w:rFonts w:ascii="Garamond" w:hAnsi="Garamond"/>
              </w:rPr>
              <w:t xml:space="preserve">Valmistajaa, maahantuojaa Belgiassa ja vähittäismyyjää voidaan pitää vastuussa tämän määräyksen 2 §:n noudattamatta jättämisestä.</w:t>
            </w:r>
          </w:p>
        </w:tc>
      </w:tr>
      <w:tr w:rsidR="00293B53" w:rsidRPr="00293B53" w14:paraId="5529DEA8" w14:textId="77777777" w:rsidTr="00293B53">
        <w:trPr>
          <w:gridAfter w:val="1"/>
          <w:wAfter w:w="18" w:type="dxa"/>
          <w:trHeight w:val="322"/>
          <w:jc w:val="center"/>
        </w:trPr>
        <w:tc>
          <w:tcPr>
            <w:tcW w:w="4374" w:type="dxa"/>
            <w:gridSpan w:val="2"/>
          </w:tcPr>
          <w:p w14:paraId="4431B98F"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395EDD39" w14:textId="77777777" w:rsidTr="00293B53">
        <w:trPr>
          <w:gridAfter w:val="1"/>
          <w:wAfter w:w="18" w:type="dxa"/>
          <w:trHeight w:val="322"/>
          <w:jc w:val="center"/>
        </w:trPr>
        <w:tc>
          <w:tcPr>
            <w:tcW w:w="4374" w:type="dxa"/>
            <w:gridSpan w:val="2"/>
          </w:tcPr>
          <w:p w14:paraId="424FB9C2"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4 §</w:t>
            </w:r>
            <w:r>
              <w:rPr>
                <w:b/>
                <w:rFonts w:ascii="Garamond" w:hAnsi="Garamond"/>
              </w:rPr>
              <w:t xml:space="preserve"> </w:t>
            </w:r>
            <w:r>
              <w:rPr>
                <w:b/>
                <w:rFonts w:ascii="Garamond" w:hAnsi="Garamond"/>
              </w:rPr>
              <w:t xml:space="preserve">Voimaantulo</w:t>
            </w:r>
          </w:p>
          <w:p w14:paraId="07962271"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rFonts w:ascii="Garamond" w:hAnsi="Garamond"/>
              </w:rPr>
              <w:t xml:space="preserve">Tämä määräys tulee voimaan kolmen kuukauden kuluttua sen julkaisemisesta Belgian Monitorissa, lukuun ottamatta vähittäismyyjää, jonka osalta tämä määräys tulee voimaan kuuden kuukauden kuluttua sen julkaisemisesta Belgian Monitorissa.</w:t>
            </w:r>
          </w:p>
        </w:tc>
      </w:tr>
      <w:tr w:rsidR="00293B53" w:rsidRPr="00293B53" w14:paraId="75DA5B78" w14:textId="77777777" w:rsidTr="00293B53">
        <w:trPr>
          <w:gridAfter w:val="1"/>
          <w:wAfter w:w="18" w:type="dxa"/>
          <w:trHeight w:val="322"/>
          <w:jc w:val="center"/>
        </w:trPr>
        <w:tc>
          <w:tcPr>
            <w:tcW w:w="4374" w:type="dxa"/>
            <w:gridSpan w:val="2"/>
          </w:tcPr>
          <w:p w14:paraId="0759B75E" w14:textId="77777777" w:rsidR="00293B53" w:rsidRPr="004C1DD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ab/>
            </w:r>
          </w:p>
        </w:tc>
      </w:tr>
      <w:tr w:rsidR="00293B53" w:rsidRPr="00293B53" w14:paraId="14538C3B" w14:textId="77777777" w:rsidTr="00293B53">
        <w:trPr>
          <w:gridBefore w:val="1"/>
          <w:wBefore w:w="18" w:type="dxa"/>
          <w:trHeight w:val="322"/>
          <w:jc w:val="center"/>
        </w:trPr>
        <w:tc>
          <w:tcPr>
            <w:tcW w:w="4374" w:type="dxa"/>
            <w:gridSpan w:val="2"/>
          </w:tcPr>
          <w:p w14:paraId="54F409E5"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5 §</w:t>
            </w:r>
            <w:r>
              <w:rPr>
                <w:b/>
                <w:rFonts w:ascii="Garamond" w:hAnsi="Garamond"/>
              </w:rPr>
              <w:t xml:space="preserve"> </w:t>
            </w:r>
            <w:r>
              <w:rPr>
                <w:b/>
                <w:rFonts w:ascii="Garamond" w:hAnsi="Garamond"/>
              </w:rPr>
              <w:t xml:space="preserve">Loppusäännös</w:t>
            </w:r>
            <w:r>
              <w:rPr>
                <w:b/>
                <w:rFonts w:ascii="Garamond" w:hAnsi="Garamond"/>
              </w:rPr>
              <w:t xml:space="preserve"> </w:t>
            </w:r>
          </w:p>
          <w:p w14:paraId="312C8769"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Kansanterveysministeri vastaa tämän määräyksen täytäntöönpanosta.</w:t>
            </w:r>
            <w:r>
              <w:rPr>
                <w:rFonts w:ascii="Garamond" w:hAnsi="Garamond"/>
              </w:rPr>
              <w:t xml:space="preserve"> </w:t>
            </w:r>
          </w:p>
        </w:tc>
      </w:tr>
      <w:tr w:rsidR="00293B53" w:rsidRPr="00293B53" w14:paraId="1A5B13FB" w14:textId="77777777" w:rsidTr="00293B53">
        <w:trPr>
          <w:gridBefore w:val="1"/>
          <w:wBefore w:w="18" w:type="dxa"/>
          <w:trHeight w:val="322"/>
          <w:jc w:val="center"/>
        </w:trPr>
        <w:tc>
          <w:tcPr>
            <w:tcW w:w="4374" w:type="dxa"/>
            <w:gridSpan w:val="2"/>
          </w:tcPr>
          <w:p w14:paraId="6437790A"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3F2B6B05"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7FB5785A"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FD71738"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29A2A95E"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04855E3"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5213BE08"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5A6E0734"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4A174EF9"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7B3D94AC"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047D921C"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05AE6F4" w14:textId="77777777" w:rsidR="00293B53" w:rsidRPr="00293B53" w:rsidRDefault="00293B53" w:rsidP="00293B53">
            <w:pPr>
              <w:tabs>
                <w:tab w:val="left" w:pos="2410"/>
              </w:tabs>
              <w:spacing w:after="0" w:line="240" w:lineRule="auto"/>
              <w:jc w:val="center"/>
              <w:rPr>
                <w:b/>
                <w:rFonts w:ascii="Garamond" w:eastAsia="Times New Roman" w:hAnsi="Garamond" w:cs="Times New Roman"/>
              </w:rPr>
            </w:pPr>
            <w:r>
              <w:rPr>
                <w:rFonts w:ascii="Garamond" w:hAnsi="Garamond"/>
              </w:rPr>
              <w:t xml:space="preserve">Kuninkaan puolesta:</w:t>
            </w:r>
          </w:p>
        </w:tc>
      </w:tr>
      <w:tr w:rsidR="00293B53" w:rsidRPr="00293B53" w14:paraId="126B4253" w14:textId="77777777" w:rsidTr="00293B53">
        <w:trPr>
          <w:gridBefore w:val="1"/>
          <w:wBefore w:w="18" w:type="dxa"/>
          <w:trHeight w:val="322"/>
          <w:jc w:val="center"/>
        </w:trPr>
        <w:tc>
          <w:tcPr>
            <w:tcW w:w="4374" w:type="dxa"/>
            <w:gridSpan w:val="2"/>
          </w:tcPr>
          <w:p w14:paraId="331A48E5" w14:textId="77777777" w:rsidR="00293B53" w:rsidRPr="00293B53" w:rsidRDefault="00293B53" w:rsidP="00293B53">
            <w:pPr>
              <w:tabs>
                <w:tab w:val="left" w:pos="2410"/>
              </w:tabs>
              <w:spacing w:after="0" w:line="240" w:lineRule="auto"/>
              <w:jc w:val="center"/>
              <w:rPr>
                <w:rFonts w:ascii="Garamond" w:eastAsia="Times New Roman" w:hAnsi="Garamond" w:cs="Times New Roman"/>
                <w:b/>
                <w:lang w:val="fr-FR" w:eastAsia="nl-NL"/>
              </w:rPr>
            </w:pPr>
          </w:p>
        </w:tc>
      </w:tr>
      <w:tr w:rsidR="00293B53" w:rsidRPr="00293B53" w14:paraId="373FB4F2" w14:textId="77777777" w:rsidTr="00293B53">
        <w:trPr>
          <w:gridBefore w:val="1"/>
          <w:wBefore w:w="18" w:type="dxa"/>
          <w:trHeight w:val="322"/>
          <w:jc w:val="center"/>
        </w:trPr>
        <w:tc>
          <w:tcPr>
            <w:tcW w:w="4374" w:type="dxa"/>
            <w:gridSpan w:val="2"/>
          </w:tcPr>
          <w:p w14:paraId="7B423D89" w14:textId="77777777" w:rsidR="00293B53" w:rsidRPr="00293B53" w:rsidRDefault="00293B53" w:rsidP="00293B53">
            <w:pPr>
              <w:tabs>
                <w:tab w:val="left" w:pos="2410"/>
              </w:tabs>
              <w:spacing w:after="0" w:line="240" w:lineRule="auto"/>
              <w:jc w:val="center"/>
              <w:rPr>
                <w:b/>
                <w:rFonts w:ascii="Garamond" w:eastAsia="Times New Roman" w:hAnsi="Garamond" w:cs="Times New Roman"/>
              </w:rPr>
            </w:pPr>
            <w:r>
              <w:rPr>
                <w:sz w:val="20"/>
                <w:rFonts w:ascii="Garamond" w:hAnsi="Garamond"/>
              </w:rPr>
              <w:t xml:space="preserve">kansanterveysministeri</w:t>
            </w:r>
          </w:p>
        </w:tc>
      </w:tr>
      <w:tr w:rsidR="00293B53" w:rsidRPr="00293B53" w14:paraId="26504951" w14:textId="77777777" w:rsidTr="00293B53">
        <w:trPr>
          <w:gridBefore w:val="1"/>
          <w:wBefore w:w="18" w:type="dxa"/>
          <w:trHeight w:val="322"/>
          <w:jc w:val="center"/>
        </w:trPr>
        <w:tc>
          <w:tcPr>
            <w:tcW w:w="4374" w:type="dxa"/>
            <w:gridSpan w:val="2"/>
          </w:tcPr>
          <w:p w14:paraId="74A62E6F" w14:textId="77777777" w:rsidR="00293B53" w:rsidRPr="00293B53" w:rsidRDefault="00293B53" w:rsidP="00293B53">
            <w:pPr>
              <w:tabs>
                <w:tab w:val="left" w:pos="2410"/>
              </w:tabs>
              <w:spacing w:after="0" w:line="240" w:lineRule="auto"/>
              <w:jc w:val="center"/>
              <w:rPr>
                <w:rFonts w:ascii="Garamond" w:eastAsia="Times New Roman" w:hAnsi="Garamond" w:cs="Times New Roman"/>
                <w:sz w:val="20"/>
                <w:szCs w:val="20"/>
                <w:lang w:eastAsia="nl-NL"/>
              </w:rPr>
            </w:pPr>
          </w:p>
        </w:tc>
      </w:tr>
      <w:tr w:rsidR="00293B53" w:rsidRPr="00293B53" w14:paraId="7A28C210" w14:textId="77777777" w:rsidTr="00293B53">
        <w:trPr>
          <w:gridBefore w:val="1"/>
          <w:wBefore w:w="18" w:type="dxa"/>
          <w:trHeight w:val="322"/>
          <w:jc w:val="center"/>
        </w:trPr>
        <w:tc>
          <w:tcPr>
            <w:tcW w:w="4374" w:type="dxa"/>
            <w:gridSpan w:val="2"/>
          </w:tcPr>
          <w:p w14:paraId="71197EF7" w14:textId="3F909246" w:rsidR="00293B53" w:rsidRPr="00293B53" w:rsidRDefault="00293B53" w:rsidP="00293B53">
            <w:pPr>
              <w:tabs>
                <w:tab w:val="left" w:pos="2410"/>
              </w:tabs>
              <w:spacing w:after="0" w:line="240" w:lineRule="auto"/>
              <w:jc w:val="center"/>
              <w:rPr>
                <w:sz w:val="20"/>
                <w:szCs w:val="20"/>
                <w:rFonts w:ascii="Garamond" w:eastAsia="Times New Roman" w:hAnsi="Garamond" w:cs="Times New Roman"/>
              </w:rPr>
            </w:pPr>
            <w:r>
              <w:rPr>
                <w:sz w:val="20"/>
                <w:rFonts w:ascii="Garamond" w:hAnsi="Garamond"/>
              </w:rPr>
              <w:t xml:space="preserve">Frank VANDENBROUCKE</w:t>
            </w:r>
          </w:p>
        </w:tc>
      </w:tr>
    </w:tbl>
    <w:p w14:paraId="2EF75113" w14:textId="77777777" w:rsidR="00493F25" w:rsidRPr="00293B53" w:rsidRDefault="00493F25">
      <w:pPr>
        <w:rPr>
          <w:lang w:val="fr-FR"/>
        </w:rPr>
      </w:pPr>
    </w:p>
    <w:sectPr w:rsidR="00493F25" w:rsidRPr="00293B53"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53"/>
    <w:rsid w:val="00293B53"/>
    <w:rsid w:val="00493F25"/>
    <w:rsid w:val="004C1DD3"/>
    <w:rsid w:val="007A2CB6"/>
    <w:rsid w:val="00CD02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A695"/>
  <w15:chartTrackingRefBased/>
  <w15:docId w15:val="{8D0CE7A6-4027-4852-96A3-1A6BF3AC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Dimitris Dimitriadis</cp:lastModifiedBy>
  <cp:revision>4</cp:revision>
  <dcterms:created xsi:type="dcterms:W3CDTF">2022-06-15T09:12:00Z</dcterms:created>
  <dcterms:modified xsi:type="dcterms:W3CDTF">2022-06-15T09:57:00Z</dcterms:modified>
</cp:coreProperties>
</file>