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5F5078" w14:paraId="2EF49194" w14:textId="77777777">
        <w:trPr>
          <w:cantSplit/>
        </w:trPr>
        <w:tc>
          <w:tcPr>
            <w:tcW w:w="3982" w:type="dxa"/>
            <w:gridSpan w:val="3"/>
          </w:tcPr>
          <w:p w14:paraId="142A1F04" w14:textId="77777777" w:rsidR="005F5078" w:rsidRDefault="00731862">
            <w:pPr>
              <w:pStyle w:val="SNREPUBLIQUE"/>
              <w:widowControl w:val="0"/>
            </w:pPr>
            <w:r>
              <w:t xml:space="preserve">REPUBLIKA FRANCUSKA</w:t>
            </w:r>
          </w:p>
        </w:tc>
      </w:tr>
      <w:tr w:rsidR="005F5078" w14:paraId="327BF3FE" w14:textId="77777777">
        <w:trPr>
          <w:cantSplit/>
          <w:trHeight w:hRule="exact" w:val="113"/>
        </w:trPr>
        <w:tc>
          <w:tcPr>
            <w:tcW w:w="1527" w:type="dxa"/>
          </w:tcPr>
          <w:p w14:paraId="7781AC49" w14:textId="77777777" w:rsidR="005F5078" w:rsidRDefault="005F5078">
            <w:pPr>
              <w:widowControl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44BB5E56" w14:textId="77777777" w:rsidR="005F5078" w:rsidRDefault="005F5078">
            <w:pPr>
              <w:widowControl w:val="0"/>
            </w:pPr>
          </w:p>
        </w:tc>
        <w:tc>
          <w:tcPr>
            <w:tcW w:w="1487" w:type="dxa"/>
          </w:tcPr>
          <w:p w14:paraId="631EDFC8" w14:textId="77777777" w:rsidR="005F5078" w:rsidRDefault="005F5078">
            <w:pPr>
              <w:widowControl w:val="0"/>
            </w:pPr>
          </w:p>
        </w:tc>
      </w:tr>
      <w:tr w:rsidR="005F5078" w14:paraId="7C614A16" w14:textId="77777777">
        <w:trPr>
          <w:cantSplit/>
        </w:trPr>
        <w:tc>
          <w:tcPr>
            <w:tcW w:w="3982" w:type="dxa"/>
            <w:gridSpan w:val="3"/>
          </w:tcPr>
          <w:p w14:paraId="584C262C" w14:textId="77777777" w:rsidR="005F5078" w:rsidRDefault="00731862" w:rsidP="009154B2">
            <w:pPr>
              <w:pStyle w:val="SNTimbre"/>
            </w:pPr>
            <w:r>
              <w:t xml:space="preserve">Ministerstwo Gospodarki, Finansów oraz Suwerenności Przemysłowej i Cyfrowej</w:t>
            </w:r>
          </w:p>
        </w:tc>
      </w:tr>
      <w:tr w:rsidR="005F5078" w14:paraId="72A0FA66" w14:textId="77777777">
        <w:trPr>
          <w:cantSplit/>
          <w:trHeight w:hRule="exact" w:val="227"/>
        </w:trPr>
        <w:tc>
          <w:tcPr>
            <w:tcW w:w="1527" w:type="dxa"/>
          </w:tcPr>
          <w:p w14:paraId="3B64219B" w14:textId="77777777" w:rsidR="005F5078" w:rsidRDefault="005F5078">
            <w:pPr>
              <w:widowControl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0B6A1BA4" w14:textId="77777777" w:rsidR="005F5078" w:rsidRDefault="005F5078">
            <w:pPr>
              <w:widowControl w:val="0"/>
            </w:pPr>
          </w:p>
        </w:tc>
        <w:tc>
          <w:tcPr>
            <w:tcW w:w="1487" w:type="dxa"/>
          </w:tcPr>
          <w:p w14:paraId="00B31E60" w14:textId="77777777" w:rsidR="005F5078" w:rsidRDefault="005F5078">
            <w:pPr>
              <w:widowControl w:val="0"/>
            </w:pPr>
          </w:p>
        </w:tc>
      </w:tr>
      <w:tr w:rsidR="005F5078" w14:paraId="4D905DBE" w14:textId="77777777">
        <w:trPr>
          <w:cantSplit/>
          <w:trHeight w:hRule="exact" w:val="227"/>
        </w:trPr>
        <w:tc>
          <w:tcPr>
            <w:tcW w:w="1527" w:type="dxa"/>
          </w:tcPr>
          <w:p w14:paraId="24B31DBC" w14:textId="77777777" w:rsidR="005F5078" w:rsidRDefault="005F5078">
            <w:pPr>
              <w:widowControl w:val="0"/>
            </w:pPr>
          </w:p>
        </w:tc>
        <w:tc>
          <w:tcPr>
            <w:tcW w:w="968" w:type="dxa"/>
          </w:tcPr>
          <w:p w14:paraId="06886BEC" w14:textId="77777777" w:rsidR="005F5078" w:rsidRDefault="005F5078">
            <w:pPr>
              <w:widowControl w:val="0"/>
            </w:pPr>
          </w:p>
        </w:tc>
        <w:tc>
          <w:tcPr>
            <w:tcW w:w="1487" w:type="dxa"/>
          </w:tcPr>
          <w:p w14:paraId="3AA1002C" w14:textId="77777777" w:rsidR="005F5078" w:rsidRDefault="005F5078">
            <w:pPr>
              <w:widowControl w:val="0"/>
            </w:pPr>
          </w:p>
        </w:tc>
      </w:tr>
    </w:tbl>
    <w:p w14:paraId="36691FFC" w14:textId="77777777" w:rsidR="005F5078" w:rsidRDefault="00731862">
      <w:pPr>
        <w:pStyle w:val="SNNature"/>
      </w:pPr>
      <w:r>
        <w:t xml:space="preserve">Dekret nr                           z dnia</w:t>
      </w:r>
    </w:p>
    <w:p w14:paraId="79FCD7D7" w14:textId="20F1CEA7" w:rsidR="005F5078" w:rsidRDefault="001C1031">
      <w:pPr>
        <w:pStyle w:val="SNtitre"/>
      </w:pPr>
      <w:r>
        <w:t xml:space="preserve">w sprawie przyjęcia wykazu produktów objętych zakazem sprzedaży luzem ze względów związanych ze zdrowiem publicznym</w:t>
      </w:r>
    </w:p>
    <w:p w14:paraId="73F15661" w14:textId="77777777" w:rsidR="005F5078" w:rsidRDefault="00731862">
      <w:pPr>
        <w:pStyle w:val="SNNORCentr"/>
      </w:pPr>
      <w:r>
        <w:t xml:space="preserve">NR REF.:</w:t>
      </w:r>
      <w:r>
        <w:t xml:space="preserve"> </w:t>
      </w:r>
      <w:r>
        <w:t xml:space="preserve">[…]</w:t>
      </w:r>
    </w:p>
    <w:p w14:paraId="0C8BAA12" w14:textId="77777777" w:rsidR="005F5078" w:rsidRDefault="00731862">
      <w:pPr>
        <w:pStyle w:val="SNVisa"/>
        <w:jc w:val="both"/>
        <w:rPr>
          <w:i/>
        </w:rPr>
      </w:pPr>
      <w:r>
        <w:rPr>
          <w:b/>
          <w:i/>
        </w:rPr>
        <w:t xml:space="preserve">Grupa docelowa</w:t>
      </w:r>
      <w:r>
        <w:t xml:space="preserve">:</w:t>
      </w:r>
      <w:r>
        <w:t xml:space="preserve"> </w:t>
      </w:r>
      <w:r>
        <w:rPr>
          <w:i/>
        </w:rPr>
        <w:t xml:space="preserve">przyjazne dla konsumentów punkty sprzedaży detalicznej, które prawdopodobnie będą sprzedawać luzem, w tym sprzedaż na odległość i mobilne punkty sprzedaży.</w:t>
      </w:r>
    </w:p>
    <w:p w14:paraId="65083E7E" w14:textId="77777777" w:rsidR="005F5078" w:rsidRDefault="00731862">
      <w:pPr>
        <w:pStyle w:val="SNVisa"/>
        <w:jc w:val="both"/>
        <w:rPr>
          <w:i/>
        </w:rPr>
      </w:pPr>
      <w:r>
        <w:rPr>
          <w:b/>
          <w:i/>
        </w:rPr>
        <w:t xml:space="preserve">Cel</w:t>
      </w:r>
      <w:r>
        <w:t xml:space="preserve">:</w:t>
      </w:r>
      <w:r>
        <w:t xml:space="preserve"> </w:t>
      </w:r>
      <w:r>
        <w:rPr>
          <w:i/>
        </w:rPr>
        <w:t xml:space="preserve">wykaz produktów, których sprzedaż luzem jest dozwolona pod pewnymi warunkami lub jest zabroniona ze względów zdrowia publicznego</w:t>
      </w:r>
    </w:p>
    <w:p w14:paraId="08524C55" w14:textId="77777777" w:rsidR="005F5078" w:rsidRDefault="00731862">
      <w:pPr>
        <w:pStyle w:val="SNVisa"/>
        <w:jc w:val="both"/>
      </w:pPr>
      <w:r>
        <w:rPr>
          <w:b/>
          <w:i/>
        </w:rPr>
        <w:t xml:space="preserve">Wejście w życie</w:t>
      </w:r>
      <w:r>
        <w:t xml:space="preserve">:</w:t>
      </w:r>
      <w:r>
        <w:t xml:space="preserve"> </w:t>
      </w:r>
      <w:r>
        <w:rPr>
          <w:i/>
        </w:rPr>
        <w:t xml:space="preserve">dekret wejdzie w życie z dniem</w:t>
      </w:r>
      <w:r>
        <w:t xml:space="preserve"> </w:t>
      </w:r>
    </w:p>
    <w:p w14:paraId="58470336" w14:textId="460E7DB9" w:rsidR="005F5078" w:rsidRDefault="00731862">
      <w:pPr>
        <w:pStyle w:val="SNVisa"/>
        <w:jc w:val="both"/>
        <w:rPr>
          <w:i/>
        </w:rPr>
      </w:pPr>
      <w:r>
        <w:rPr>
          <w:b/>
        </w:rPr>
        <w:t xml:space="preserve">Uwaga</w:t>
      </w:r>
      <w:r>
        <w:t xml:space="preserve">:</w:t>
      </w:r>
      <w:r>
        <w:t xml:space="preserve"> </w:t>
      </w:r>
      <w:r>
        <w:rPr>
          <w:i/>
        </w:rPr>
        <w:t xml:space="preserve">dekret określa, w celu doprecyzowania standardu i jego czytelności, szereg definicji.</w:t>
      </w:r>
      <w:r>
        <w:rPr>
          <w:i/>
        </w:rPr>
        <w:t xml:space="preserve"> </w:t>
      </w:r>
      <w:r>
        <w:rPr>
          <w:i/>
        </w:rPr>
        <w:t xml:space="preserve">Przewiduje on wykaz produktów, których sprzedaż luzem jest dozwolona tylko pod pewnymi warunkami lub jest zabroniona ze względów bezpieczeństwa lub zdrowia publicznego, z uwzględnieniem obowiązujących przepisów zakazujących sprzedaży luzem, przepisów prawa Unii, w szczególności przepisów dotyczących higieny, uniemożliwiających sprzedaż luzem, a także zaleceń Narodowej Agencji ds. Żywności, Środowiska oraz Bezpieczeństwa i Higieny Pracy zawartych w nocie dotyczącej wsparcia naukowego i technicznego z dnia 15 listopada 2021 r.</w:t>
      </w:r>
      <w:r>
        <w:rPr>
          <w:i/>
        </w:rPr>
        <w:t xml:space="preserve"> </w:t>
      </w:r>
    </w:p>
    <w:p w14:paraId="37532082" w14:textId="1AA39CF8" w:rsidR="005F5078" w:rsidRDefault="00731862">
      <w:pPr>
        <w:pStyle w:val="SNVisa"/>
        <w:jc w:val="both"/>
        <w:rPr>
          <w:i/>
        </w:rPr>
      </w:pPr>
      <w:r>
        <w:rPr>
          <w:i/>
        </w:rPr>
        <w:t xml:space="preserve">Wreszcie dekret przewiduje, że zarządzenie ministra ds. konsumentów i właściwych ministrów sektorowych może w razie potrzeby określić zasady sprzedaży luzem niektórych produktów, w szczególności ze względów bezpieczeństwa.</w:t>
      </w:r>
      <w:r>
        <w:rPr>
          <w:i/>
        </w:rPr>
        <w:t xml:space="preserve">  </w:t>
      </w:r>
    </w:p>
    <w:p w14:paraId="0B12F8AA" w14:textId="77777777" w:rsidR="005F5078" w:rsidRDefault="00731862">
      <w:pPr>
        <w:pStyle w:val="SNVisa"/>
        <w:jc w:val="both"/>
      </w:pPr>
      <w:r>
        <w:rPr>
          <w:b/>
          <w:i/>
        </w:rPr>
        <w:t xml:space="preserve">Odniesienia</w:t>
      </w:r>
      <w:r>
        <w:t xml:space="preserve">: na stronie internetowej Légifrance (www.legifrance.gouv.fr) można zapoznać się z kodeksem konsumenckim zmienionym niniejszym dekretem.</w:t>
      </w:r>
    </w:p>
    <w:p w14:paraId="71DA58A3" w14:textId="77777777" w:rsidR="005F5078" w:rsidRDefault="009154B2">
      <w:pPr>
        <w:pStyle w:val="SNAutorit"/>
      </w:pPr>
      <w:r>
        <w:t xml:space="preserve">Premier,</w:t>
      </w:r>
    </w:p>
    <w:p w14:paraId="60875EF9" w14:textId="77777777" w:rsidR="005F5078" w:rsidRDefault="00731862">
      <w:pPr>
        <w:pStyle w:val="SNRapport"/>
        <w:jc w:val="both"/>
      </w:pPr>
      <w:r>
        <w:t xml:space="preserve">na podstawie sprawozdania Ministra Gospodarki, Finansów oraz Suwerenności Przemysłowej i Cyfrowej,</w:t>
      </w:r>
    </w:p>
    <w:p w14:paraId="445356BD" w14:textId="77777777" w:rsidR="005F5078" w:rsidRDefault="00731862">
      <w:pPr>
        <w:pStyle w:val="SNVisa"/>
        <w:jc w:val="both"/>
      </w:pPr>
      <w:r>
        <w:t xml:space="preserve">uwzględniając rozporządzenie (WE) nr 1831/2003 Parlamentu Europejskiego i Rady z dnia 22 września 2003 r. w sprawie dodatków stosowanych w żywieniu zwierząt, z późniejszymi zmianami,</w:t>
      </w:r>
    </w:p>
    <w:p w14:paraId="4C337A29" w14:textId="77777777" w:rsidR="005F5078" w:rsidRDefault="00731862">
      <w:pPr>
        <w:pStyle w:val="SNVisa"/>
        <w:jc w:val="both"/>
      </w:pPr>
      <w:r>
        <w:t xml:space="preserve">uwzględniając rozporządzenie (WE) nr 648/2004 Parlamentu Europejskiego i Rady z dnia 31 marca 2004 r. w sprawie detergentów,</w:t>
      </w:r>
    </w:p>
    <w:p w14:paraId="6DE24724" w14:textId="77777777" w:rsidR="005F5078" w:rsidRDefault="00731862">
      <w:pPr>
        <w:pStyle w:val="SNVisa"/>
        <w:jc w:val="both"/>
      </w:pPr>
      <w:r>
        <w:t xml:space="preserve">uwzględniając rozporządzenie (WE) nr 852/2004 Parlamentu Europejskiego i Rady z dnia 29 kwietnia 2004 r. w sprawie higieny środków spożywczych, z późniejszymi zmianami,</w:t>
      </w:r>
    </w:p>
    <w:p w14:paraId="1CD01E86" w14:textId="77777777" w:rsidR="005F5078" w:rsidRDefault="00731862">
      <w:pPr>
        <w:pStyle w:val="SNVisa"/>
        <w:jc w:val="both"/>
      </w:pPr>
      <w:r>
        <w:t xml:space="preserve">uwzględniając rozporządzenie (WE) nr 853/2004 Parlamentu Europejskiego i Rady z dnia 29 kwietnia 2004 r. ustanawiające szczególne przepisy dotyczące higieny w odniesieniu do żywności pochodzenia zwierzęcego,</w:t>
      </w:r>
    </w:p>
    <w:p w14:paraId="772FCAA0" w14:textId="77777777" w:rsidR="005F5078" w:rsidRDefault="00731862">
      <w:pPr>
        <w:pStyle w:val="SNVisa"/>
        <w:jc w:val="both"/>
      </w:pPr>
      <w:r>
        <w:t xml:space="preserve">uwzględniając rozporządzenie Parlamentu Europejskiego i Rady (WE) nr 1272/2008 z dnia 16 grudnia 2008 r. w sprawie klasyfikacji, oznakowania i pakowania substancji i mieszanin, zmieniające i uchylające dyrektywy 67/548/EWG i 1999/45/WE oraz zmieniające rozporządzenie (WE) nr 1907/2006, z późniejszymi zmianami,</w:t>
      </w:r>
    </w:p>
    <w:p w14:paraId="7F7D550E" w14:textId="77777777" w:rsidR="005F5078" w:rsidRDefault="00731862">
      <w:pPr>
        <w:pStyle w:val="SNVisa"/>
        <w:jc w:val="both"/>
      </w:pPr>
      <w:r>
        <w:t xml:space="preserve">uwzględniając rozporządzenie Parlamentu Europejskiego i Rady (WE) nr 767/2009 z dnia 13 lipca 2009 r. w sprawie wprowadzania na rynek i stosowania pasz, zmieniające rozporządzenie (WE) nr 1831/2003 Parlamentu Europejskiego i Rady i uchylające dyrektywę Rady 79/373/EWG, dyrektywę Komisji 80/511/EWG, dyrektywy Rady 82/471/EWG, 83/228/EWG, 93/74/EWG, 93/113/WE i 96/25/WE oraz decyzję Komisji 2004/217/WE, z późniejszymi zmianami,</w:t>
      </w:r>
    </w:p>
    <w:p w14:paraId="063500E3" w14:textId="77777777" w:rsidR="005F5078" w:rsidRDefault="00731862">
      <w:pPr>
        <w:pStyle w:val="SNVisa"/>
        <w:jc w:val="both"/>
      </w:pPr>
      <w:r>
        <w:t xml:space="preserve">uwzględniając rozporządzenie Parlamentu Europejskiego i Rady (WE) nr 1069/2009 z dnia 21 października 2009 r. określające przepisy sanitarne dotyczące produktów ubocznych pochodzenia zwierzęcego nieprzeznaczonych do spożycia przez ludzi i uchylające rozporządzenie (WE) nr 1774/2002, z późniejszymi zmianami,</w:t>
      </w:r>
    </w:p>
    <w:p w14:paraId="3A6FAF40" w14:textId="77777777" w:rsidR="005F5078" w:rsidRDefault="00731862">
      <w:pPr>
        <w:pStyle w:val="SNVisa"/>
        <w:jc w:val="both"/>
      </w:pPr>
      <w:r>
        <w:t xml:space="preserve">uwzględniając rozporządzenie Parlamentu Europejskiego i Rady (WE) nr 1107/2009 z dnia 21 października 2009 r. dotyczące wprowadzania do obrotu środków ochrony roślin i uchylające dyrektywy Rady 79/117/EWG i 91/414/EWG, z późniejszymi zmianami,</w:t>
      </w:r>
    </w:p>
    <w:p w14:paraId="69A2F939" w14:textId="77777777" w:rsidR="005F5078" w:rsidRDefault="00731862">
      <w:pPr>
        <w:pStyle w:val="SNVisa"/>
        <w:jc w:val="both"/>
      </w:pPr>
      <w:r>
        <w:t xml:space="preserve">uwzględniając rozporządzenie Parlamentu Europejskiego i Rady (WE) nr 1223/2009 dotyczące produktów kosmetycznych, z późniejszymi zmianami,</w:t>
      </w:r>
    </w:p>
    <w:p w14:paraId="2C3FEAC8" w14:textId="77777777" w:rsidR="005F5078" w:rsidRDefault="00731862">
      <w:pPr>
        <w:pStyle w:val="SNVisa"/>
        <w:jc w:val="both"/>
      </w:pPr>
      <w:r>
        <w:t xml:space="preserve">uwzględniając rozporządzenie Komisji (UE) nr 142/2011 z dnia 25 lutego 2011 r. w sprawie wykonania rozporządzenia Parlamentu Europejskiego i Rady (WE) nr 1069/2009 określającego przepisy sanitarne dotyczące produktów ubocznych pochodzenia zwierzęcego nieprzeznaczonych do spożycia przez ludzi oraz w sprawie wykonania dyrektywy Rady 97/78/WE w odniesieniu do niektórych próbek i przedmiotów zwolnionych z kontroli weterynaryjnych na granicach w myśl tej dyrektywy, z późniejszymi zmianami,</w:t>
      </w:r>
    </w:p>
    <w:p w14:paraId="2B1EC3CA" w14:textId="77777777" w:rsidR="005F5078" w:rsidRDefault="00731862">
      <w:pPr>
        <w:pStyle w:val="SNVisa"/>
        <w:jc w:val="both"/>
      </w:pPr>
      <w:r>
        <w:t xml:space="preserve">uwzględniając rozporządzenie Parlamentu Europejskiego i Rady (UE) nr 528/2012 z dnia 22 maja 2012 r. w sprawie udostępniania na rynku i stosowania produktów biobójczych, z późniejszymi zmianami,</w:t>
      </w:r>
    </w:p>
    <w:p w14:paraId="5649DAA6" w14:textId="77777777" w:rsidR="005F5078" w:rsidRDefault="00731862">
      <w:pPr>
        <w:pStyle w:val="SNVisa"/>
        <w:jc w:val="both"/>
      </w:pPr>
      <w:r>
        <w:t xml:space="preserve">uwzględniając rozporządzenie Parlamentu Europejskiego i Rady (UE) nr 609/2013 z dnia 12 czerwca 2013 r. w sprawie żywności przeznaczonej dla niemowląt i małych dzieci oraz żywności specjalnego przeznaczenia medycznego i środków spożywczych zastępujących całodzienną dietę do kontroli masy ciała oraz uchylające dyrektywę Rady 92/52/EWG, dyrektywy Komisji 96/8/WE, 1999/21/WE, 2006/125/WE i 2006/141/WE, dyrektywę Parlamentu Europejskiego i Rady 2009/39/WE oraz rozporządzenia Komisji (WE) nr 41/2009 i (WE) nr 953/2009, z późniejszymi zmianami,</w:t>
      </w:r>
    </w:p>
    <w:p w14:paraId="6A55E9F8" w14:textId="77777777" w:rsidR="005F5078" w:rsidRDefault="00731862">
      <w:pPr>
        <w:pStyle w:val="SNVisa"/>
        <w:jc w:val="both"/>
      </w:pPr>
      <w:r>
        <w:t xml:space="preserve">uwzględniając dyrektywę (UE) 2015/1535 Parlamentu Europejskiego i Rady z dnia 9 września 2015 r. ustanawiającą procedurę udzielania informacji w dziedzinie przepisów technicznych oraz zasad dotyczących usług społeczeństwa informacyjnego, z późniejszymi zmianami, w szczególności powiadomienie nr </w:t>
      </w:r>
      <w:r>
        <w:rPr>
          <w:highlight w:val="yellow"/>
        </w:rPr>
        <w:t xml:space="preserve">………………..</w:t>
      </w:r>
      <w:r>
        <w:t xml:space="preserve"> </w:t>
      </w:r>
      <w:r>
        <w:t xml:space="preserve">;</w:t>
      </w:r>
    </w:p>
    <w:p w14:paraId="7CFDBCDC" w14:textId="77777777" w:rsidR="005F5078" w:rsidRDefault="00731862">
      <w:pPr>
        <w:pStyle w:val="SNVisa"/>
        <w:jc w:val="both"/>
      </w:pPr>
      <w:r>
        <w:t xml:space="preserve">uwzględniając kodeks konsumencki, w szczególności jego art. L. 120-1, </w:t>
      </w:r>
      <w:r>
        <w:rPr>
          <w:i/>
        </w:rPr>
        <w:t xml:space="preserve">w brzmieniu zmienionym art. 41 ustawy nr 020-105 z dnia 10 lutego 2020 r. o zwalczaniu odpadów i gospodarce o obiegu zamkniętym</w:t>
      </w:r>
      <w:r>
        <w:t xml:space="preserve">,</w:t>
      </w:r>
    </w:p>
    <w:p w14:paraId="2D434819" w14:textId="77777777" w:rsidR="005F5078" w:rsidRDefault="00731862">
      <w:pPr>
        <w:pStyle w:val="SNVisa"/>
        <w:jc w:val="both"/>
      </w:pPr>
      <w:r>
        <w:t xml:space="preserve">uwzględniając kodeks środowiska, w szczególności jego art. R. 557-6-1,</w:t>
      </w:r>
    </w:p>
    <w:p w14:paraId="0931AA72" w14:textId="77777777" w:rsidR="005F5078" w:rsidRDefault="00731862">
      <w:pPr>
        <w:ind w:left="708" w:firstLine="1"/>
        <w:jc w:val="both"/>
      </w:pPr>
      <w:r>
        <w:t xml:space="preserve">uwzględniając kodeks rybołówstwa obszarów wiejskich i morskich, w szczególności jego art. L. 253-1 i R. 253-43,</w:t>
      </w:r>
    </w:p>
    <w:p w14:paraId="51649634" w14:textId="77777777" w:rsidR="005F5078" w:rsidRDefault="00731862">
      <w:pPr>
        <w:pStyle w:val="SNVisa"/>
        <w:jc w:val="both"/>
      </w:pPr>
      <w:r>
        <w:t xml:space="preserve">uwzględniając dekret nr 64-949 z dnia 9 września 1964 r. wprowadzający w życie art. L. 214-1 kodeksu konsumenckiego w odniesieniu do produktów mrożonych,</w:t>
      </w:r>
    </w:p>
    <w:p w14:paraId="1AE32AF9" w14:textId="77777777" w:rsidR="005F5078" w:rsidRDefault="00731862">
      <w:pPr>
        <w:pStyle w:val="SNVisa"/>
        <w:jc w:val="both"/>
      </w:pPr>
      <w:r>
        <w:t xml:space="preserve">uwzględniając dekret nr 91-827 z dnia 29 sierpnia 1991 r. w sprawie środków spożywczych specjalnego przeznaczenia żywieniowego,</w:t>
      </w:r>
    </w:p>
    <w:p w14:paraId="17F46362" w14:textId="77777777" w:rsidR="005F5078" w:rsidRDefault="00731862">
      <w:pPr>
        <w:pStyle w:val="SNVisa"/>
        <w:jc w:val="both"/>
      </w:pPr>
      <w:r>
        <w:t xml:space="preserve">uwzględniając dekret nr 2006-352 z dnia 20 marca 2006 r. w sprawie suplementów diety,</w:t>
      </w:r>
    </w:p>
    <w:p w14:paraId="159560AD" w14:textId="77777777" w:rsidR="005F5078" w:rsidRDefault="00731862">
      <w:pPr>
        <w:pStyle w:val="SNVisa"/>
        <w:jc w:val="both"/>
      </w:pPr>
      <w:r>
        <w:t xml:space="preserve">uwzględniając notę dotyczącą wsparcia naukowego i technicznego wydaną przez Narodową Agencję ds. Żywności, Środowiska oraz Bezpieczeństwa i Higieny Pracy z dnia 15 listopada 2021 r.,</w:t>
      </w:r>
    </w:p>
    <w:p w14:paraId="1EAA778F" w14:textId="77777777" w:rsidR="005F5078" w:rsidRDefault="00731862">
      <w:pPr>
        <w:pStyle w:val="SNActe"/>
      </w:pPr>
      <w:r>
        <w:t xml:space="preserve">rozporządza, co następuje:</w:t>
      </w:r>
    </w:p>
    <w:p w14:paraId="0CB970F5" w14:textId="77777777" w:rsidR="005F5078" w:rsidRDefault="00731862">
      <w:pPr>
        <w:pStyle w:val="SNArticle"/>
      </w:pPr>
      <w:r>
        <w:t xml:space="preserve">Artykuł 1</w:t>
      </w:r>
    </w:p>
    <w:p w14:paraId="412F2FD6" w14:textId="77777777" w:rsidR="005F5078" w:rsidRDefault="00731862">
      <w:pPr>
        <w:pStyle w:val="BodyText"/>
      </w:pPr>
      <w:r>
        <w:t xml:space="preserve">Przed rozdziałem 1 tytułu II księgi 1 kodeksu konsumenckiego dodaje się rozdział I A w brzmieniu:</w:t>
      </w:r>
    </w:p>
    <w:p w14:paraId="4A4AED7F" w14:textId="77777777" w:rsidR="005F5078" w:rsidRDefault="00731862">
      <w:pPr>
        <w:pStyle w:val="BodyText"/>
        <w:jc w:val="center"/>
        <w:rPr>
          <w:i/>
        </w:rPr>
      </w:pPr>
      <w:r>
        <w:t xml:space="preserve">„</w:t>
      </w:r>
      <w:r>
        <w:rPr>
          <w:i/>
        </w:rPr>
        <w:t xml:space="preserve">Rozdział I A:</w:t>
      </w:r>
      <w:r>
        <w:rPr>
          <w:i/>
        </w:rPr>
        <w:t xml:space="preserve"> </w:t>
      </w:r>
      <w:r>
        <w:rPr>
          <w:i/>
        </w:rPr>
        <w:t xml:space="preserve">Promowane praktyki biznesowe</w:t>
      </w:r>
    </w:p>
    <w:p w14:paraId="3786094A" w14:textId="77777777" w:rsidR="005F5078" w:rsidRDefault="00731862">
      <w:pPr>
        <w:pStyle w:val="BodyText"/>
        <w:jc w:val="center"/>
        <w:rPr>
          <w:i/>
        </w:rPr>
      </w:pPr>
      <w:r>
        <w:rPr>
          <w:i/>
        </w:rPr>
        <w:t xml:space="preserve">„Sekcja 1:</w:t>
      </w:r>
      <w:r>
        <w:rPr>
          <w:i/>
        </w:rPr>
        <w:t xml:space="preserve"> </w:t>
      </w:r>
      <w:r>
        <w:rPr>
          <w:i/>
        </w:rPr>
        <w:t xml:space="preserve">Sprzedaż produktów niepakowanych</w:t>
      </w:r>
    </w:p>
    <w:p w14:paraId="2C1F21CB" w14:textId="77777777" w:rsidR="005F5078" w:rsidRDefault="00731862">
      <w:pPr>
        <w:pStyle w:val="BodyText"/>
        <w:jc w:val="center"/>
      </w:pPr>
      <w:r>
        <w:rPr>
          <w:i/>
        </w:rPr>
        <w:t xml:space="preserve">„Podsekcja 1:</w:t>
      </w:r>
      <w:r>
        <w:rPr>
          <w:i/>
        </w:rPr>
        <w:t xml:space="preserve"> </w:t>
      </w:r>
      <w:r>
        <w:rPr>
          <w:i/>
        </w:rPr>
        <w:t xml:space="preserve">Definicje</w:t>
      </w:r>
    </w:p>
    <w:p w14:paraId="41602E48" w14:textId="77777777" w:rsidR="002E171A" w:rsidRDefault="002E171A" w:rsidP="002E171A">
      <w:pPr>
        <w:pStyle w:val="BodyText"/>
      </w:pPr>
      <w:r>
        <w:t xml:space="preserve">„</w:t>
      </w:r>
      <w:r>
        <w:rPr>
          <w:i/>
        </w:rPr>
        <w:t xml:space="preserve">Artykuł D. 120-1.</w:t>
      </w:r>
      <w:r>
        <w:t xml:space="preserve"> </w:t>
      </w:r>
      <w:r>
        <w:t xml:space="preserve">–</w:t>
      </w:r>
      <w:r>
        <w:t xml:space="preserve"> </w:t>
      </w:r>
      <w:r>
        <w:t xml:space="preserve">Produkty konsumpcyjne codziennego użytku w rozumieniu art. L. 120-1 są towarami konsumpcyjnymi, o których mowa w art. D. 441-1 kodeksu handlowego.</w:t>
      </w:r>
    </w:p>
    <w:p w14:paraId="21DC4937" w14:textId="34FA0AE2" w:rsidR="005F5078" w:rsidRDefault="00731862">
      <w:pPr>
        <w:pStyle w:val="BodyText"/>
      </w:pPr>
      <w:r>
        <w:t xml:space="preserve">„</w:t>
      </w:r>
      <w:r>
        <w:rPr>
          <w:i/>
        </w:rPr>
        <w:t xml:space="preserve">Artykuł D. 120-2</w:t>
      </w:r>
      <w:r>
        <w:t xml:space="preserve">.</w:t>
      </w:r>
      <w:r>
        <w:t xml:space="preserve"> </w:t>
      </w:r>
      <w:r>
        <w:t xml:space="preserve">–</w:t>
      </w:r>
      <w:r>
        <w:t xml:space="preserve"> </w:t>
      </w:r>
      <w:r>
        <w:t xml:space="preserve">Usługa wspomagana w rozumieniu art. L. 120-1 jest metodą sprzedaży, w której opakowanie produktu i jego natychmiastowe dostarczenie konsumentowi jest dokonywane przez podmiot gospodarczy w punkcie sprzedaży.</w:t>
      </w:r>
    </w:p>
    <w:p w14:paraId="1AF17A48" w14:textId="77777777" w:rsidR="005F5078" w:rsidRDefault="00731862">
      <w:pPr>
        <w:pStyle w:val="BodyText"/>
      </w:pPr>
      <w:r>
        <w:t xml:space="preserve">W przypadku gdy produkt może stanowić zagrożenie dla konsumenta, usługa wspomagana musi zapewnić konsumentom wystarczającą ochronę przed zagrożeniami specyficznymi dla danego produktu.</w:t>
      </w:r>
      <w:r>
        <w:t xml:space="preserve"> </w:t>
      </w:r>
    </w:p>
    <w:p w14:paraId="3CECD195" w14:textId="7780506C" w:rsidR="005F5078" w:rsidRDefault="00731862">
      <w:pPr>
        <w:pStyle w:val="BodyText"/>
      </w:pPr>
      <w:r>
        <w:t xml:space="preserve"> </w:t>
      </w:r>
      <w:r>
        <w:t xml:space="preserve">„</w:t>
      </w:r>
      <w:r>
        <w:rPr>
          <w:i/>
        </w:rPr>
        <w:t xml:space="preserve">Artykuł D. 120-3</w:t>
      </w:r>
      <w:r>
        <w:t xml:space="preserve">.</w:t>
      </w:r>
      <w:r>
        <w:t xml:space="preserve"> </w:t>
      </w:r>
      <w:r>
        <w:t xml:space="preserve">–</w:t>
      </w:r>
      <w:r>
        <w:t xml:space="preserve"> </w:t>
      </w:r>
      <w:r>
        <w:t xml:space="preserve">Odpowiednia metoda dystrybucji to metoda, która, uwzględniając właściwości produktu, pozwala zachować jego integralność, zapewnić jego konserwację, spełnić szczególne wymagania dotyczące jego bezpieczeństwa oraz spełnić wymagania w zakresie higieny i bezpieczeństwa w obszarze sprzedaży.</w:t>
      </w:r>
    </w:p>
    <w:p w14:paraId="64310829" w14:textId="77777777" w:rsidR="005F5078" w:rsidRDefault="00731862">
      <w:pPr>
        <w:pStyle w:val="BodyText"/>
      </w:pPr>
      <w:r>
        <w:t xml:space="preserve">„W przypadku gdy produkt może stanowić zagrożenie dla konsumenta, odpowiednia metoda dystrybucji musi zapewniać wystarczającą ochronę konsumentów przed zagrożeniami specyficznymi dla danego produktu.</w:t>
      </w:r>
      <w:r>
        <w:t xml:space="preserve"> </w:t>
      </w:r>
    </w:p>
    <w:p w14:paraId="4812EE3A" w14:textId="109A34A6" w:rsidR="005F5078" w:rsidRDefault="00731862">
      <w:pPr>
        <w:pStyle w:val="BodyText"/>
      </w:pPr>
      <w:r>
        <w:t xml:space="preserve">„</w:t>
      </w:r>
      <w:r>
        <w:rPr>
          <w:i/>
        </w:rPr>
        <w:t xml:space="preserve">Artykuł D. 120-4.</w:t>
      </w:r>
      <w:r>
        <w:t xml:space="preserve"> </w:t>
      </w:r>
      <w:r>
        <w:t xml:space="preserve">–</w:t>
      </w:r>
      <w:r>
        <w:t xml:space="preserve"> </w:t>
      </w:r>
      <w:r>
        <w:t xml:space="preserve">Samoobsługowa sprzedaż żywności przeznaczonej do bezpośredniego spożycia nie jest uważana za metodę sprzedaży luzem w rozumieniu art. L. 120-1.</w:t>
      </w:r>
      <w:r>
        <w:t xml:space="preserve">  </w:t>
      </w:r>
    </w:p>
    <w:p w14:paraId="1949FF0A" w14:textId="77777777" w:rsidR="005F5078" w:rsidRDefault="005F5078">
      <w:pPr>
        <w:pStyle w:val="BodyText"/>
      </w:pPr>
    </w:p>
    <w:p w14:paraId="46C9DF8D" w14:textId="77777777" w:rsidR="005F5078" w:rsidRDefault="00731862">
      <w:pPr>
        <w:pStyle w:val="BodyText"/>
        <w:jc w:val="center"/>
        <w:rPr>
          <w:i/>
        </w:rPr>
      </w:pPr>
      <w:r>
        <w:rPr>
          <w:i/>
        </w:rPr>
        <w:t xml:space="preserve">„Podsekcja 2:</w:t>
      </w:r>
      <w:r>
        <w:rPr>
          <w:i/>
        </w:rPr>
        <w:t xml:space="preserve"> </w:t>
      </w:r>
      <w:r>
        <w:rPr>
          <w:i/>
        </w:rPr>
        <w:t xml:space="preserve">Produkty, które mogą być sprzedawane luzem tylko pod pewnymi warunkami</w:t>
      </w:r>
      <w:r>
        <w:rPr>
          <w:i/>
        </w:rPr>
        <w:t xml:space="preserve"> </w:t>
      </w:r>
    </w:p>
    <w:p w14:paraId="4991F18C" w14:textId="77777777" w:rsidR="005F5078" w:rsidRDefault="005F5078">
      <w:pPr>
        <w:pStyle w:val="BodyText"/>
      </w:pPr>
    </w:p>
    <w:p w14:paraId="7EEC7314" w14:textId="06E29010" w:rsidR="005F5078" w:rsidRDefault="00731862">
      <w:pPr>
        <w:pStyle w:val="BodyText"/>
      </w:pPr>
      <w:r>
        <w:t xml:space="preserve">„</w:t>
      </w:r>
      <w:r>
        <w:rPr>
          <w:i/>
        </w:rPr>
        <w:t xml:space="preserve">Artykuł D. 120-5</w:t>
      </w:r>
      <w:r>
        <w:t xml:space="preserve">.</w:t>
      </w:r>
      <w:r>
        <w:t xml:space="preserve"> </w:t>
      </w:r>
      <w:r>
        <w:t xml:space="preserve">–</w:t>
      </w:r>
      <w:r>
        <w:t xml:space="preserve"> </w:t>
      </w:r>
      <w:r>
        <w:t xml:space="preserve">Przepisy niniejszej podsekcji dotyczące zezwolenia, pod pewnymi warunkami, na sprzedaż produktów luzem pozostają bez uszczerbku dla stosowania przepisów szczególnych mających zastosowanie do produktów, w szczególności tych, które wymagają od handlowców wprowadzających takie produkty do obrotu przestrzegania obowiązków informowania konsumentów o zasadniczych cechach produktów, środkach ostrożności, jakie należy podjąć w celu ich spożycia lub użycia, oraz niebezpieczeństwie i zagrożeniach, jakie mogą stwarzać.</w:t>
      </w:r>
    </w:p>
    <w:p w14:paraId="5007C3B2" w14:textId="77777777" w:rsidR="005F5078" w:rsidRDefault="00731862">
      <w:pPr>
        <w:pStyle w:val="BodyText"/>
      </w:pPr>
      <w:r>
        <w:t xml:space="preserve"> </w:t>
      </w:r>
    </w:p>
    <w:p w14:paraId="54EB6033" w14:textId="3CBD5B6D" w:rsidR="005F5078" w:rsidRDefault="00731862">
      <w:pPr>
        <w:pStyle w:val="BodyText"/>
      </w:pPr>
      <w:r>
        <w:t xml:space="preserve">„</w:t>
      </w:r>
      <w:r>
        <w:rPr>
          <w:i/>
        </w:rPr>
        <w:t xml:space="preserve">Artykuł D. 120-6.</w:t>
      </w:r>
      <w:r>
        <w:t xml:space="preserve"> </w:t>
      </w:r>
      <w:r>
        <w:t xml:space="preserve">–</w:t>
      </w:r>
      <w:r>
        <w:t xml:space="preserve">  </w:t>
      </w:r>
      <w:r>
        <w:t xml:space="preserve">I. Postanowienia niniejszego artykułu stosuje się do następujących produktów:</w:t>
      </w:r>
      <w:r>
        <w:t xml:space="preserve"> </w:t>
      </w:r>
    </w:p>
    <w:p w14:paraId="64D66AE1" w14:textId="77777777" w:rsidR="005F5078" w:rsidRDefault="00731862">
      <w:pPr>
        <w:pStyle w:val="BodyText"/>
      </w:pPr>
      <w:r>
        <w:t xml:space="preserve"> </w:t>
      </w:r>
      <w:r>
        <w:t xml:space="preserve">„1.</w:t>
      </w:r>
      <w:r>
        <w:t xml:space="preserve"> </w:t>
      </w:r>
      <w:r>
        <w:t xml:space="preserve">Materiałów i wyrobów jednorazowego użytku przeznaczonych do kontaktu ze środkami spożywczymi, których nie można myć przed użyciem;</w:t>
      </w:r>
    </w:p>
    <w:p w14:paraId="10CF183A" w14:textId="77777777" w:rsidR="005F5078" w:rsidRDefault="00731862">
      <w:pPr>
        <w:pStyle w:val="BodyText"/>
      </w:pPr>
      <w:r>
        <w:t xml:space="preserve">„2.</w:t>
      </w:r>
      <w:r>
        <w:t xml:space="preserve"> </w:t>
      </w:r>
      <w:r>
        <w:t xml:space="preserve">Pieluch jednorazowego użytku oraz, wśród jednorazowych środków do higieny intymnej: podpasek;</w:t>
      </w:r>
      <w:r>
        <w:t xml:space="preserve"> </w:t>
      </w:r>
    </w:p>
    <w:p w14:paraId="73E11E6B" w14:textId="77777777" w:rsidR="005F5078" w:rsidRDefault="00731862">
      <w:pPr>
        <w:pStyle w:val="BodyText"/>
      </w:pPr>
      <w:r>
        <w:t xml:space="preserve">„3.</w:t>
      </w:r>
      <w:r>
        <w:t xml:space="preserve"> </w:t>
      </w:r>
      <w:r>
        <w:t xml:space="preserve">Papieru toaletowego, ręczników kuchennych, ręczników papierowych, chusteczek papierowych, bawełny pochłaniającej i pozostałych artykułów bawełnianych lub artykułów jednorazowego użytku wykonanych z innych włókien roślinnych przeznaczonych do mycia lub wycierania twarzy i ciała, bawełnianych patyczków higienicznych jednorazowego użytku;</w:t>
      </w:r>
    </w:p>
    <w:p w14:paraId="1E58D54D" w14:textId="77777777" w:rsidR="005F5078" w:rsidRDefault="00731862">
      <w:pPr>
        <w:pStyle w:val="BodyText"/>
      </w:pPr>
      <w:r>
        <w:t xml:space="preserve">„4.</w:t>
      </w:r>
      <w:r>
        <w:t xml:space="preserve"> </w:t>
      </w:r>
      <w:r>
        <w:t xml:space="preserve">Łatwo psujących się środków spożywczych, które po krótkim czasie mogą stanowić zagrożenie dla zdrowia ludzkiego;</w:t>
      </w:r>
    </w:p>
    <w:p w14:paraId="50FBAA23" w14:textId="4769457B" w:rsidR="005F5078" w:rsidRDefault="00731862">
      <w:pPr>
        <w:pStyle w:val="BodyText"/>
      </w:pPr>
      <w:r>
        <w:t xml:space="preserve">„5.</w:t>
      </w:r>
      <w:r>
        <w:t xml:space="preserve"> </w:t>
      </w:r>
      <w:r>
        <w:t xml:space="preserve">Środków spożywczych innych niż wymienione w art. D. 120-7 pkt 8, które są przechowywane w temperaturze -12 °C lub niższej, gdy są sprzedawane konsumentom;</w:t>
      </w:r>
    </w:p>
    <w:p w14:paraId="61BADF46" w14:textId="77777777" w:rsidR="005F5078" w:rsidRDefault="00731862">
      <w:pPr>
        <w:pStyle w:val="BodyText"/>
      </w:pPr>
      <w:r>
        <w:t xml:space="preserve">„6.</w:t>
      </w:r>
      <w:r>
        <w:t xml:space="preserve"> </w:t>
      </w:r>
      <w:r>
        <w:t xml:space="preserve">Produktów kosmetycznych, w odniesieniu do których wymaga się testu trwałości oraz kontroli mikrobiologicznych produktu końcowego zgodnie z decyzją wykonawczą Komisji z dnia 25 listopada 2013 r. w sprawie wytycznych dotyczących załącznika I do rozporządzenia Parlamentu Europejskiego i Rady (WE) nr 1223/2009 dotyczącego produktów kosmetycznych;</w:t>
      </w:r>
    </w:p>
    <w:p w14:paraId="5914631C" w14:textId="77777777" w:rsidR="005F5078" w:rsidRDefault="00731862">
      <w:pPr>
        <w:pStyle w:val="BodyText"/>
      </w:pPr>
      <w:r>
        <w:t xml:space="preserve">„7.</w:t>
      </w:r>
      <w:r>
        <w:t xml:space="preserve"> </w:t>
      </w:r>
      <w:r>
        <w:t xml:space="preserve">Produktów spełniających łącznie następujące warunki:</w:t>
      </w:r>
    </w:p>
    <w:p w14:paraId="7E2B0B79" w14:textId="77777777" w:rsidR="005F5078" w:rsidRDefault="00731862">
      <w:pPr>
        <w:pStyle w:val="BodyText"/>
      </w:pPr>
      <w:r>
        <w:t xml:space="preserve">„a) będących substancjami lub mieszaninami objętymi rozporządzeniem Parlamentu Europejskiego i Rady (WE) nr 1272/2008 z dnia 16 grudnia 2008 r. w sprawie klasyfikacji, oznakowania i pakowania substancji i mieszanin oraz produktów objętych rozporządzeniem (WE) nr 648/2004 Parlamentu Europejskiego i Rady z dnia 31 marca 2004 r. w sprawie detergentów;</w:t>
      </w:r>
    </w:p>
    <w:p w14:paraId="54642D26" w14:textId="605866D9" w:rsidR="005F5078" w:rsidRDefault="00731862">
      <w:pPr>
        <w:pStyle w:val="BodyText"/>
      </w:pPr>
      <w:r>
        <w:t xml:space="preserve">„b) nienależących do żadnej z kategorii produktów, o których mowa w art. D. 120-7 pkt 9 i 10.</w:t>
      </w:r>
      <w:r>
        <w:t xml:space="preserve"> </w:t>
      </w:r>
    </w:p>
    <w:p w14:paraId="2224DEF4" w14:textId="77777777" w:rsidR="005F5078" w:rsidRDefault="00731862">
      <w:pPr>
        <w:pStyle w:val="BodyText"/>
      </w:pPr>
      <w:r>
        <w:t xml:space="preserve">„II. Produkty, o których mowa w I, mogą być sprzedawane luzem tylko wtedy, gdy są sprzedawane na następujących warunkach, z uwzględnieniem szczególnego ryzyka związanego z ich właściwościami:</w:t>
      </w:r>
    </w:p>
    <w:p w14:paraId="7B89E970" w14:textId="77777777" w:rsidR="005F5078" w:rsidRDefault="00731862">
      <w:pPr>
        <w:pStyle w:val="BodyText"/>
      </w:pPr>
      <w:r>
        <w:t xml:space="preserve">„1.</w:t>
      </w:r>
      <w:r>
        <w:t xml:space="preserve"> </w:t>
      </w:r>
      <w:r>
        <w:t xml:space="preserve">Albo w ramach usługi wspomaganej;</w:t>
      </w:r>
    </w:p>
    <w:p w14:paraId="74CD73BB" w14:textId="77777777" w:rsidR="005F5078" w:rsidRDefault="00731862">
      <w:pPr>
        <w:pStyle w:val="BodyText"/>
      </w:pPr>
      <w:r>
        <w:t xml:space="preserve">„2.</w:t>
      </w:r>
      <w:r>
        <w:t xml:space="preserve"> </w:t>
      </w:r>
      <w:r>
        <w:t xml:space="preserve">Albo za pomocą odpowiedniej metody dystrybucji do samoobsługowej sprzedaży luzem.</w:t>
      </w:r>
    </w:p>
    <w:p w14:paraId="08DDCB7E" w14:textId="77777777" w:rsidR="005F5078" w:rsidRDefault="005F5078">
      <w:pPr>
        <w:pStyle w:val="BodyText"/>
      </w:pPr>
    </w:p>
    <w:p w14:paraId="3FD44C4F" w14:textId="3A6E6CD2" w:rsidR="005F5078" w:rsidRDefault="00731862">
      <w:pPr>
        <w:pStyle w:val="BodyText"/>
        <w:jc w:val="center"/>
        <w:rPr>
          <w:i/>
        </w:rPr>
      </w:pPr>
      <w:r>
        <w:rPr>
          <w:i/>
        </w:rPr>
        <w:t xml:space="preserve">„Podsekcja 3:</w:t>
      </w:r>
      <w:r>
        <w:rPr>
          <w:i/>
        </w:rPr>
        <w:t xml:space="preserve"> </w:t>
      </w:r>
      <w:r>
        <w:rPr>
          <w:i/>
        </w:rPr>
        <w:t xml:space="preserve">Produkty, dla których sprzedaż luzem jest zabroniona</w:t>
      </w:r>
    </w:p>
    <w:p w14:paraId="4E803AA1" w14:textId="77777777" w:rsidR="005F5078" w:rsidRDefault="005F5078">
      <w:pPr>
        <w:pStyle w:val="BodyText"/>
      </w:pPr>
    </w:p>
    <w:p w14:paraId="28561AB7" w14:textId="395193E6" w:rsidR="005F5078" w:rsidRDefault="00731862">
      <w:pPr>
        <w:pStyle w:val="BodyText"/>
      </w:pPr>
      <w:r>
        <w:t xml:space="preserve">„</w:t>
      </w:r>
      <w:r>
        <w:rPr>
          <w:i/>
        </w:rPr>
        <w:t xml:space="preserve">Artykuł D. 120-7</w:t>
      </w:r>
      <w:r>
        <w:t xml:space="preserve">.</w:t>
      </w:r>
      <w:r>
        <w:t xml:space="preserve"> </w:t>
      </w:r>
      <w:r>
        <w:t xml:space="preserve">–</w:t>
      </w:r>
      <w:r>
        <w:t xml:space="preserve"> </w:t>
      </w:r>
      <w:r>
        <w:t xml:space="preserve">Wszelkie formy sprzedaży luzem są zabronione w odniesieniu do następujących produktów:</w:t>
      </w:r>
      <w:r>
        <w:t xml:space="preserve">  </w:t>
      </w:r>
    </w:p>
    <w:p w14:paraId="0A4BAB5C" w14:textId="77777777" w:rsidR="005F5078" w:rsidRDefault="00731862">
      <w:pPr>
        <w:pStyle w:val="BodyText"/>
      </w:pPr>
      <w:r>
        <w:t xml:space="preserve">„1.</w:t>
      </w:r>
      <w:r>
        <w:t xml:space="preserve"> </w:t>
      </w:r>
      <w:r>
        <w:t xml:space="preserve">Płynnych produktów mlecznych poddanych obróbce cieplnej, zgodnie z przepisami rozdziału III sekcji IX załącznika III do rozporządzenia (WE) nr 853/2004 Parlamentu Europejskiego i Rady z dnia 29 kwietnia 2004 r. ustanawiającego szczególne przepisy dotyczące higieny w odniesieniu do żywności pochodzenia zwierzęcego;</w:t>
      </w:r>
    </w:p>
    <w:p w14:paraId="13F9A9D6" w14:textId="09A3AFB5" w:rsidR="005F5078" w:rsidRDefault="00731862">
      <w:pPr>
        <w:pStyle w:val="BodyText"/>
      </w:pPr>
      <w:r>
        <w:t xml:space="preserve">„2.</w:t>
      </w:r>
      <w:r>
        <w:t xml:space="preserve"> </w:t>
      </w:r>
      <w:r>
        <w:t xml:space="preserve">Mleka surowego, chyba że jest dostarczane luzem bezpośrednio konsumentowi końcowemu przez podmiot dokonujący pakowania w obecności konsumenta lub za pośrednictwem automatycznego dozownika płynów, zgodnie z art. 7 dekretu z dnia 13 lipca 2012 r. w sprawie warunków produkcji i wprowadzania do obrotu surowego mleka bydlęcego oraz mleka małych przeżuwaczy i domowych zwierząt nieparzystokopytnych przekazywanego konsumentowi końcowemu;</w:t>
      </w:r>
    </w:p>
    <w:p w14:paraId="6BF5402B" w14:textId="77777777" w:rsidR="005F5078" w:rsidRDefault="00731862">
      <w:pPr>
        <w:pStyle w:val="BodyText"/>
      </w:pPr>
      <w:r>
        <w:t xml:space="preserve">„3.</w:t>
      </w:r>
      <w:r>
        <w:t xml:space="preserve"> </w:t>
      </w:r>
      <w:r>
        <w:t xml:space="preserve">Preparatów do początkowego żywienia niemowląt i preparatów do dalszego żywienia niemowląt, preparatów na bazie zbóż i żywności dla niemowląt, żywności specjalnego przeznaczenia medycznego oraz środków spożywczych zastępujących całodzienną dietę do kontroli masy ciała zgodnie z art. 4 rozporządzenia Parlamentu Europejskiego i Rady (UE) nr 609/2013 z dnia 12 czerwca 2013 r. w sprawie żywności przeznaczonej dla niemowląt i małych dzieci oraz żywności specjalnego przeznaczenia medycznego i środków spożywczych zastępujących całodzienną dietę do kontroli masy ciała, a także żywności specjalnego przeznaczenia żywieniowego zgodnie z przepisami art. 6 dekretu nr 91-827 z dnia 29 sierpnia 1991 r. w sprawie żywności specjalnego przeznaczenia żywieniowego;</w:t>
      </w:r>
    </w:p>
    <w:p w14:paraId="3AABB220" w14:textId="77777777" w:rsidR="005F5078" w:rsidRDefault="00731862">
      <w:pPr>
        <w:jc w:val="both"/>
      </w:pPr>
      <w:r>
        <w:t xml:space="preserve">„4.</w:t>
      </w:r>
      <w:r>
        <w:t xml:space="preserve"> </w:t>
      </w:r>
      <w:r>
        <w:t xml:space="preserve">Materiałów paszowych i mieszanek paszowych, z wyjątkiem pasz wymienionych w art. 23 ust. 2 rozporządzenia Parlamentu Europejskiego i Rady (WE) nr 767/2009 z dnia 13 lipca 2009 r. w sprawie wprowadzania na rynek i stosowania pasz, wprowadzanych do obrotu na warunkach spełniających wymogi załącznika II do rozporządzenia (WE) nr 183/2005 ustanawiającego wymagania dotyczące higieny pasz, bez uszczerbku dla pkt 5;</w:t>
      </w:r>
    </w:p>
    <w:p w14:paraId="67DD3CE1" w14:textId="77777777" w:rsidR="005F5078" w:rsidRDefault="00731862">
      <w:pPr>
        <w:pStyle w:val="BodyText"/>
      </w:pPr>
      <w:r>
        <w:t xml:space="preserve">„5.</w:t>
      </w:r>
      <w:r>
        <w:t xml:space="preserve"> </w:t>
      </w:r>
      <w:r>
        <w:t xml:space="preserve">Surowej karmy dla zwierząt domowych zdefiniowanej w załączniku I do rozporządzenia Komisji (UE) nr 142/2011 z dnia 25 lutego 2011 r. w sprawie wykonania rozporządzenia Parlamentu Europejskiego i Rady (WE) nr 1069/2009 określającego przepisy sanitarne dotyczące produktów ubocznych pochodzenia zwierzęcego nieprzeznaczonych do spożycia przez ludzi oraz w sprawie wykonania dyrektywy Rady 97/78/WE w odniesieniu do niektórych próbek i przedmiotów zwolnionych z kontroli weterynaryjnych na granicach w myśl tej dyrektywy, zgodnie z przepisami rozdziału II pkt 1 załącznika XIII do tego rozporządzenia, z wyjątkiem sklepów detalicznych, w których rozbiór i przechowywanie odbywa się wyłącznie w celu bezpośredniej sprzedaży na miejscu konsumentowi, zgodnie z art. 2 ust. 2 lit. i) rozporządzenia Parlamentu Europejskiego i Rady (WE) nr 1069/2009 z dnia 21 października 2009 r. określającego przepisy sanitarne dotyczące produktów ubocznych pochodzenia zwierzęcego nieprzeznaczonych do spożycia przez ludzi, bez uszczerbku dla pkt 4;</w:t>
      </w:r>
      <w:r>
        <w:t xml:space="preserve"> </w:t>
      </w:r>
    </w:p>
    <w:p w14:paraId="2D7579FA" w14:textId="77777777" w:rsidR="005F5078" w:rsidRDefault="00731862">
      <w:pPr>
        <w:pStyle w:val="BodyText"/>
      </w:pPr>
      <w:r>
        <w:t xml:space="preserve">„6.</w:t>
      </w:r>
      <w:r>
        <w:t xml:space="preserve"> </w:t>
      </w:r>
      <w:r>
        <w:t xml:space="preserve">Dodatków i premiksów stosowanych w żywieniu zwierząt, zgodnie z przepisami art. 16 ust. 5 rozporządzenia (WE) nr 1831/2003 Parlamentu Europejskiego i Rady z dnia 22 września 2003 r. w sprawie dodatków stosowanych w żywieniu zwierząt;</w:t>
      </w:r>
    </w:p>
    <w:p w14:paraId="0ED5376D" w14:textId="77777777" w:rsidR="005F5078" w:rsidRDefault="00731862">
      <w:pPr>
        <w:pStyle w:val="BodyText"/>
      </w:pPr>
      <w:r>
        <w:t xml:space="preserve">„7.</w:t>
      </w:r>
      <w:r>
        <w:t xml:space="preserve"> </w:t>
      </w:r>
      <w:r>
        <w:t xml:space="preserve">Suplementów diety, zgodnie z art. 1 dekretu nr 2006-352 z dnia 20 marca 2006 r. w sprawie suplementów diety;</w:t>
      </w:r>
    </w:p>
    <w:p w14:paraId="24BC0EA4" w14:textId="77777777" w:rsidR="005F5078" w:rsidRDefault="00731862">
      <w:pPr>
        <w:pStyle w:val="BodyText"/>
      </w:pPr>
      <w:r>
        <w:t xml:space="preserve">„8.</w:t>
      </w:r>
      <w:r>
        <w:t xml:space="preserve"> </w:t>
      </w:r>
      <w:r>
        <w:t xml:space="preserve">Produktów mrożonych, zgodnie z przepisami art. 4 dekretu nr 64-949 z dnia 9 września 1964 r. wprowadzającego w życie art. L. 214-1 kodeksu konsumenckiego w odniesieniu do produktów mrożonych;</w:t>
      </w:r>
    </w:p>
    <w:p w14:paraId="226B1961" w14:textId="146CE55B" w:rsidR="005F5078" w:rsidRDefault="00731862">
      <w:pPr>
        <w:pStyle w:val="BodyText"/>
      </w:pPr>
      <w:r>
        <w:t xml:space="preserve">„9.</w:t>
      </w:r>
      <w:r>
        <w:t xml:space="preserve"> </w:t>
      </w:r>
      <w:r>
        <w:t xml:space="preserve">Produktów biobójczych zdefiniowanych w art. 3 rozporządzenia Parlamentu Europejskiego i Rady (UE) nr 528/2012 z dnia 22 maja 2012 r. w sprawie udostępniania na rynku i stosowania produktów biobójczych, jeżeli sprzedaż luzem nie jest wyraźnie przewidziana w pozwoleniu na dopuszczenie do obrotu, a także produktów biobójczych korzystających ze środków przejściowych przewidzianych w art. 89 rozporządzenia (UE) nr 528/2012;</w:t>
      </w:r>
    </w:p>
    <w:p w14:paraId="01B95491" w14:textId="06AB1D9D" w:rsidR="005F5078" w:rsidRDefault="00731862">
      <w:pPr>
        <w:pStyle w:val="BodyText"/>
      </w:pPr>
      <w:r>
        <w:t xml:space="preserve">„10.</w:t>
      </w:r>
      <w:r>
        <w:t xml:space="preserve"> </w:t>
      </w:r>
      <w:r>
        <w:t xml:space="preserve">Substancji lub mieszanin, których opakowanie jest wyposażone w zamknięcie zabezpieczone przed otwarciem przez dzieci lub opatrzone wykrywalnym w dotyku oznaczeniem zagrożenia zgodnie z art. 35 rozporządzenia (WE) nr 1272/2008, a także płynnych detergentów włókienniczych przeznaczonych dla konsumentów i pakowanych w rozpuszczalne opakowania jednorazowego użytku zgodnie ze wskazanym wyżej artykułem;</w:t>
      </w:r>
    </w:p>
    <w:p w14:paraId="6AA68867" w14:textId="2F278FE3" w:rsidR="005F5078" w:rsidRDefault="002E171A">
      <w:pPr>
        <w:pStyle w:val="BodyText"/>
      </w:pPr>
      <w:r>
        <w:t xml:space="preserve"> </w:t>
      </w:r>
      <w:r>
        <w:t xml:space="preserve">„11.</w:t>
      </w:r>
      <w:r>
        <w:t xml:space="preserve"> </w:t>
      </w:r>
      <w:r>
        <w:t xml:space="preserve">Baterii i akumulatorów elektrycznych;</w:t>
      </w:r>
    </w:p>
    <w:p w14:paraId="5233166B" w14:textId="60635F85" w:rsidR="005F5078" w:rsidRDefault="002E171A">
      <w:pPr>
        <w:pStyle w:val="BodyText"/>
      </w:pPr>
      <w:r>
        <w:t xml:space="preserve"> </w:t>
      </w:r>
      <w:r>
        <w:t xml:space="preserve">„12.</w:t>
      </w:r>
      <w:r>
        <w:t xml:space="preserve"> </w:t>
      </w:r>
      <w:r>
        <w:t xml:space="preserve">Wśród środków higieny osobistej do jednorazowego użytku: tamponów;</w:t>
      </w:r>
    </w:p>
    <w:p w14:paraId="0CEFEA4E" w14:textId="5F545DA9" w:rsidR="005F5078" w:rsidRDefault="00731862">
      <w:pPr>
        <w:pStyle w:val="BodyText"/>
      </w:pPr>
      <w:r>
        <w:t xml:space="preserve">„13.</w:t>
      </w:r>
      <w:r>
        <w:t xml:space="preserve"> </w:t>
      </w:r>
      <w:r>
        <w:t xml:space="preserve">Każdego produktu, którego sprzedaż luzem jest niezgodna z obowiązkami w zakresie zdrowia publicznego przewidzianymi w rozporządzeniach i dyrektywach przyjętych zgodnie z Traktatem o funkcjonowaniu Unii Europejskiej.</w:t>
      </w:r>
    </w:p>
    <w:p w14:paraId="6AFC673C" w14:textId="77777777" w:rsidR="005F5078" w:rsidRDefault="005F5078">
      <w:pPr>
        <w:pStyle w:val="BodyText"/>
      </w:pPr>
    </w:p>
    <w:p w14:paraId="70114BC6" w14:textId="429A0F43" w:rsidR="005F5078" w:rsidRDefault="00731862">
      <w:pPr>
        <w:pStyle w:val="BodyText"/>
        <w:jc w:val="center"/>
        <w:rPr>
          <w:i/>
        </w:rPr>
      </w:pPr>
      <w:r>
        <w:rPr>
          <w:i/>
        </w:rPr>
        <w:t xml:space="preserve">„Podsekcja 4:</w:t>
      </w:r>
      <w:r>
        <w:rPr>
          <w:i/>
        </w:rPr>
        <w:t xml:space="preserve"> </w:t>
      </w:r>
      <w:r>
        <w:rPr>
          <w:i/>
        </w:rPr>
        <w:t xml:space="preserve">Specjalne warunki sprzedaży luzem</w:t>
      </w:r>
    </w:p>
    <w:p w14:paraId="6294E92F" w14:textId="77777777" w:rsidR="005F5078" w:rsidRDefault="005F5078">
      <w:pPr>
        <w:pStyle w:val="BodyText"/>
        <w:jc w:val="center"/>
        <w:rPr>
          <w:b/>
        </w:rPr>
      </w:pPr>
    </w:p>
    <w:p w14:paraId="05C28C77" w14:textId="7C928E7E" w:rsidR="005F5078" w:rsidRDefault="00731862">
      <w:pPr>
        <w:pStyle w:val="BodyText"/>
      </w:pPr>
      <w:r>
        <w:t xml:space="preserve">„</w:t>
      </w:r>
      <w:r>
        <w:rPr>
          <w:i/>
        </w:rPr>
        <w:t xml:space="preserve">Artykuł D. 120-8</w:t>
      </w:r>
      <w:r>
        <w:t xml:space="preserve">.</w:t>
      </w:r>
      <w:r>
        <w:t xml:space="preserve"> </w:t>
      </w:r>
      <w:r>
        <w:t xml:space="preserve">–</w:t>
      </w:r>
      <w:r>
        <w:t xml:space="preserve">  </w:t>
      </w:r>
      <w:r>
        <w:t xml:space="preserve">Specjalne warunki, w szczególności w odniesieniu do bezpieczeństwa, którym podlega sprzedaż luzem niektórych produktów, są określane w razie potrzeby wspólnym zarządzeniem ministra ds. konsumentów i ministra właściwego dla danych produktów.”</w:t>
      </w:r>
    </w:p>
    <w:p w14:paraId="13936349" w14:textId="77777777" w:rsidR="005F5078" w:rsidRDefault="00731862">
      <w:pPr>
        <w:pStyle w:val="SNArticle"/>
      </w:pPr>
      <w:r>
        <w:t xml:space="preserve">Artykuł 2</w:t>
      </w:r>
    </w:p>
    <w:p w14:paraId="1854A7E3" w14:textId="77777777" w:rsidR="005F5078" w:rsidRDefault="00731862">
      <w:pPr>
        <w:pStyle w:val="SNArticle"/>
        <w:jc w:val="left"/>
        <w:rPr>
          <w:b w:val="0"/>
        </w:rPr>
      </w:pPr>
      <w:r>
        <w:rPr>
          <w:b w:val="0"/>
        </w:rPr>
        <w:t xml:space="preserve">Niniejszy dekret wchodzi w życie dnia xx xx 2022 r.</w:t>
      </w:r>
    </w:p>
    <w:p w14:paraId="02B96412" w14:textId="7C8C3B6D" w:rsidR="005F5078" w:rsidRDefault="00731862">
      <w:pPr>
        <w:pStyle w:val="SNArticle"/>
      </w:pPr>
      <w:r>
        <w:rPr>
          <w:b w:val="0"/>
        </w:rPr>
        <w:t xml:space="preserve"> </w:t>
      </w:r>
      <w:r>
        <w:t xml:space="preserve">Artykuł 3</w:t>
      </w:r>
    </w:p>
    <w:p w14:paraId="1D40A749" w14:textId="77777777" w:rsidR="005F5078" w:rsidRDefault="00731862">
      <w:pPr>
        <w:pStyle w:val="BodyText"/>
      </w:pPr>
      <w:r>
        <w:t xml:space="preserve">Ministrowie: Gospodarki, Finansów i Suwerenności Przemysłowej;</w:t>
      </w:r>
      <w:r>
        <w:t xml:space="preserve"> </w:t>
      </w:r>
      <w:r>
        <w:t xml:space="preserve">Rolnictwa i Suwerenności Żywnościowej;</w:t>
      </w:r>
      <w:r>
        <w:t xml:space="preserve"> </w:t>
      </w:r>
      <w:r>
        <w:t xml:space="preserve">Transformacji Ekologicznej i Spójności Terytorialnej;</w:t>
      </w:r>
      <w:r>
        <w:t xml:space="preserve"> </w:t>
      </w:r>
      <w:r>
        <w:t xml:space="preserve">oraz Zdrowia i Profilaktyki są odpowiedzialni, każdy w odniesieniu do swoich kompetencji, za wykonanie niniejszego dekretu, który zostanie opublikowany w </w:t>
      </w:r>
      <w:r>
        <w:rPr>
          <w:i/>
        </w:rPr>
        <w:t xml:space="preserve">Dzienniku Urzędowym</w:t>
      </w:r>
      <w:r>
        <w:t xml:space="preserve"> Republiki Francuskiej.</w:t>
      </w:r>
    </w:p>
    <w:p w14:paraId="545E5D75" w14:textId="77777777" w:rsidR="00F66D41" w:rsidRDefault="00F66D41" w:rsidP="00F66D41">
      <w:pPr>
        <w:pStyle w:val="SNDate"/>
      </w:pPr>
      <w:r>
        <w:t xml:space="preserve">Sporządzono dnia</w:t>
      </w:r>
      <w:r>
        <w:t xml:space="preserve"> </w:t>
      </w:r>
    </w:p>
    <w:p w14:paraId="43343C5A" w14:textId="77777777" w:rsidR="00F66D41" w:rsidRDefault="00F66D41" w:rsidP="00F66D41">
      <w:pPr>
        <w:pStyle w:val="SNDate"/>
      </w:pPr>
      <w:r>
        <w:t xml:space="preserve">Élisabeth BORNE</w:t>
      </w:r>
    </w:p>
    <w:p w14:paraId="45FC2349" w14:textId="77777777" w:rsidR="00F66D41" w:rsidRDefault="00F66D41" w:rsidP="00F66D41">
      <w:pPr>
        <w:pStyle w:val="SNContreseing"/>
      </w:pPr>
      <w:r>
        <w:t xml:space="preserve">Z upoważnienia Premier:</w:t>
      </w:r>
      <w:r>
        <w:t xml:space="preserve"> </w:t>
      </w:r>
    </w:p>
    <w:p w14:paraId="74E27225" w14:textId="77777777" w:rsidR="00F66D41" w:rsidRDefault="00F66D41" w:rsidP="00F66D41">
      <w:pPr>
        <w:pStyle w:val="SNSignatureDroite"/>
      </w:pPr>
      <w:r>
        <w:t xml:space="preserve">Minister Gospodarki, Finansów oraz Suwerenności Przemysłowej i Cyfrowej</w:t>
      </w:r>
    </w:p>
    <w:p w14:paraId="2E41F259" w14:textId="77777777" w:rsidR="00F66D41" w:rsidRDefault="00F66D41" w:rsidP="00F66D41">
      <w:pPr>
        <w:pStyle w:val="SNSignatureDroite"/>
      </w:pPr>
      <w:r>
        <w:t xml:space="preserve">Bruno LE MAIRE</w:t>
      </w:r>
    </w:p>
    <w:p w14:paraId="32FB1261" w14:textId="77777777" w:rsidR="00F66D41" w:rsidRDefault="00F66D41" w:rsidP="00F66D41">
      <w:pPr>
        <w:pStyle w:val="SNSignatureDroite"/>
      </w:pPr>
      <w:r>
        <w:t xml:space="preserve">Minister Rolnictwa i Suwerenności Żywnościowej</w:t>
      </w:r>
      <w:r>
        <w:t xml:space="preserve"> </w:t>
      </w:r>
    </w:p>
    <w:p w14:paraId="64FCE91B" w14:textId="77777777" w:rsidR="005F5078" w:rsidRDefault="00F66D41" w:rsidP="00F66D41">
      <w:pPr>
        <w:pStyle w:val="SNSignatureDroite"/>
      </w:pPr>
      <w:r>
        <w:t xml:space="preserve">Marc FESNEAU</w:t>
      </w:r>
    </w:p>
    <w:p w14:paraId="558790CA" w14:textId="77777777" w:rsidR="00F66D41" w:rsidRDefault="00F66D41" w:rsidP="00F66D41">
      <w:pPr>
        <w:pStyle w:val="SNSignatureDroite"/>
      </w:pPr>
      <w:r>
        <w:t xml:space="preserve">Minister ds. Transformacji Ekologicznej i Spójności Terytorialnej</w:t>
      </w:r>
    </w:p>
    <w:p w14:paraId="4CCA895F" w14:textId="77777777" w:rsidR="00F66D41" w:rsidRDefault="00F66D41" w:rsidP="00F66D41">
      <w:pPr>
        <w:pStyle w:val="SNContreseing"/>
        <w:jc w:val="right"/>
      </w:pPr>
      <w:r>
        <w:t xml:space="preserve">Christophe BÉCHU</w:t>
      </w:r>
    </w:p>
    <w:p w14:paraId="1104E23F" w14:textId="77777777" w:rsidR="00F66D41" w:rsidRPr="00F66D41" w:rsidRDefault="00F66D41" w:rsidP="00F66D41">
      <w:pPr>
        <w:pStyle w:val="SNSignatureGauche"/>
      </w:pPr>
    </w:p>
    <w:p w14:paraId="03685179" w14:textId="77777777" w:rsidR="00F66D41" w:rsidRDefault="00F66D41" w:rsidP="00F66D41">
      <w:pPr>
        <w:pStyle w:val="SNSignatureDroite"/>
      </w:pPr>
      <w:r>
        <w:t xml:space="preserve">Minister Zdrowia i Profilaktyki</w:t>
      </w:r>
    </w:p>
    <w:p w14:paraId="540A467A" w14:textId="77777777" w:rsidR="005F5078" w:rsidRDefault="00F66D41" w:rsidP="00F66D41">
      <w:pPr>
        <w:pStyle w:val="SNContreseing"/>
        <w:jc w:val="right"/>
      </w:pPr>
      <w:r>
        <w:t xml:space="preserve">François BRAUN</w:t>
      </w:r>
    </w:p>
    <w:p w14:paraId="293EA704" w14:textId="77777777" w:rsidR="00F66D41" w:rsidRPr="00F66D41" w:rsidRDefault="00F66D41" w:rsidP="00F66D41">
      <w:pPr>
        <w:pStyle w:val="SNSignatureGauche"/>
      </w:pPr>
    </w:p>
    <w:sectPr w:rsidR="00F66D41" w:rsidRPr="00F66D41">
      <w:pgSz w:w="11906" w:h="16838"/>
      <w:pgMar w:top="1134" w:right="1418" w:bottom="1418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158B4" w14:textId="77777777" w:rsidR="006C37FB" w:rsidRDefault="006C37FB">
      <w:pPr>
        <w:spacing w:after="0" w:line="240" w:lineRule="auto"/>
      </w:pPr>
      <w:r>
        <w:separator/>
      </w:r>
    </w:p>
  </w:endnote>
  <w:endnote w:type="continuationSeparator" w:id="0">
    <w:p w14:paraId="05D2E9A9" w14:textId="77777777" w:rsidR="006C37FB" w:rsidRDefault="006C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3DA20" w14:textId="77777777" w:rsidR="006C37FB" w:rsidRDefault="006C37FB">
      <w:pPr>
        <w:spacing w:after="0" w:line="240" w:lineRule="auto"/>
      </w:pPr>
      <w:r>
        <w:separator/>
      </w:r>
    </w:p>
  </w:footnote>
  <w:footnote w:type="continuationSeparator" w:id="0">
    <w:p w14:paraId="5A47CC3F" w14:textId="77777777" w:rsidR="006C37FB" w:rsidRDefault="006C3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78"/>
    <w:rsid w:val="000B51D1"/>
    <w:rsid w:val="001C1031"/>
    <w:rsid w:val="002E171A"/>
    <w:rsid w:val="005C7EF3"/>
    <w:rsid w:val="005F5078"/>
    <w:rsid w:val="006C37FB"/>
    <w:rsid w:val="006E603D"/>
    <w:rsid w:val="00731862"/>
    <w:rsid w:val="009154B2"/>
    <w:rsid w:val="0093040D"/>
    <w:rsid w:val="00A040C9"/>
    <w:rsid w:val="00C9285A"/>
    <w:rsid w:val="00D52C12"/>
    <w:rsid w:val="00E03AB7"/>
    <w:rsid w:val="00E4701B"/>
    <w:rsid w:val="00F1433B"/>
    <w:rsid w:val="00F66D41"/>
    <w:rsid w:val="00FC0A78"/>
    <w:rsid w:val="00F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DE4FA"/>
  <w15:docId w15:val="{EA1D06FE-9AE1-4E77-B740-6894B8B6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pl-PL" w:eastAsia="fr-F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/>
      <w:jc w:val="center"/>
      <w:outlineLvl w:val="0"/>
    </w:pPr>
    <w:rPr>
      <w:rFonts w:cs="Arial"/>
      <w:bCs/>
      <w:caps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120"/>
      <w:jc w:val="center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line="240" w:lineRule="auto"/>
    </w:p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SNTimbreCar">
    <w:name w:val="SNTimbre Car"/>
    <w:basedOn w:val="DefaultParagraphFont"/>
    <w:qFormat/>
    <w:rPr>
      <w:rFonts w:eastAsia="Lucida Sans Unicode"/>
      <w:sz w:val="24"/>
      <w:szCs w:val="24"/>
      <w:lang w:val="pl-PL" w:bidi="ar-SA"/>
    </w:rPr>
  </w:style>
  <w:style w:type="character" w:customStyle="1" w:styleId="SNDateCar">
    <w:name w:val="SNDate Car"/>
    <w:basedOn w:val="DefaultParagraphFont"/>
    <w:qFormat/>
    <w:rPr>
      <w:sz w:val="24"/>
      <w:szCs w:val="24"/>
      <w:lang w:val="pl-PL" w:eastAsia="fr-FR" w:bidi="ar-SA"/>
    </w:rPr>
  </w:style>
  <w:style w:type="character" w:customStyle="1" w:styleId="SNArticleCar">
    <w:name w:val="SNArticle Car"/>
    <w:basedOn w:val="DefaultParagraphFont"/>
    <w:qFormat/>
    <w:rPr>
      <w:b/>
      <w:sz w:val="24"/>
      <w:szCs w:val="24"/>
      <w:lang w:val="pl-PL" w:eastAsia="fr-FR" w:bidi="ar-SA"/>
    </w:rPr>
  </w:style>
  <w:style w:type="character" w:customStyle="1" w:styleId="SNenProjet">
    <w:name w:val="SNenProjet"/>
    <w:basedOn w:val="DefaultParagraphFont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qFormat/>
    <w:rPr>
      <w:sz w:val="24"/>
      <w:szCs w:val="24"/>
    </w:rPr>
  </w:style>
  <w:style w:type="character" w:customStyle="1" w:styleId="LienInternet">
    <w:name w:val="Lien Internet"/>
    <w:basedOn w:val="DefaultParagraphFont"/>
    <w:uiPriority w:val="99"/>
    <w:unhideWhenUsed/>
    <w:rPr>
      <w:color w:val="0563C1"/>
      <w:u w:val="single"/>
    </w:rPr>
  </w:style>
  <w:style w:type="paragraph" w:styleId="Title">
    <w:name w:val="Title"/>
    <w:basedOn w:val="Normal"/>
    <w:next w:val="BodyText"/>
    <w:link w:val="TitleCha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semiHidden/>
    <w:pPr>
      <w:spacing w:after="120"/>
      <w:jc w:val="both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rPr>
      <w:rFonts w:cs="Lucida Sans"/>
    </w:rPr>
  </w:style>
  <w:style w:type="paragraph" w:customStyle="1" w:styleId="SNREPUBLIQUE">
    <w:name w:val="SNREPUBLIQUE"/>
    <w:basedOn w:val="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qFormat/>
    <w:pPr>
      <w:widowControl w:val="0"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qFormat/>
    <w:pPr>
      <w:widowControl w:val="0"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qFormat/>
    <w:pPr>
      <w:spacing w:after="200"/>
      <w:jc w:val="center"/>
    </w:pPr>
    <w:rPr>
      <w:bCs/>
      <w:sz w:val="24"/>
    </w:r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before="0" w:after="120"/>
      <w:ind w:left="5041"/>
    </w:pPr>
  </w:style>
  <w:style w:type="paragraph" w:customStyle="1" w:styleId="SNSignatureDroite">
    <w:name w:val="SNSignatureDroite"/>
    <w:basedOn w:val="Normal"/>
    <w:next w:val="SNSignatureprnomnomDroite"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Gauche">
    <w:name w:val="SNSignatureGauche"/>
    <w:basedOn w:val="Normal"/>
    <w:next w:val="SNSignatureprnomnomGauche"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after="120"/>
    </w:pPr>
    <w:rPr>
      <w:color w:val="000000"/>
    </w:rPr>
  </w:style>
  <w:style w:type="paragraph" w:customStyle="1" w:styleId="SNTimbre">
    <w:name w:val="SNTimbre"/>
    <w:basedOn w:val="Normal"/>
    <w:qFormat/>
    <w:pPr>
      <w:widowControl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Date">
    <w:name w:val="SNDate"/>
    <w:basedOn w:val="Normal"/>
    <w:next w:val="SNContreseing"/>
    <w:qFormat/>
    <w:pPr>
      <w:spacing w:before="480" w:after="2760"/>
      <w:ind w:firstLine="720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NActe">
    <w:name w:val="SNActe"/>
    <w:basedOn w:val="Normal"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BodyText"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qFormat/>
    <w:pPr>
      <w:ind w:firstLine="720"/>
    </w:pPr>
  </w:style>
  <w:style w:type="paragraph" w:customStyle="1" w:styleId="SNConsultationCE">
    <w:name w:val="SNConsultationCE"/>
    <w:basedOn w:val="SNConsultation"/>
    <w:qFormat/>
  </w:style>
  <w:style w:type="paragraph" w:customStyle="1" w:styleId="SNConsultationCM">
    <w:name w:val="SNConsultationCM"/>
    <w:basedOn w:val="SNConsultation"/>
    <w:qFormat/>
  </w:style>
  <w:style w:type="paragraph" w:customStyle="1" w:styleId="SNDirection">
    <w:name w:val="SNDirection"/>
    <w:basedOn w:val="Normal"/>
    <w:qFormat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qFormat/>
    <w:pPr>
      <w:jc w:val="center"/>
    </w:pPr>
  </w:style>
  <w:style w:type="paragraph" w:customStyle="1" w:styleId="SNTitreRapport">
    <w:name w:val="SNTitreRapport"/>
    <w:basedOn w:val="SNActe"/>
    <w:qFormat/>
  </w:style>
  <w:style w:type="paragraph" w:customStyle="1" w:styleId="SNExcution">
    <w:name w:val="SNExécution"/>
    <w:basedOn w:val="Normal"/>
    <w:qFormat/>
  </w:style>
  <w:style w:type="paragraph" w:customStyle="1" w:styleId="SNAdoption">
    <w:name w:val="SNAdoption"/>
    <w:basedOn w:val="Normal"/>
    <w:qFormat/>
  </w:style>
  <w:style w:type="paragraph" w:customStyle="1" w:styleId="SNLibell">
    <w:name w:val="SNLibellé"/>
    <w:basedOn w:val="Normal"/>
    <w:qFormat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Heading1"/>
    <w:qFormat/>
    <w:pPr>
      <w:spacing w:before="0" w:after="120"/>
    </w:pPr>
    <w:rPr>
      <w:b/>
    </w:rPr>
  </w:style>
  <w:style w:type="paragraph" w:customStyle="1" w:styleId="Titre2objet">
    <w:name w:val="Titre 2 objet"/>
    <w:basedOn w:val="Heading2"/>
    <w:next w:val="Normal"/>
    <w:qFormat/>
    <w:pPr>
      <w:spacing w:before="0" w:after="120"/>
    </w:pPr>
    <w:rPr>
      <w:b/>
    </w:rPr>
  </w:style>
  <w:style w:type="paragraph" w:customStyle="1" w:styleId="titre3objet">
    <w:name w:val="titre 3 objet"/>
    <w:basedOn w:val="Heading3"/>
    <w:next w:val="Normal"/>
    <w:qFormat/>
    <w:pPr>
      <w:spacing w:before="0" w:after="120"/>
    </w:pPr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eastAsia="Calibri"/>
      <w:color w:val="000000"/>
    </w:rPr>
  </w:style>
  <w:style w:type="paragraph" w:customStyle="1" w:styleId="western">
    <w:name w:val="western"/>
    <w:basedOn w:val="Normal"/>
    <w:qFormat/>
    <w:pPr>
      <w:spacing w:beforeAutospacing="1" w:after="119"/>
      <w:jc w:val="both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SPM</Company>
  <LinksUpToDate>false</LinksUpToDate>
  <CharactersWithSpaces>17356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Camille Massy</dc:creator>
  <dc:description/>
  <cp:lastModifiedBy>Dimitris Dimitriadis</cp:lastModifiedBy>
  <cp:revision>5</cp:revision>
  <dcterms:created xsi:type="dcterms:W3CDTF">2022-11-08T16:03:00Z</dcterms:created>
  <dcterms:modified xsi:type="dcterms:W3CDTF">2022-11-23T08:30:00Z</dcterms:modified>
  <dc:language>fr-FR</dc:language>
</cp:coreProperties>
</file>