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C9C3" w14:textId="3E4D8706" w:rsidR="00DF230E" w:rsidRDefault="00F85DA0" w:rsidP="003047D3">
      <w:pPr>
        <w:pStyle w:val="Titel"/>
        <w:tabs>
          <w:tab w:val="clear" w:pos="6804"/>
          <w:tab w:val="right" w:pos="7655"/>
        </w:tabs>
      </w:pPr>
      <w:r w:rsidRPr="001F6A7A">
        <w:rPr>
          <w:noProof/>
          <w:szCs w:val="36"/>
        </w:rPr>
        <mc:AlternateContent>
          <mc:Choice Requires="wps">
            <w:drawing>
              <wp:anchor distT="0" distB="0" distL="114300" distR="114300" simplePos="0" relativeHeight="251659265" behindDoc="0" locked="0" layoutInCell="1" allowOverlap="1" wp14:anchorId="438AC7CC" wp14:editId="4E44CA8C">
                <wp:simplePos x="0" y="0"/>
                <wp:positionH relativeFrom="column">
                  <wp:posOffset>4051300</wp:posOffset>
                </wp:positionH>
                <wp:positionV relativeFrom="paragraph">
                  <wp:posOffset>109220</wp:posOffset>
                </wp:positionV>
                <wp:extent cx="1076325" cy="495300"/>
                <wp:effectExtent l="0" t="0" r="9525" b="0"/>
                <wp:wrapNone/>
                <wp:docPr id="799183960" name="Text Box 1"/>
                <wp:cNvGraphicFramePr/>
                <a:graphic xmlns:a="http://schemas.openxmlformats.org/drawingml/2006/main">
                  <a:graphicData uri="http://schemas.microsoft.com/office/word/2010/wordprocessingShape">
                    <wps:wsp>
                      <wps:cNvSpPr txBox="1"/>
                      <wps:spPr>
                        <a:xfrm>
                          <a:off x="0" y="0"/>
                          <a:ext cx="1076325" cy="495300"/>
                        </a:xfrm>
                        <a:prstGeom prst="rect">
                          <a:avLst/>
                        </a:prstGeom>
                        <a:solidFill>
                          <a:schemeClr val="lt1"/>
                        </a:solidFill>
                        <a:ln w="6350">
                          <a:noFill/>
                        </a:ln>
                      </wps:spPr>
                      <wps:txbx>
                        <w:txbxContent>
                          <w:p w14:paraId="374CE7CB" w14:textId="164B17EE" w:rsidR="00F85DA0" w:rsidRPr="00F85DA0" w:rsidRDefault="00F85DA0">
                            <w:pPr>
                              <w:rPr>
                                <w:b/>
                                <w:bCs/>
                                <w:sz w:val="22"/>
                                <w:szCs w:val="22"/>
                              </w:rPr>
                            </w:pPr>
                            <w:r>
                              <w:rPr>
                                <w:b/>
                                <w:sz w:val="22"/>
                              </w:rPr>
                              <w:t>AGENCE SUÉDOISE DES TRANSPORTS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AC7CC" id="_x0000_t202" coordsize="21600,21600" o:spt="202" path="m,l,21600r21600,l21600,xe">
                <v:stroke joinstyle="miter"/>
                <v:path gradientshapeok="t" o:connecttype="rect"/>
              </v:shapetype>
              <v:shape id="Text Box 1" o:spid="_x0000_s1026" type="#_x0000_t202" style="position:absolute;margin-left:319pt;margin-top:8.6pt;width:84.75pt;height:3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" fillcolor="white [3201]" stroked="f" strokeweight=".5pt">
                <v:textbox inset="0,0,0,0">
                  <w:txbxContent>
                    <w:p w14:paraId="374CE7CB" w14:textId="164B17EE" w:rsidR="00F85DA0" w:rsidRPr="00F85DA0" w:rsidRDefault="00F85DA0">
                      <w:pPr>
                        <w:rPr>
                          <w:b/>
                          <w:bCs/>
                          <w:sz w:val="22"/>
                          <w:szCs w:val="22"/>
                        </w:rPr>
                      </w:pPr>
                      <w:r>
                        <w:rPr>
                          <w:b/>
                          <w:sz w:val="22"/>
                        </w:rPr>
                        <w:t>AGENCE SUÉDOISE DES TRANSPORTS</w:t>
                      </w:r>
                    </w:p>
                  </w:txbxContent>
                </v:textbox>
              </v:shape>
            </w:pict>
          </mc:Fallback>
        </mc:AlternateContent>
      </w:r>
      <w:r w:rsidRPr="001F6A7A">
        <w:rPr>
          <w:szCs w:val="36"/>
        </w:rPr>
        <w:t xml:space="preserve">Recueil des textes légaux et réglementaires </w:t>
      </w:r>
      <w:r w:rsidR="003047D3" w:rsidRPr="001F6A7A">
        <w:rPr>
          <w:szCs w:val="36"/>
        </w:rPr>
        <w:br/>
      </w:r>
      <w:r w:rsidRPr="001F6A7A">
        <w:rPr>
          <w:szCs w:val="36"/>
        </w:rPr>
        <w:t>de l’Agence suédoise des transports</w:t>
      </w:r>
      <w:r>
        <w:tab/>
      </w:r>
      <w:r>
        <w:rPr>
          <w:noProof/>
        </w:rPr>
        <w:drawing>
          <wp:inline distT="0" distB="0" distL="0" distR="0" wp14:anchorId="4AEA98CB" wp14:editId="48DF1EFE">
            <wp:extent cx="1278294" cy="354330"/>
            <wp:effectExtent l="0" t="0" r="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280823" cy="355031"/>
                    </a:xfrm>
                    <a:prstGeom prst="rect">
                      <a:avLst/>
                    </a:prstGeom>
                    <a:noFill/>
                    <a:ln>
                      <a:noFill/>
                    </a:ln>
                    <a:extLst>
                      <a:ext uri="{53640926-AAD7-44D8-BBD7-CCE9431645EC}">
                        <a14:shadowObscured xmlns:a14="http://schemas.microsoft.com/office/drawing/2010/main"/>
                      </a:ext>
                    </a:extLst>
                  </pic:spPr>
                </pic:pic>
              </a:graphicData>
            </a:graphic>
          </wp:inline>
        </w:drawing>
      </w:r>
    </w:p>
    <w:p w14:paraId="7FBF0C49" w14:textId="77777777" w:rsidR="007070C7" w:rsidRDefault="007070C7" w:rsidP="007070C7">
      <w:pPr>
        <w:pStyle w:val="Stycke"/>
        <w:ind w:left="-28"/>
      </w:pPr>
      <w:r>
        <w:rPr>
          <w:noProof/>
        </w:rPr>
        <mc:AlternateContent>
          <mc:Choice Requires="wps">
            <w:drawing>
              <wp:inline distT="0" distB="0" distL="0" distR="0" wp14:anchorId="2807C0CC" wp14:editId="45EB806A">
                <wp:extent cx="4986000" cy="0"/>
                <wp:effectExtent l="0" t="0" r="0" b="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DA5DC1"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" strokecolor="black [3213]" strokeweight="1pt">
                <w10:anchorlock/>
              </v:line>
            </w:pict>
          </mc:Fallback>
        </mc:AlternateContent>
      </w:r>
    </w:p>
    <w:p w14:paraId="5F47538A" w14:textId="5B767C9A" w:rsidR="00DA54A8" w:rsidRPr="00A44C8A" w:rsidRDefault="00140AE8" w:rsidP="00CA6BA0">
      <w:pPr>
        <w:pStyle w:val="Frfattningsrubrik"/>
        <w:tabs>
          <w:tab w:val="right" w:pos="6804"/>
        </w:tabs>
      </w:pPr>
      <w:r>
        <w:t>Règlements modifiant les règlements et les recommandations générales de l’Agence suédoise des transports (TSFS 2016:22) sur les véhicules et remorques tractées par des véhicules et mis en service le 1</w:t>
      </w:r>
      <w:r>
        <w:rPr>
          <w:vertAlign w:val="superscript"/>
        </w:rPr>
        <w:t>er</w:t>
      </w:r>
      <w:r>
        <w:t> juillet 2010 ou ultérieurement;</w:t>
      </w:r>
    </w:p>
    <w:p w14:paraId="4E5CBB42"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8240" behindDoc="1" locked="1" layoutInCell="1" allowOverlap="1" wp14:anchorId="547B6E4A" wp14:editId="7BCC0471">
                <wp:simplePos x="0" y="0"/>
                <wp:positionH relativeFrom="page">
                  <wp:posOffset>4457700</wp:posOffset>
                </wp:positionH>
                <wp:positionV relativeFrom="page">
                  <wp:posOffset>2257425</wp:posOffset>
                </wp:positionV>
                <wp:extent cx="1483360" cy="14287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428750"/>
                        </a:xfrm>
                        <a:prstGeom prst="rect">
                          <a:avLst/>
                        </a:prstGeom>
                        <a:noFill/>
                        <a:ln w="9525">
                          <a:noFill/>
                          <a:miter lim="800000"/>
                          <a:headEnd/>
                          <a:tailEnd/>
                        </a:ln>
                      </wps:spPr>
                      <wps:txbx>
                        <w:txbxContent>
                          <w:p w14:paraId="570F4F7F" w14:textId="77777777" w:rsidR="00FC02EB" w:rsidRPr="0024789E" w:rsidRDefault="001F6A7A" w:rsidP="00FC02EB">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FC02EB">
                                  <w:t>TSFS 20</w:t>
                                </w:r>
                              </w:sdtContent>
                            </w:sdt>
                            <w:sdt>
                              <w:sdtPr>
                                <w:alias w:val="Année"/>
                                <w:tag w:val="År"/>
                                <w:id w:val="-1222900966"/>
                                <w:dataBinding w:prefixMappings="xmlns:ns0='consensis-fs'" w:xpath="/ns0:root[1]/ns0:fs-fields[1]/ns0:fs-year[1]" w:storeItemID="{F222B965-9C48-4AC7-962E-E2AF3EEF1550}"/>
                                <w:text/>
                              </w:sdtPr>
                              <w:sdtEndPr/>
                              <w:sdtContent>
                                <w:r w:rsidR="00DA20BB">
                                  <w:t>23</w:t>
                                </w:r>
                              </w:sdtContent>
                            </w:sdt>
                            <w:r w:rsidR="00DA20BB">
                              <w:t>:</w:t>
                            </w:r>
                            <w:sdt>
                              <w:sdtPr>
                                <w:alias w:val="Nº"/>
                                <w:tag w:val="Nr"/>
                                <w:id w:val="1068315890"/>
                                <w:dataBinding w:prefixMappings="xmlns:ns0='consensis-fs'" w:xpath="/ns0:root[1]/ns0:fs-fields[1]/ns0:fs-no[1]" w:storeItemID="{F222B965-9C48-4AC7-962E-E2AF3EEF1550}"/>
                                <w:text/>
                              </w:sdtPr>
                              <w:sdtEndPr/>
                              <w:sdtContent>
                                <w:r w:rsidR="00DA20BB">
                                  <w:t>XX</w:t>
                                </w:r>
                              </w:sdtContent>
                            </w:sdt>
                          </w:p>
                          <w:p w14:paraId="0169AA2F" w14:textId="77777777" w:rsidR="00FC02EB" w:rsidRDefault="00FC02EB" w:rsidP="001E320C">
                            <w:pPr>
                              <w:pStyle w:val="Trycket"/>
                              <w:shd w:val="clear" w:color="auto" w:fill="auto"/>
                            </w:pPr>
                            <w:r>
                              <w:t>Publié</w:t>
                            </w:r>
                            <w:r>
                              <w:br/>
                              <w:t xml:space="preserve">le </w:t>
                            </w:r>
                            <w:sdt>
                              <w:sdtPr>
                                <w:alias w:val="Sélectionner une date"/>
                                <w:tag w:val="Utkom datum"/>
                                <w:id w:val="1764647152"/>
                                <w:showingPlcHdr/>
                                <w:dataBinding w:prefixMappings="xmlns:ns0='consensis-fs'" w:xpath="/ns0:root[1]/ns0:fs-fields[1]/ns0:fs-date[1]" w:storeItemID="{F222B965-9C48-4AC7-962E-E2AF3EEF1550}"/>
                                <w:date>
                                  <w:dateFormat w:val="d MMMM yyyy"/>
                                  <w:lid w:val="fr-FR"/>
                                  <w:storeMappedDataAs w:val="dateTime"/>
                                  <w:calendar w:val="gregorian"/>
                                </w:date>
                              </w:sdtPr>
                              <w:sdtEndPr/>
                              <w:sdtContent>
                                <w:r>
                                  <w:rPr>
                                    <w:rStyle w:val="PlaceholderText"/>
                                  </w:rPr>
                                  <w:t>[Sélectionner une date]</w:t>
                                </w:r>
                              </w:sdtContent>
                            </w:sdt>
                          </w:p>
                          <w:sdt>
                            <w:sdtPr>
                              <w:alias w:val="Saisir les séries"/>
                              <w:tag w:val="Serie"/>
                              <w:id w:val="1005330943"/>
                              <w:dataBinding w:prefixMappings="xmlns:ns0='consensis-fs'" w:xpath="/ns0:root[1]/ns0:fs-fields[1]/ns0:fs-series[1]" w:storeItemID="{F222B965-9C48-4AC7-962E-E2AF3EEF1550}"/>
                              <w:text/>
                            </w:sdtPr>
                            <w:sdtEndPr/>
                            <w:sdtContent>
                              <w:p w14:paraId="4DB287E4" w14:textId="77777777" w:rsidR="00FC02EB" w:rsidRPr="001D6617" w:rsidRDefault="00FC02EB" w:rsidP="00FC02EB">
                                <w:pPr>
                                  <w:pStyle w:val="Serie"/>
                                </w:pPr>
                                <w:r>
                                  <w:t>CIRCULATION ROUTIÈRE</w:t>
                                </w:r>
                              </w:p>
                            </w:sdtContent>
                          </w:sdt>
                          <w:p w14:paraId="55142639" w14:textId="77777777" w:rsidR="00FC02EB" w:rsidRPr="007C403E" w:rsidRDefault="001F6A7A" w:rsidP="007C403E">
                            <w:pPr>
                              <w:pStyle w:val="Underserie"/>
                              <w:rPr>
                                <w:bCs/>
                              </w:rPr>
                            </w:pPr>
                            <w:sdt>
                              <w:sdtPr>
                                <w:alias w:val="Saisir les sous-séries"/>
                                <w:tag w:val="Userie"/>
                                <w:id w:val="1607690029"/>
                                <w:showingPlcHdr/>
                                <w:dataBinding w:prefixMappings="xmlns:ns0='consensis-fs'" w:xpath="/ns0:root[1]/ns0:fs-fields[1]/ns0:fs-subseries[1]" w:storeItemID="{F222B965-9C48-4AC7-962E-E2AF3EEF1550}"/>
                                <w:text/>
                              </w:sdtPr>
                              <w:sdtEndPr/>
                              <w:sdtContent>
                                <w:r w:rsidR="00DA20BB">
                                  <w:rPr>
                                    <w:rStyle w:val="PlaceholderText"/>
                                  </w:rPr>
                                  <w:t>[Saisir les sous-séries]</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7B6E4A" id="Textruta 2" o:spid="_x0000_s1027" type="#_x0000_t202" style="position:absolute;left:0;text-align:left;margin-left:351pt;margin-top:177.75pt;width:116.8pt;height:112.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" filled="f" stroked="f">
                <v:textbox>
                  <w:txbxContent>
                    <w:p w14:paraId="570F4F7F" w14:textId="77777777" w:rsidR="00FC02EB" w:rsidRPr="0024789E" w:rsidRDefault="001F6A7A" w:rsidP="00FC02EB">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FC02EB">
                            <w:t>TSFS 20</w:t>
                          </w:r>
                        </w:sdtContent>
                      </w:sdt>
                      <w:sdt>
                        <w:sdtPr>
                          <w:alias w:val="Année"/>
                          <w:tag w:val="År"/>
                          <w:id w:val="-1222900966"/>
                          <w:dataBinding w:prefixMappings="xmlns:ns0='consensis-fs'" w:xpath="/ns0:root[1]/ns0:fs-fields[1]/ns0:fs-year[1]" w:storeItemID="{F222B965-9C48-4AC7-962E-E2AF3EEF1550}"/>
                          <w:text/>
                        </w:sdtPr>
                        <w:sdtEndPr/>
                        <w:sdtContent>
                          <w:r w:rsidR="00DA20BB">
                            <w:t>23</w:t>
                          </w:r>
                        </w:sdtContent>
                      </w:sdt>
                      <w:r w:rsidR="00DA20BB">
                        <w:t>:</w:t>
                      </w:r>
                      <w:sdt>
                        <w:sdtPr>
                          <w:alias w:val="Nº"/>
                          <w:tag w:val="Nr"/>
                          <w:id w:val="1068315890"/>
                          <w:dataBinding w:prefixMappings="xmlns:ns0='consensis-fs'" w:xpath="/ns0:root[1]/ns0:fs-fields[1]/ns0:fs-no[1]" w:storeItemID="{F222B965-9C48-4AC7-962E-E2AF3EEF1550}"/>
                          <w:text/>
                        </w:sdtPr>
                        <w:sdtEndPr/>
                        <w:sdtContent>
                          <w:r w:rsidR="00DA20BB">
                            <w:t>XX</w:t>
                          </w:r>
                        </w:sdtContent>
                      </w:sdt>
                    </w:p>
                    <w:p w14:paraId="0169AA2F" w14:textId="77777777" w:rsidR="00FC02EB" w:rsidRDefault="00FC02EB" w:rsidP="001E320C">
                      <w:pPr>
                        <w:pStyle w:val="Trycket"/>
                        <w:shd w:val="clear" w:color="auto" w:fill="auto"/>
                      </w:pPr>
                      <w:r>
                        <w:t>Publié</w:t>
                      </w:r>
                      <w:r>
                        <w:br/>
                        <w:t xml:space="preserve">le </w:t>
                      </w:r>
                      <w:sdt>
                        <w:sdtPr>
                          <w:alias w:val="Sélectionner une date"/>
                          <w:tag w:val="Utkom datum"/>
                          <w:id w:val="1764647152"/>
                          <w:showingPlcHdr/>
                          <w:dataBinding w:prefixMappings="xmlns:ns0='consensis-fs'" w:xpath="/ns0:root[1]/ns0:fs-fields[1]/ns0:fs-date[1]" w:storeItemID="{F222B965-9C48-4AC7-962E-E2AF3EEF1550}"/>
                          <w:date>
                            <w:dateFormat w:val="d MMMM yyyy"/>
                            <w:lid w:val="fr-FR"/>
                            <w:storeMappedDataAs w:val="dateTime"/>
                            <w:calendar w:val="gregorian"/>
                          </w:date>
                        </w:sdtPr>
                        <w:sdtEndPr/>
                        <w:sdtContent>
                          <w:r>
                            <w:rPr>
                              <w:rStyle w:val="PlaceholderText"/>
                            </w:rPr>
                            <w:t>[Sélectionner une date]</w:t>
                          </w:r>
                        </w:sdtContent>
                      </w:sdt>
                    </w:p>
                    <w:sdt>
                      <w:sdtPr>
                        <w:alias w:val="Saisir les séries"/>
                        <w:tag w:val="Serie"/>
                        <w:id w:val="1005330943"/>
                        <w:dataBinding w:prefixMappings="xmlns:ns0='consensis-fs'" w:xpath="/ns0:root[1]/ns0:fs-fields[1]/ns0:fs-series[1]" w:storeItemID="{F222B965-9C48-4AC7-962E-E2AF3EEF1550}"/>
                        <w:text/>
                      </w:sdtPr>
                      <w:sdtEndPr/>
                      <w:sdtContent>
                        <w:p w14:paraId="4DB287E4" w14:textId="77777777" w:rsidR="00FC02EB" w:rsidRPr="001D6617" w:rsidRDefault="00FC02EB" w:rsidP="00FC02EB">
                          <w:pPr>
                            <w:pStyle w:val="Serie"/>
                          </w:pPr>
                          <w:r>
                            <w:t>CIRCULATION ROUTIÈRE</w:t>
                          </w:r>
                        </w:p>
                      </w:sdtContent>
                    </w:sdt>
                    <w:p w14:paraId="55142639" w14:textId="77777777" w:rsidR="00FC02EB" w:rsidRPr="007C403E" w:rsidRDefault="001F6A7A" w:rsidP="007C403E">
                      <w:pPr>
                        <w:pStyle w:val="Underserie"/>
                        <w:rPr>
                          <w:bCs/>
                        </w:rPr>
                      </w:pPr>
                      <w:sdt>
                        <w:sdtPr>
                          <w:alias w:val="Saisir les sous-séries"/>
                          <w:tag w:val="Userie"/>
                          <w:id w:val="1607690029"/>
                          <w:showingPlcHdr/>
                          <w:dataBinding w:prefixMappings="xmlns:ns0='consensis-fs'" w:xpath="/ns0:root[1]/ns0:fs-fields[1]/ns0:fs-subseries[1]" w:storeItemID="{F222B965-9C48-4AC7-962E-E2AF3EEF1550}"/>
                          <w:text/>
                        </w:sdtPr>
                        <w:sdtEndPr/>
                        <w:sdtContent>
                          <w:r w:rsidR="00DA20BB">
                            <w:rPr>
                              <w:rStyle w:val="PlaceholderText"/>
                            </w:rPr>
                            <w:t>[Saisir les sous-séries]</w:t>
                          </w:r>
                        </w:sdtContent>
                      </w:sdt>
                    </w:p>
                  </w:txbxContent>
                </v:textbox>
                <w10:wrap anchorx="page" anchory="page"/>
                <w10:anchorlock/>
              </v:shape>
            </w:pict>
          </mc:Fallback>
        </mc:AlternateContent>
      </w:r>
      <w:r>
        <w:t xml:space="preserve">adopté le </w:t>
      </w:r>
      <w:sdt>
        <w:sdtPr>
          <w:rPr>
            <w:szCs w:val="22"/>
          </w:rPr>
          <w:alias w:val="Sélectionner une date"/>
          <w:tag w:val="Välj ett datum"/>
          <w:id w:val="1438946608"/>
          <w:placeholder>
            <w:docPart w:val="E534B498335E4FF69B2409C76F31088A"/>
          </w:placeholder>
          <w:showingPlcHdr/>
          <w:date>
            <w:dateFormat w:val="d MMMM yyyy"/>
            <w:lid w:val="fr-FR"/>
            <w:storeMappedDataAs w:val="dateTime"/>
            <w:calendar w:val="gregorian"/>
          </w:date>
        </w:sdtPr>
        <w:sdtEndPr/>
        <w:sdtContent>
          <w:r>
            <w:rPr>
              <w:rStyle w:val="PlaceholderText"/>
            </w:rPr>
            <w:t>[Sélectionner une date]</w:t>
          </w:r>
        </w:sdtContent>
      </w:sdt>
      <w:r>
        <w:t>.</w:t>
      </w:r>
    </w:p>
    <w:p w14:paraId="010B2956" w14:textId="21A435C8" w:rsidR="00E43EE1" w:rsidRDefault="008F31FC" w:rsidP="00B72887">
      <w:pPr>
        <w:pStyle w:val="Styckemedindrag"/>
      </w:pPr>
      <w:r>
        <w:t>En vertu de l’article 16 du chapitre 8 de l’ordonnance sur les véhicules (2009:211), l’Agence suédoise des transports dit</w:t>
      </w:r>
      <w:r w:rsidR="00A21E13">
        <w:rPr>
          <w:rStyle w:val="FootnoteReference"/>
        </w:rPr>
        <w:footnoteReference w:id="2"/>
      </w:r>
      <w:r>
        <w:t xml:space="preserve"> que l’annexe 1 aux règlements et aux recommandations générales de l’Agence (TSFS 2016:22) sur les véhicules et remorques tractées par des véhicules et mis en service le 1</w:t>
      </w:r>
      <w:r>
        <w:rPr>
          <w:vertAlign w:val="superscript"/>
        </w:rPr>
        <w:t>er</w:t>
      </w:r>
      <w:r>
        <w:t> juillet 2010 ou ultérieurement se lit comme suit.</w:t>
      </w:r>
    </w:p>
    <w:p w14:paraId="628FB83E" w14:textId="4F1DE953" w:rsidR="00602C6F" w:rsidRDefault="00E4255A" w:rsidP="00E4255A">
      <w:pPr>
        <w:pStyle w:val="Flinjeikrafttrdande"/>
      </w:pPr>
      <w:r>
        <w:t>___________</w:t>
      </w:r>
    </w:p>
    <w:p w14:paraId="3E9C1AE5" w14:textId="32CE0F98" w:rsidR="00602C6F" w:rsidRDefault="00602C6F" w:rsidP="00B72887">
      <w:pPr>
        <w:pStyle w:val="Styckemedindrag"/>
      </w:pPr>
      <w:r>
        <w:t>Les présents règlements entreront en vigueur le 1</w:t>
      </w:r>
      <w:r>
        <w:rPr>
          <w:vertAlign w:val="superscript"/>
        </w:rPr>
        <w:t>er</w:t>
      </w:r>
      <w:r>
        <w:t> octobre 2023.</w:t>
      </w:r>
    </w:p>
    <w:p w14:paraId="05C0A8CC" w14:textId="0E015735" w:rsidR="00602C6F" w:rsidRDefault="00E4255A" w:rsidP="00E4255A">
      <w:pPr>
        <w:pStyle w:val="Beslutandeochfredragande"/>
      </w:pPr>
      <w:r>
        <w:t>Au nom de l’Agence suédoise des transports</w:t>
      </w:r>
      <w:r>
        <w:br/>
      </w:r>
      <w:r>
        <w:br/>
        <w:t>JONAS BJELFVENSTAM</w:t>
      </w:r>
      <w:r>
        <w:br/>
      </w:r>
      <w:r>
        <w:tab/>
        <w:t>Elena Belkow</w:t>
      </w:r>
      <w:r>
        <w:br/>
      </w:r>
      <w:r>
        <w:tab/>
        <w:t>(Route et Rail)</w:t>
      </w:r>
    </w:p>
    <w:p w14:paraId="11B69AC2" w14:textId="77777777" w:rsidR="004A0B2E" w:rsidRDefault="004A0B2E">
      <w:pPr>
        <w:pStyle w:val="Rubrik2utanluftfreellerBilaga"/>
        <w:sectPr w:rsidR="004A0B2E"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pPr>
    </w:p>
    <w:p w14:paraId="0AA95BA6" w14:textId="0ECE0C32" w:rsidR="00252E79" w:rsidRDefault="00C15FA3" w:rsidP="004D3B85">
      <w:pPr>
        <w:pStyle w:val="Rubrik2utanluftfreellerBilaga"/>
      </w:pPr>
      <w:r>
        <w:lastRenderedPageBreak/>
        <w:t>Annexe 1. Prescriptions applicables aux voitures particulières, aux autobus, aux camions et à leurs remorques</w:t>
      </w:r>
    </w:p>
    <w:p w14:paraId="59A20F1E" w14:textId="1EEC927D" w:rsidR="00C15FA3" w:rsidRDefault="00D7550F" w:rsidP="004D3B85">
      <w:pPr>
        <w:pStyle w:val="FTankstreck"/>
      </w:pPr>
      <w:r>
        <w:t>– – – – – – – – – – – – – – – – – – – – – – – – – – – – – – – – – – – – – – – – –</w:t>
      </w:r>
    </w:p>
    <w:p w14:paraId="392AD9F9" w14:textId="6040A48F" w:rsidR="00B34F67" w:rsidRPr="00B34F67" w:rsidRDefault="00B34F67" w:rsidP="004D3B85">
      <w:pPr>
        <w:pStyle w:val="Styckemedindrag"/>
        <w:ind w:firstLine="0"/>
        <w:rPr>
          <w:b/>
        </w:rPr>
      </w:pPr>
      <w:r>
        <w:rPr>
          <w:b/>
        </w:rPr>
        <w:t xml:space="preserve">20. Dispositifs d’éclairage et de signalisation lumineuse et leur installation </w:t>
      </w:r>
    </w:p>
    <w:p w14:paraId="110EEE08" w14:textId="77777777" w:rsidR="00F808A7" w:rsidRPr="00802803" w:rsidRDefault="00F808A7" w:rsidP="00F808A7">
      <w:pPr>
        <w:pStyle w:val="Stycke"/>
      </w:pPr>
      <w:r>
        <w:t>Les véhicules et les remorques doivent être munis des dispositifs d’éclairage et de signalisation lumineuse spécifiés à la ligne K1 ou K2 du tableau ci-dessous. Ceux-ci doivent être installés de manière à être conformes aux prescriptions des lignes K1 ou K2 et K3-K7.</w:t>
      </w:r>
    </w:p>
    <w:p w14:paraId="04CE732A" w14:textId="77777777" w:rsidR="00F808A7" w:rsidRPr="00802803" w:rsidRDefault="00F808A7" w:rsidP="00F808A7">
      <w:pPr>
        <w:pStyle w:val="Styckemedindrag"/>
      </w:pPr>
      <w:r>
        <w:t>Un véhicule de la catégorie M</w:t>
      </w:r>
      <w:r>
        <w:rPr>
          <w:vertAlign w:val="subscript"/>
        </w:rPr>
        <w:t>1</w:t>
      </w:r>
      <w:r>
        <w:t>, N</w:t>
      </w:r>
      <w:r>
        <w:rPr>
          <w:vertAlign w:val="subscript"/>
        </w:rPr>
        <w:t>1</w:t>
      </w:r>
      <w:r>
        <w:t xml:space="preserve"> et N</w:t>
      </w:r>
      <w:r>
        <w:rPr>
          <w:vertAlign w:val="subscript"/>
        </w:rPr>
        <w:t>2</w:t>
      </w:r>
      <w:r>
        <w:t xml:space="preserve"> avec une masse en charge jusqu’à 4 536 kg fabriquée en grande série dans des pays tiers ou pour des pays tiers, peuvent plutôt être conformes aux exigences de la ligne T1.</w:t>
      </w:r>
    </w:p>
    <w:p w14:paraId="7F24C5F4" w14:textId="77777777" w:rsidR="00F808A7" w:rsidRPr="00802803" w:rsidRDefault="00F808A7" w:rsidP="00F808A7">
      <w:pPr>
        <w:pStyle w:val="Styckemedindrag"/>
      </w:pPr>
      <w:r>
        <w:t>Un chariot de remorquage (dolly) des catégories O</w:t>
      </w:r>
      <w:r>
        <w:rPr>
          <w:vertAlign w:val="subscript"/>
        </w:rPr>
        <w:t>3</w:t>
      </w:r>
      <w:r>
        <w:t xml:space="preserve"> et O</w:t>
      </w:r>
      <w:r>
        <w:rPr>
          <w:vertAlign w:val="subscript"/>
        </w:rPr>
        <w:t>4</w:t>
      </w:r>
      <w:r>
        <w:t xml:space="preserve"> n’a pas besoin d’être conforme aux prescriptions concernant le marquage de contour conformément à la ligne K2.</w:t>
      </w:r>
    </w:p>
    <w:p w14:paraId="40CB2E95" w14:textId="77777777" w:rsidR="00F808A7" w:rsidRPr="00802803" w:rsidRDefault="00F808A7" w:rsidP="00F808A7">
      <w:pPr>
        <w:pStyle w:val="Styckemedindrag"/>
      </w:pPr>
      <w:r>
        <w:t>Un camping-car, une ambulance, un corbillard, un véhicule blindé ou une grue mobile CE, dans les cas spécifiés à la ligne S1, n’ont pas besoin de satisfaire à toutes les exigences des lignes K1 ou K2.</w:t>
      </w:r>
    </w:p>
    <w:p w14:paraId="4DC6D73B" w14:textId="77777777" w:rsidR="00F808A7" w:rsidRPr="00802803" w:rsidRDefault="00F808A7" w:rsidP="00F808A7">
      <w:pPr>
        <w:pStyle w:val="Styckemedindrag"/>
      </w:pPr>
      <w:r>
        <w:t>Un camping-car, une ambulance ou un corbillard peuvent, dans les cas spécifiés à la ligne S2, se contenter de satisfaire aux exigences énumérées ici.</w:t>
      </w:r>
    </w:p>
    <w:p w14:paraId="603BC8C0" w14:textId="363F9792" w:rsidR="00F808A7" w:rsidRDefault="00F808A7" w:rsidP="007E0EC5">
      <w:pPr>
        <w:pStyle w:val="Styckemedindrag"/>
      </w:pPr>
      <w:r>
        <w:t>Un véhicule et une remorque peuvent être équipés conformément aux prescriptions des lignes U1 à U11, sous réserve des prescriptions des lignes K1, K2 et T1.</w:t>
      </w:r>
    </w:p>
    <w:p w14:paraId="5E247C37" w14:textId="27AB0253" w:rsidR="00012970" w:rsidRDefault="00012970" w:rsidP="007E0EC5">
      <w:pPr>
        <w:pStyle w:val="StyckemedindragNDRAD"/>
      </w:pPr>
      <w:r>
        <w:t>Les véhicules d’urgence de police peuvent être équipés conformément aux prescriptions de la ligne U12, sous réserve des prescriptions des lignes K1, K2 et T1.</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1537"/>
        <w:gridCol w:w="1653"/>
        <w:gridCol w:w="1751"/>
      </w:tblGrid>
      <w:tr w:rsidR="00F808A7" w:rsidRPr="00802803" w14:paraId="4026A071" w14:textId="77777777" w:rsidTr="00FC02EB">
        <w:trPr>
          <w:cantSplit/>
          <w:trHeight w:val="182"/>
        </w:trPr>
        <w:tc>
          <w:tcPr>
            <w:tcW w:w="432" w:type="pct"/>
            <w:tcBorders>
              <w:left w:val="single" w:sz="4" w:space="0" w:color="auto"/>
              <w:bottom w:val="single" w:sz="4" w:space="0" w:color="auto"/>
            </w:tcBorders>
            <w:shd w:val="clear" w:color="auto" w:fill="auto"/>
          </w:tcPr>
          <w:p w14:paraId="146CA139" w14:textId="77777777" w:rsidR="00F808A7" w:rsidRPr="00802803" w:rsidRDefault="00F808A7" w:rsidP="00FC02EB">
            <w:pPr>
              <w:ind w:right="-20"/>
              <w:rPr>
                <w:b/>
                <w:bCs/>
                <w:sz w:val="19"/>
                <w:szCs w:val="19"/>
              </w:rPr>
            </w:pPr>
            <w:r>
              <w:rPr>
                <w:b/>
                <w:sz w:val="19"/>
              </w:rPr>
              <w:t>Ligne</w:t>
            </w:r>
          </w:p>
        </w:tc>
        <w:tc>
          <w:tcPr>
            <w:tcW w:w="2877" w:type="pct"/>
            <w:gridSpan w:val="2"/>
            <w:tcBorders>
              <w:bottom w:val="nil"/>
            </w:tcBorders>
            <w:shd w:val="clear" w:color="auto" w:fill="auto"/>
          </w:tcPr>
          <w:p w14:paraId="2671CDEB" w14:textId="77777777" w:rsidR="00F808A7" w:rsidRPr="00802803" w:rsidRDefault="00F808A7" w:rsidP="00FC02EB">
            <w:pPr>
              <w:ind w:right="72"/>
              <w:rPr>
                <w:b/>
                <w:bCs/>
                <w:sz w:val="19"/>
                <w:szCs w:val="19"/>
              </w:rPr>
            </w:pPr>
            <w:r>
              <w:rPr>
                <w:b/>
                <w:sz w:val="19"/>
              </w:rPr>
              <w:t>Dispositions</w:t>
            </w:r>
          </w:p>
        </w:tc>
        <w:tc>
          <w:tcPr>
            <w:tcW w:w="1691" w:type="pct"/>
            <w:tcBorders>
              <w:bottom w:val="single" w:sz="4" w:space="0" w:color="auto"/>
            </w:tcBorders>
            <w:shd w:val="clear" w:color="auto" w:fill="E6E6E6"/>
          </w:tcPr>
          <w:p w14:paraId="76F56B69" w14:textId="77777777" w:rsidR="00F808A7" w:rsidRPr="00802803" w:rsidRDefault="00F808A7" w:rsidP="00FC02EB">
            <w:pPr>
              <w:rPr>
                <w:b/>
                <w:sz w:val="19"/>
                <w:szCs w:val="19"/>
              </w:rPr>
            </w:pPr>
            <w:r>
              <w:rPr>
                <w:b/>
                <w:sz w:val="19"/>
              </w:rPr>
              <w:t>S’applique aux véhicules mis en circulation</w:t>
            </w:r>
          </w:p>
        </w:tc>
      </w:tr>
      <w:tr w:rsidR="00F808A7" w:rsidRPr="00802803" w14:paraId="0C77BF69" w14:textId="77777777" w:rsidTr="00FC02EB">
        <w:trPr>
          <w:cantSplit/>
          <w:trHeight w:val="182"/>
        </w:trPr>
        <w:tc>
          <w:tcPr>
            <w:tcW w:w="432" w:type="pct"/>
            <w:vMerge w:val="restart"/>
            <w:tcBorders>
              <w:left w:val="single" w:sz="4" w:space="0" w:color="auto"/>
            </w:tcBorders>
            <w:shd w:val="clear" w:color="auto" w:fill="auto"/>
          </w:tcPr>
          <w:p w14:paraId="24E5EE49" w14:textId="77777777" w:rsidR="00F808A7" w:rsidRPr="00802803" w:rsidRDefault="00F808A7" w:rsidP="00FC02EB">
            <w:pPr>
              <w:ind w:right="-20"/>
              <w:jc w:val="center"/>
              <w:rPr>
                <w:bCs/>
                <w:sz w:val="19"/>
                <w:szCs w:val="19"/>
              </w:rPr>
            </w:pPr>
            <w:r>
              <w:rPr>
                <w:sz w:val="19"/>
              </w:rPr>
              <w:t>K1</w:t>
            </w:r>
          </w:p>
        </w:tc>
        <w:tc>
          <w:tcPr>
            <w:tcW w:w="1499" w:type="pct"/>
            <w:tcBorders>
              <w:bottom w:val="nil"/>
              <w:right w:val="single" w:sz="4" w:space="0" w:color="auto"/>
            </w:tcBorders>
            <w:shd w:val="clear" w:color="auto" w:fill="auto"/>
          </w:tcPr>
          <w:p w14:paraId="23F33B31" w14:textId="77777777" w:rsidR="00F808A7" w:rsidRPr="00802803" w:rsidRDefault="00F808A7" w:rsidP="00FC02EB">
            <w:pPr>
              <w:ind w:right="72"/>
              <w:rPr>
                <w:bCs/>
                <w:sz w:val="19"/>
                <w:szCs w:val="19"/>
              </w:rPr>
            </w:pPr>
            <w:r>
              <w:rPr>
                <w:sz w:val="19"/>
              </w:rPr>
              <w:t>Conforme aux exigences de la directive</w:t>
            </w:r>
          </w:p>
        </w:tc>
        <w:tc>
          <w:tcPr>
            <w:tcW w:w="1378" w:type="pct"/>
            <w:tcBorders>
              <w:left w:val="single" w:sz="4" w:space="0" w:color="auto"/>
              <w:bottom w:val="single" w:sz="4" w:space="0" w:color="auto"/>
            </w:tcBorders>
            <w:shd w:val="clear" w:color="auto" w:fill="auto"/>
          </w:tcPr>
          <w:p w14:paraId="45328404" w14:textId="77777777" w:rsidR="00F808A7" w:rsidRPr="00802803" w:rsidRDefault="00F808A7" w:rsidP="00FC02EB">
            <w:pPr>
              <w:ind w:right="72"/>
              <w:jc w:val="right"/>
              <w:rPr>
                <w:b/>
                <w:bCs/>
                <w:sz w:val="19"/>
                <w:szCs w:val="19"/>
              </w:rPr>
            </w:pPr>
            <w:r>
              <w:rPr>
                <w:b/>
                <w:sz w:val="19"/>
              </w:rPr>
              <w:t>76/756/CEE</w:t>
            </w:r>
          </w:p>
        </w:tc>
        <w:tc>
          <w:tcPr>
            <w:tcW w:w="1691" w:type="pct"/>
            <w:tcBorders>
              <w:bottom w:val="single" w:sz="4" w:space="0" w:color="auto"/>
            </w:tcBorders>
            <w:shd w:val="clear" w:color="auto" w:fill="E6E6E6"/>
          </w:tcPr>
          <w:p w14:paraId="3DFF76A7" w14:textId="77777777" w:rsidR="00F808A7" w:rsidRPr="00802803" w:rsidRDefault="00F808A7" w:rsidP="00FC02EB">
            <w:pPr>
              <w:rPr>
                <w:sz w:val="19"/>
                <w:szCs w:val="19"/>
              </w:rPr>
            </w:pPr>
            <w:r>
              <w:rPr>
                <w:sz w:val="19"/>
              </w:rPr>
              <w:t>-</w:t>
            </w:r>
          </w:p>
        </w:tc>
      </w:tr>
      <w:tr w:rsidR="00F808A7" w:rsidRPr="00802803" w14:paraId="04D144CC" w14:textId="77777777" w:rsidTr="00FC02EB">
        <w:trPr>
          <w:cantSplit/>
          <w:trHeight w:val="182"/>
        </w:trPr>
        <w:tc>
          <w:tcPr>
            <w:tcW w:w="432" w:type="pct"/>
            <w:vMerge/>
            <w:tcBorders>
              <w:left w:val="single" w:sz="4" w:space="0" w:color="auto"/>
              <w:bottom w:val="nil"/>
              <w:right w:val="single" w:sz="4" w:space="0" w:color="auto"/>
            </w:tcBorders>
            <w:shd w:val="clear" w:color="auto" w:fill="auto"/>
          </w:tcPr>
          <w:p w14:paraId="68F6D158" w14:textId="77777777" w:rsidR="00F808A7" w:rsidRPr="00802803" w:rsidRDefault="00F808A7" w:rsidP="00FC02EB">
            <w:pPr>
              <w:ind w:right="-20"/>
              <w:jc w:val="center"/>
              <w:rPr>
                <w:bCs/>
                <w:sz w:val="19"/>
                <w:szCs w:val="19"/>
              </w:rPr>
            </w:pPr>
          </w:p>
        </w:tc>
        <w:tc>
          <w:tcPr>
            <w:tcW w:w="1499" w:type="pct"/>
            <w:tcBorders>
              <w:top w:val="nil"/>
              <w:left w:val="single" w:sz="4" w:space="0" w:color="auto"/>
              <w:bottom w:val="nil"/>
              <w:right w:val="single" w:sz="4" w:space="0" w:color="auto"/>
            </w:tcBorders>
            <w:shd w:val="clear" w:color="auto" w:fill="auto"/>
          </w:tcPr>
          <w:p w14:paraId="5FCA11A1" w14:textId="77777777" w:rsidR="00F808A7" w:rsidRPr="00802803" w:rsidRDefault="00F808A7" w:rsidP="00FC02EB">
            <w:pPr>
              <w:ind w:right="72"/>
              <w:rPr>
                <w:bCs/>
                <w:sz w:val="19"/>
                <w:szCs w:val="19"/>
              </w:rPr>
            </w:pPr>
            <w:r>
              <w:rPr>
                <w:sz w:val="19"/>
              </w:rPr>
              <w:t>modifiée par la directive</w:t>
            </w:r>
          </w:p>
        </w:tc>
        <w:tc>
          <w:tcPr>
            <w:tcW w:w="1378" w:type="pct"/>
            <w:tcBorders>
              <w:top w:val="single" w:sz="4" w:space="0" w:color="auto"/>
              <w:left w:val="single" w:sz="4" w:space="0" w:color="auto"/>
            </w:tcBorders>
            <w:shd w:val="clear" w:color="auto" w:fill="auto"/>
          </w:tcPr>
          <w:p w14:paraId="66134692" w14:textId="77777777" w:rsidR="00F808A7" w:rsidRPr="00802803" w:rsidRDefault="00F808A7" w:rsidP="00FC02EB">
            <w:pPr>
              <w:ind w:right="72"/>
              <w:jc w:val="right"/>
              <w:rPr>
                <w:bCs/>
                <w:sz w:val="19"/>
                <w:szCs w:val="19"/>
              </w:rPr>
            </w:pPr>
            <w:r>
              <w:rPr>
                <w:sz w:val="19"/>
              </w:rPr>
              <w:t>97/28/CE</w:t>
            </w:r>
          </w:p>
        </w:tc>
        <w:tc>
          <w:tcPr>
            <w:tcW w:w="1691" w:type="pct"/>
            <w:tcBorders>
              <w:top w:val="single" w:sz="4" w:space="0" w:color="auto"/>
              <w:bottom w:val="single" w:sz="4" w:space="0" w:color="auto"/>
            </w:tcBorders>
            <w:shd w:val="clear" w:color="auto" w:fill="E6E6E6"/>
          </w:tcPr>
          <w:p w14:paraId="0C873D43" w14:textId="77777777" w:rsidR="00F808A7" w:rsidRPr="00802803" w:rsidRDefault="00F808A7" w:rsidP="00FC02EB">
            <w:pPr>
              <w:ind w:right="72"/>
              <w:rPr>
                <w:bCs/>
                <w:sz w:val="19"/>
                <w:szCs w:val="19"/>
              </w:rPr>
            </w:pPr>
            <w:r>
              <w:rPr>
                <w:sz w:val="19"/>
              </w:rPr>
              <w:t>1.7.2010–</w:t>
            </w:r>
          </w:p>
          <w:p w14:paraId="3B45EE3C" w14:textId="77777777" w:rsidR="00F808A7" w:rsidRPr="00802803" w:rsidRDefault="00F808A7" w:rsidP="00FC02EB">
            <w:pPr>
              <w:ind w:right="72"/>
              <w:rPr>
                <w:bCs/>
                <w:sz w:val="19"/>
                <w:szCs w:val="19"/>
              </w:rPr>
            </w:pPr>
            <w:r>
              <w:rPr>
                <w:sz w:val="19"/>
              </w:rPr>
              <w:t>9.7.2011</w:t>
            </w:r>
          </w:p>
        </w:tc>
      </w:tr>
      <w:tr w:rsidR="00F808A7" w:rsidRPr="00802803" w14:paraId="23093508" w14:textId="77777777" w:rsidTr="00FC02EB">
        <w:trPr>
          <w:cantSplit/>
          <w:trHeight w:val="182"/>
        </w:trPr>
        <w:tc>
          <w:tcPr>
            <w:tcW w:w="432" w:type="pct"/>
            <w:tcBorders>
              <w:top w:val="nil"/>
              <w:left w:val="single" w:sz="4" w:space="0" w:color="auto"/>
              <w:bottom w:val="nil"/>
            </w:tcBorders>
            <w:shd w:val="clear" w:color="auto" w:fill="auto"/>
          </w:tcPr>
          <w:p w14:paraId="6B490725"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6BA409C1" w14:textId="77777777" w:rsidR="00F808A7" w:rsidRPr="00802803" w:rsidRDefault="00F808A7" w:rsidP="00FC02EB">
            <w:pPr>
              <w:ind w:right="72"/>
              <w:rPr>
                <w:bCs/>
                <w:i/>
                <w:sz w:val="19"/>
                <w:szCs w:val="19"/>
              </w:rPr>
            </w:pPr>
          </w:p>
        </w:tc>
        <w:tc>
          <w:tcPr>
            <w:tcW w:w="1378" w:type="pct"/>
            <w:tcBorders>
              <w:top w:val="single" w:sz="4" w:space="0" w:color="auto"/>
              <w:left w:val="single" w:sz="4" w:space="0" w:color="auto"/>
            </w:tcBorders>
            <w:shd w:val="clear" w:color="auto" w:fill="auto"/>
          </w:tcPr>
          <w:p w14:paraId="0F171FEF" w14:textId="77777777" w:rsidR="00F808A7" w:rsidRPr="00802803" w:rsidRDefault="00F808A7" w:rsidP="00FC02EB">
            <w:pPr>
              <w:ind w:right="72"/>
              <w:jc w:val="right"/>
              <w:rPr>
                <w:bCs/>
                <w:sz w:val="19"/>
                <w:szCs w:val="19"/>
              </w:rPr>
            </w:pPr>
            <w:r>
              <w:rPr>
                <w:sz w:val="19"/>
              </w:rPr>
              <w:t>2007/35/CE</w:t>
            </w:r>
          </w:p>
        </w:tc>
        <w:tc>
          <w:tcPr>
            <w:tcW w:w="1691" w:type="pct"/>
            <w:tcBorders>
              <w:top w:val="single" w:sz="4" w:space="0" w:color="auto"/>
              <w:bottom w:val="single" w:sz="4" w:space="0" w:color="auto"/>
            </w:tcBorders>
            <w:shd w:val="clear" w:color="auto" w:fill="E6E6E6"/>
          </w:tcPr>
          <w:p w14:paraId="0530E02E" w14:textId="77777777" w:rsidR="00F808A7" w:rsidRPr="00802803" w:rsidRDefault="00F808A7" w:rsidP="00FC02EB">
            <w:pPr>
              <w:ind w:right="72"/>
              <w:rPr>
                <w:bCs/>
                <w:sz w:val="19"/>
                <w:szCs w:val="19"/>
              </w:rPr>
            </w:pPr>
            <w:r>
              <w:rPr>
                <w:sz w:val="19"/>
              </w:rPr>
              <w:t>1.7.2010–</w:t>
            </w:r>
          </w:p>
          <w:p w14:paraId="3F14FBB5" w14:textId="77777777" w:rsidR="00F808A7" w:rsidRPr="00802803" w:rsidRDefault="00F808A7" w:rsidP="00FC02EB">
            <w:pPr>
              <w:ind w:right="72"/>
              <w:rPr>
                <w:bCs/>
                <w:sz w:val="19"/>
                <w:szCs w:val="19"/>
              </w:rPr>
            </w:pPr>
            <w:r>
              <w:rPr>
                <w:sz w:val="19"/>
              </w:rPr>
              <w:t>31.12.2017</w:t>
            </w:r>
          </w:p>
        </w:tc>
      </w:tr>
      <w:tr w:rsidR="00F808A7" w:rsidRPr="00802803" w14:paraId="0F2018BC" w14:textId="77777777" w:rsidTr="00FC02EB">
        <w:trPr>
          <w:cantSplit/>
          <w:trHeight w:val="182"/>
        </w:trPr>
        <w:tc>
          <w:tcPr>
            <w:tcW w:w="432" w:type="pct"/>
            <w:tcBorders>
              <w:top w:val="nil"/>
              <w:left w:val="single" w:sz="4" w:space="0" w:color="auto"/>
              <w:bottom w:val="nil"/>
            </w:tcBorders>
            <w:shd w:val="clear" w:color="auto" w:fill="auto"/>
          </w:tcPr>
          <w:p w14:paraId="33444B6C"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5E0E4E11" w14:textId="77777777" w:rsidR="00F808A7" w:rsidRPr="00802803" w:rsidRDefault="00F808A7" w:rsidP="00FC02EB">
            <w:pPr>
              <w:ind w:right="72"/>
              <w:rPr>
                <w:bCs/>
                <w:i/>
                <w:sz w:val="19"/>
                <w:szCs w:val="19"/>
              </w:rPr>
            </w:pPr>
          </w:p>
        </w:tc>
        <w:tc>
          <w:tcPr>
            <w:tcW w:w="1378" w:type="pct"/>
            <w:tcBorders>
              <w:top w:val="single" w:sz="4" w:space="0" w:color="auto"/>
              <w:left w:val="single" w:sz="4" w:space="0" w:color="auto"/>
              <w:bottom w:val="single" w:sz="4" w:space="0" w:color="auto"/>
            </w:tcBorders>
            <w:shd w:val="clear" w:color="auto" w:fill="auto"/>
          </w:tcPr>
          <w:p w14:paraId="65D5C83A" w14:textId="77777777" w:rsidR="00F808A7" w:rsidRPr="00802803" w:rsidRDefault="00F808A7" w:rsidP="00FC02EB">
            <w:pPr>
              <w:ind w:right="72"/>
              <w:jc w:val="right"/>
              <w:rPr>
                <w:bCs/>
                <w:sz w:val="19"/>
                <w:szCs w:val="19"/>
              </w:rPr>
            </w:pPr>
            <w:r>
              <w:rPr>
                <w:sz w:val="19"/>
              </w:rPr>
              <w:t>2008/89/CE</w:t>
            </w:r>
          </w:p>
        </w:tc>
        <w:tc>
          <w:tcPr>
            <w:tcW w:w="1691" w:type="pct"/>
            <w:tcBorders>
              <w:top w:val="single" w:sz="4" w:space="0" w:color="auto"/>
              <w:bottom w:val="single" w:sz="4" w:space="0" w:color="auto"/>
            </w:tcBorders>
            <w:shd w:val="clear" w:color="auto" w:fill="E6E6E6"/>
          </w:tcPr>
          <w:p w14:paraId="556F420B" w14:textId="77777777" w:rsidR="00F808A7" w:rsidRPr="00802803" w:rsidRDefault="00F808A7" w:rsidP="00FC02EB">
            <w:pPr>
              <w:ind w:right="72"/>
              <w:rPr>
                <w:bCs/>
                <w:sz w:val="19"/>
                <w:szCs w:val="19"/>
              </w:rPr>
            </w:pPr>
            <w:r>
              <w:rPr>
                <w:sz w:val="19"/>
              </w:rPr>
              <w:t>1.7.2010–</w:t>
            </w:r>
          </w:p>
          <w:p w14:paraId="28458C32" w14:textId="77777777" w:rsidR="00F808A7" w:rsidRPr="00802803" w:rsidRDefault="00F808A7" w:rsidP="00FC02EB">
            <w:pPr>
              <w:ind w:right="72"/>
              <w:rPr>
                <w:bCs/>
                <w:sz w:val="19"/>
                <w:szCs w:val="19"/>
              </w:rPr>
            </w:pPr>
            <w:r>
              <w:rPr>
                <w:sz w:val="19"/>
              </w:rPr>
              <w:t>31.12.2017</w:t>
            </w:r>
          </w:p>
        </w:tc>
      </w:tr>
      <w:tr w:rsidR="00F808A7" w:rsidRPr="00802803" w14:paraId="22AEFE6F" w14:textId="77777777" w:rsidTr="00FC02EB">
        <w:trPr>
          <w:cantSplit/>
          <w:trHeight w:val="182"/>
        </w:trPr>
        <w:tc>
          <w:tcPr>
            <w:tcW w:w="432" w:type="pct"/>
            <w:tcBorders>
              <w:left w:val="single" w:sz="4" w:space="0" w:color="auto"/>
              <w:bottom w:val="nil"/>
            </w:tcBorders>
            <w:shd w:val="clear" w:color="auto" w:fill="auto"/>
          </w:tcPr>
          <w:p w14:paraId="5D618B1C" w14:textId="77777777" w:rsidR="00F808A7" w:rsidRPr="00802803" w:rsidRDefault="00F808A7" w:rsidP="00FC02EB">
            <w:pPr>
              <w:ind w:right="-20"/>
              <w:jc w:val="center"/>
              <w:rPr>
                <w:bCs/>
                <w:sz w:val="19"/>
                <w:szCs w:val="19"/>
              </w:rPr>
            </w:pPr>
            <w:r>
              <w:rPr>
                <w:sz w:val="19"/>
              </w:rPr>
              <w:t>K2</w:t>
            </w:r>
          </w:p>
        </w:tc>
        <w:tc>
          <w:tcPr>
            <w:tcW w:w="1499" w:type="pct"/>
            <w:tcBorders>
              <w:bottom w:val="nil"/>
              <w:right w:val="single" w:sz="4" w:space="0" w:color="auto"/>
            </w:tcBorders>
            <w:shd w:val="clear" w:color="auto" w:fill="auto"/>
          </w:tcPr>
          <w:p w14:paraId="02228E76" w14:textId="77777777" w:rsidR="00F808A7" w:rsidRPr="00802803" w:rsidRDefault="00F808A7" w:rsidP="00FC02EB">
            <w:pPr>
              <w:ind w:right="72"/>
              <w:rPr>
                <w:bCs/>
                <w:sz w:val="19"/>
                <w:szCs w:val="19"/>
              </w:rPr>
            </w:pPr>
            <w:r>
              <w:rPr>
                <w:sz w:val="19"/>
              </w:rPr>
              <w:t>Conforme aux exigences du</w:t>
            </w:r>
          </w:p>
        </w:tc>
        <w:tc>
          <w:tcPr>
            <w:tcW w:w="1378" w:type="pct"/>
            <w:tcBorders>
              <w:left w:val="single" w:sz="4" w:space="0" w:color="auto"/>
              <w:bottom w:val="single" w:sz="4" w:space="0" w:color="auto"/>
            </w:tcBorders>
            <w:shd w:val="clear" w:color="auto" w:fill="auto"/>
          </w:tcPr>
          <w:p w14:paraId="1A78F034" w14:textId="516F2696" w:rsidR="00F808A7" w:rsidRPr="00802803" w:rsidRDefault="00F808A7" w:rsidP="00F85DA0">
            <w:pPr>
              <w:ind w:right="72"/>
              <w:jc w:val="right"/>
              <w:rPr>
                <w:b/>
                <w:bCs/>
                <w:sz w:val="19"/>
                <w:szCs w:val="19"/>
              </w:rPr>
            </w:pPr>
            <w:r>
              <w:rPr>
                <w:b/>
                <w:sz w:val="19"/>
              </w:rPr>
              <w:t>Règlement nº 48</w:t>
            </w:r>
            <w:r>
              <w:rPr>
                <w:b/>
                <w:sz w:val="19"/>
              </w:rPr>
              <w:br/>
              <w:t>de la CEE-ONU</w:t>
            </w:r>
          </w:p>
        </w:tc>
        <w:tc>
          <w:tcPr>
            <w:tcW w:w="1691" w:type="pct"/>
            <w:tcBorders>
              <w:bottom w:val="single" w:sz="4" w:space="0" w:color="auto"/>
            </w:tcBorders>
            <w:shd w:val="clear" w:color="auto" w:fill="E6E6E6"/>
          </w:tcPr>
          <w:p w14:paraId="2CA3CAFC" w14:textId="77777777" w:rsidR="00F808A7" w:rsidRPr="00802803" w:rsidRDefault="00F808A7" w:rsidP="00FC02EB">
            <w:pPr>
              <w:rPr>
                <w:sz w:val="19"/>
                <w:szCs w:val="19"/>
              </w:rPr>
            </w:pPr>
            <w:r>
              <w:rPr>
                <w:sz w:val="19"/>
              </w:rPr>
              <w:t>-</w:t>
            </w:r>
          </w:p>
        </w:tc>
      </w:tr>
      <w:tr w:rsidR="00F808A7" w:rsidRPr="00802803" w14:paraId="43CDA0B8" w14:textId="77777777" w:rsidTr="00FC02EB">
        <w:trPr>
          <w:cantSplit/>
          <w:trHeight w:val="182"/>
        </w:trPr>
        <w:tc>
          <w:tcPr>
            <w:tcW w:w="432" w:type="pct"/>
            <w:tcBorders>
              <w:top w:val="nil"/>
              <w:left w:val="single" w:sz="4" w:space="0" w:color="auto"/>
              <w:bottom w:val="nil"/>
            </w:tcBorders>
            <w:shd w:val="clear" w:color="auto" w:fill="auto"/>
          </w:tcPr>
          <w:p w14:paraId="2E63A445"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3FA1AA88"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3817F77A" w14:textId="77777777" w:rsidR="00F808A7" w:rsidRPr="00802803" w:rsidRDefault="00F808A7" w:rsidP="00FC02EB">
            <w:pPr>
              <w:ind w:right="72"/>
              <w:jc w:val="right"/>
              <w:rPr>
                <w:bCs/>
                <w:sz w:val="19"/>
                <w:szCs w:val="19"/>
              </w:rPr>
            </w:pPr>
            <w:r>
              <w:rPr>
                <w:sz w:val="19"/>
              </w:rPr>
              <w:t>série d’amendements 02</w:t>
            </w:r>
          </w:p>
        </w:tc>
        <w:tc>
          <w:tcPr>
            <w:tcW w:w="1691" w:type="pct"/>
            <w:tcBorders>
              <w:top w:val="single" w:sz="4" w:space="0" w:color="auto"/>
              <w:bottom w:val="single" w:sz="4" w:space="0" w:color="auto"/>
            </w:tcBorders>
            <w:shd w:val="clear" w:color="auto" w:fill="E6E6E6"/>
          </w:tcPr>
          <w:p w14:paraId="0A7DD585" w14:textId="77777777" w:rsidR="00F808A7" w:rsidRPr="00802803" w:rsidRDefault="00F808A7" w:rsidP="00FC02EB">
            <w:pPr>
              <w:ind w:right="72"/>
              <w:rPr>
                <w:bCs/>
                <w:sz w:val="19"/>
                <w:szCs w:val="19"/>
              </w:rPr>
            </w:pPr>
            <w:r>
              <w:rPr>
                <w:sz w:val="19"/>
              </w:rPr>
              <w:t>1.7.2010–</w:t>
            </w:r>
          </w:p>
          <w:p w14:paraId="18750CC3" w14:textId="77777777" w:rsidR="00F808A7" w:rsidRPr="00802803" w:rsidRDefault="00F808A7" w:rsidP="00FC02EB">
            <w:pPr>
              <w:ind w:right="72"/>
              <w:rPr>
                <w:bCs/>
                <w:sz w:val="19"/>
                <w:szCs w:val="19"/>
              </w:rPr>
            </w:pPr>
            <w:r>
              <w:rPr>
                <w:sz w:val="19"/>
              </w:rPr>
              <w:t>9.7.2011</w:t>
            </w:r>
          </w:p>
          <w:p w14:paraId="5D774637" w14:textId="77777777" w:rsidR="00F808A7" w:rsidRPr="00802803" w:rsidRDefault="00F808A7" w:rsidP="00FC02EB">
            <w:pPr>
              <w:ind w:right="72"/>
              <w:rPr>
                <w:bCs/>
                <w:sz w:val="19"/>
                <w:szCs w:val="19"/>
              </w:rPr>
            </w:pPr>
            <w:r>
              <w:rPr>
                <w:sz w:val="19"/>
              </w:rPr>
              <w:t>Limité à la catégorie N</w:t>
            </w:r>
            <w:r>
              <w:rPr>
                <w:sz w:val="19"/>
                <w:vertAlign w:val="subscript"/>
              </w:rPr>
              <w:t>2</w:t>
            </w:r>
            <w:r>
              <w:rPr>
                <w:sz w:val="19"/>
              </w:rPr>
              <w:t> &gt; 7 500 kg, N</w:t>
            </w:r>
            <w:r>
              <w:rPr>
                <w:sz w:val="19"/>
                <w:vertAlign w:val="subscript"/>
              </w:rPr>
              <w:t>3</w:t>
            </w:r>
            <w:r>
              <w:rPr>
                <w:sz w:val="19"/>
              </w:rPr>
              <w:t>, O</w:t>
            </w:r>
            <w:r>
              <w:rPr>
                <w:sz w:val="19"/>
                <w:vertAlign w:val="subscript"/>
              </w:rPr>
              <w:t>3</w:t>
            </w:r>
            <w:r>
              <w:rPr>
                <w:sz w:val="19"/>
              </w:rPr>
              <w:t xml:space="preserve"> et O</w:t>
            </w:r>
            <w:r>
              <w:rPr>
                <w:sz w:val="19"/>
                <w:vertAlign w:val="subscript"/>
              </w:rPr>
              <w:t>4.</w:t>
            </w:r>
          </w:p>
        </w:tc>
      </w:tr>
      <w:tr w:rsidR="00F808A7" w:rsidRPr="00802803" w14:paraId="3FD8F0F2" w14:textId="77777777" w:rsidTr="00FC02EB">
        <w:trPr>
          <w:cantSplit/>
          <w:trHeight w:val="182"/>
        </w:trPr>
        <w:tc>
          <w:tcPr>
            <w:tcW w:w="432" w:type="pct"/>
            <w:tcBorders>
              <w:top w:val="nil"/>
              <w:left w:val="single" w:sz="4" w:space="0" w:color="auto"/>
              <w:bottom w:val="nil"/>
            </w:tcBorders>
            <w:shd w:val="clear" w:color="auto" w:fill="auto"/>
          </w:tcPr>
          <w:p w14:paraId="429B8C88"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646B2781"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7DD7617E" w14:textId="77777777" w:rsidR="00F808A7" w:rsidRPr="00802803" w:rsidRDefault="00F808A7" w:rsidP="00FC02EB">
            <w:pPr>
              <w:ind w:right="72"/>
              <w:jc w:val="right"/>
              <w:rPr>
                <w:bCs/>
                <w:sz w:val="19"/>
                <w:szCs w:val="19"/>
              </w:rPr>
            </w:pPr>
            <w:r>
              <w:rPr>
                <w:sz w:val="19"/>
              </w:rPr>
              <w:t>série d’amendements 02</w:t>
            </w:r>
          </w:p>
        </w:tc>
        <w:tc>
          <w:tcPr>
            <w:tcW w:w="1691" w:type="pct"/>
            <w:tcBorders>
              <w:top w:val="single" w:sz="4" w:space="0" w:color="auto"/>
              <w:bottom w:val="single" w:sz="4" w:space="0" w:color="auto"/>
            </w:tcBorders>
            <w:shd w:val="clear" w:color="auto" w:fill="E6E6E6"/>
          </w:tcPr>
          <w:p w14:paraId="4AC4129D" w14:textId="77777777" w:rsidR="00F808A7" w:rsidRPr="00802803" w:rsidRDefault="00F808A7" w:rsidP="00FC02EB">
            <w:pPr>
              <w:ind w:right="72"/>
              <w:rPr>
                <w:bCs/>
                <w:sz w:val="19"/>
                <w:szCs w:val="19"/>
              </w:rPr>
            </w:pPr>
            <w:r>
              <w:rPr>
                <w:sz w:val="19"/>
              </w:rPr>
              <w:t>1.7.2010</w:t>
            </w:r>
            <w:r>
              <w:rPr>
                <w:sz w:val="19"/>
              </w:rPr>
              <w:br/>
              <w:t>ou ultérieurement</w:t>
            </w:r>
          </w:p>
          <w:p w14:paraId="5F0AE3FB" w14:textId="77777777" w:rsidR="00F808A7" w:rsidRPr="00802803" w:rsidRDefault="00F808A7" w:rsidP="00FC02EB">
            <w:pPr>
              <w:ind w:right="72"/>
              <w:rPr>
                <w:bCs/>
                <w:sz w:val="19"/>
                <w:szCs w:val="19"/>
                <w:vertAlign w:val="subscript"/>
              </w:rPr>
            </w:pPr>
            <w:r>
              <w:rPr>
                <w:sz w:val="19"/>
              </w:rPr>
              <w:t>Limité à la catégorie M, N</w:t>
            </w:r>
            <w:r>
              <w:rPr>
                <w:sz w:val="19"/>
                <w:vertAlign w:val="subscript"/>
              </w:rPr>
              <w:t>1</w:t>
            </w:r>
            <w:r>
              <w:rPr>
                <w:sz w:val="19"/>
              </w:rPr>
              <w:t>, N</w:t>
            </w:r>
            <w:r>
              <w:rPr>
                <w:sz w:val="19"/>
                <w:vertAlign w:val="subscript"/>
              </w:rPr>
              <w:t>2 </w:t>
            </w:r>
            <w:r>
              <w:rPr>
                <w:sz w:val="19"/>
              </w:rPr>
              <w:t>≤ 7 500 kg, O</w:t>
            </w:r>
            <w:r>
              <w:rPr>
                <w:sz w:val="19"/>
                <w:vertAlign w:val="subscript"/>
              </w:rPr>
              <w:t>1</w:t>
            </w:r>
            <w:r>
              <w:rPr>
                <w:sz w:val="19"/>
              </w:rPr>
              <w:t xml:space="preserve"> et O</w:t>
            </w:r>
            <w:r>
              <w:rPr>
                <w:sz w:val="19"/>
                <w:vertAlign w:val="subscript"/>
              </w:rPr>
              <w:t>2</w:t>
            </w:r>
          </w:p>
        </w:tc>
      </w:tr>
      <w:tr w:rsidR="00F808A7" w:rsidRPr="00802803" w14:paraId="1F5E2610" w14:textId="77777777" w:rsidTr="00FC02EB">
        <w:trPr>
          <w:cantSplit/>
          <w:trHeight w:val="182"/>
        </w:trPr>
        <w:tc>
          <w:tcPr>
            <w:tcW w:w="432" w:type="pct"/>
            <w:tcBorders>
              <w:top w:val="nil"/>
              <w:left w:val="single" w:sz="4" w:space="0" w:color="auto"/>
              <w:bottom w:val="nil"/>
            </w:tcBorders>
            <w:shd w:val="clear" w:color="auto" w:fill="auto"/>
          </w:tcPr>
          <w:p w14:paraId="00A048D0"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2015FF53"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06F0C9A1" w14:textId="77777777" w:rsidR="00F808A7" w:rsidRPr="00802803" w:rsidRDefault="00F808A7" w:rsidP="00FC02EB">
            <w:pPr>
              <w:ind w:right="72"/>
              <w:jc w:val="right"/>
              <w:rPr>
                <w:bCs/>
                <w:sz w:val="19"/>
                <w:szCs w:val="19"/>
              </w:rPr>
            </w:pPr>
            <w:r>
              <w:rPr>
                <w:sz w:val="19"/>
              </w:rPr>
              <w:t>série d’amendements 03</w:t>
            </w:r>
          </w:p>
        </w:tc>
        <w:tc>
          <w:tcPr>
            <w:tcW w:w="1691" w:type="pct"/>
            <w:tcBorders>
              <w:top w:val="single" w:sz="4" w:space="0" w:color="auto"/>
              <w:bottom w:val="single" w:sz="4" w:space="0" w:color="auto"/>
            </w:tcBorders>
            <w:shd w:val="clear" w:color="auto" w:fill="E6E6E6"/>
          </w:tcPr>
          <w:p w14:paraId="5E73E67D" w14:textId="77777777" w:rsidR="00F808A7" w:rsidRPr="00802803" w:rsidRDefault="00F808A7" w:rsidP="00FC02EB">
            <w:pPr>
              <w:ind w:right="72"/>
              <w:rPr>
                <w:bCs/>
                <w:sz w:val="19"/>
                <w:szCs w:val="19"/>
              </w:rPr>
            </w:pPr>
            <w:r>
              <w:rPr>
                <w:sz w:val="19"/>
              </w:rPr>
              <w:t>1.7.2010</w:t>
            </w:r>
            <w:r>
              <w:rPr>
                <w:sz w:val="19"/>
              </w:rPr>
              <w:br/>
              <w:t>ou ultérieurement</w:t>
            </w:r>
          </w:p>
        </w:tc>
      </w:tr>
      <w:tr w:rsidR="00F808A7" w:rsidRPr="00802803" w14:paraId="4B7739D2" w14:textId="77777777" w:rsidTr="00FC02EB">
        <w:trPr>
          <w:cantSplit/>
          <w:trHeight w:val="182"/>
        </w:trPr>
        <w:tc>
          <w:tcPr>
            <w:tcW w:w="432" w:type="pct"/>
            <w:vMerge w:val="restart"/>
            <w:tcBorders>
              <w:top w:val="nil"/>
              <w:left w:val="single" w:sz="4" w:space="0" w:color="auto"/>
            </w:tcBorders>
            <w:shd w:val="clear" w:color="auto" w:fill="auto"/>
          </w:tcPr>
          <w:p w14:paraId="79E6EB1B" w14:textId="77777777" w:rsidR="00F808A7" w:rsidRPr="00802803" w:rsidRDefault="00F808A7" w:rsidP="00FC02EB">
            <w:pPr>
              <w:ind w:right="-20"/>
              <w:jc w:val="center"/>
              <w:rPr>
                <w:bCs/>
                <w:sz w:val="19"/>
                <w:szCs w:val="19"/>
              </w:rPr>
            </w:pPr>
          </w:p>
        </w:tc>
        <w:tc>
          <w:tcPr>
            <w:tcW w:w="1499" w:type="pct"/>
            <w:vMerge w:val="restart"/>
            <w:tcBorders>
              <w:top w:val="nil"/>
              <w:right w:val="single" w:sz="4" w:space="0" w:color="auto"/>
            </w:tcBorders>
            <w:shd w:val="clear" w:color="auto" w:fill="auto"/>
          </w:tcPr>
          <w:p w14:paraId="2AD66CF6"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7F1EE078" w14:textId="77777777" w:rsidR="00F808A7" w:rsidRPr="00802803" w:rsidRDefault="00F808A7" w:rsidP="00FC02EB">
            <w:pPr>
              <w:ind w:right="72"/>
              <w:jc w:val="right"/>
              <w:rPr>
                <w:bCs/>
                <w:sz w:val="19"/>
                <w:szCs w:val="19"/>
              </w:rPr>
            </w:pPr>
            <w:r>
              <w:rPr>
                <w:sz w:val="19"/>
              </w:rPr>
              <w:t>série d’amendements 04</w:t>
            </w:r>
          </w:p>
        </w:tc>
        <w:tc>
          <w:tcPr>
            <w:tcW w:w="1691" w:type="pct"/>
            <w:tcBorders>
              <w:top w:val="single" w:sz="4" w:space="0" w:color="auto"/>
              <w:bottom w:val="single" w:sz="4" w:space="0" w:color="auto"/>
            </w:tcBorders>
            <w:shd w:val="clear" w:color="auto" w:fill="E6E6E6"/>
          </w:tcPr>
          <w:p w14:paraId="5E966A41" w14:textId="77777777" w:rsidR="00F808A7" w:rsidRPr="00802803" w:rsidRDefault="00F808A7" w:rsidP="00FC02EB">
            <w:pPr>
              <w:ind w:right="72"/>
              <w:rPr>
                <w:bCs/>
                <w:sz w:val="19"/>
                <w:szCs w:val="19"/>
              </w:rPr>
            </w:pPr>
            <w:r>
              <w:rPr>
                <w:sz w:val="19"/>
              </w:rPr>
              <w:t>1.7.2010</w:t>
            </w:r>
            <w:r>
              <w:rPr>
                <w:sz w:val="19"/>
              </w:rPr>
              <w:br/>
              <w:t>ou ultérieurement</w:t>
            </w:r>
          </w:p>
        </w:tc>
      </w:tr>
      <w:tr w:rsidR="00F808A7" w:rsidRPr="00802803" w14:paraId="2B6B074D" w14:textId="77777777" w:rsidTr="00FC02EB">
        <w:trPr>
          <w:cantSplit/>
          <w:trHeight w:val="182"/>
        </w:trPr>
        <w:tc>
          <w:tcPr>
            <w:tcW w:w="432" w:type="pct"/>
            <w:vMerge/>
            <w:tcBorders>
              <w:left w:val="single" w:sz="4" w:space="0" w:color="auto"/>
              <w:bottom w:val="single" w:sz="4" w:space="0" w:color="auto"/>
            </w:tcBorders>
            <w:shd w:val="clear" w:color="auto" w:fill="auto"/>
          </w:tcPr>
          <w:p w14:paraId="37F210F2" w14:textId="77777777" w:rsidR="00F808A7" w:rsidRPr="00802803" w:rsidRDefault="00F808A7" w:rsidP="00FC02EB">
            <w:pPr>
              <w:ind w:right="-20"/>
              <w:jc w:val="center"/>
              <w:rPr>
                <w:bCs/>
                <w:sz w:val="19"/>
                <w:szCs w:val="19"/>
              </w:rPr>
            </w:pPr>
          </w:p>
        </w:tc>
        <w:tc>
          <w:tcPr>
            <w:tcW w:w="1499" w:type="pct"/>
            <w:vMerge/>
            <w:tcBorders>
              <w:bottom w:val="single" w:sz="4" w:space="0" w:color="auto"/>
              <w:right w:val="single" w:sz="4" w:space="0" w:color="auto"/>
            </w:tcBorders>
            <w:shd w:val="clear" w:color="auto" w:fill="auto"/>
          </w:tcPr>
          <w:p w14:paraId="5C80DDB8"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56C6B276" w14:textId="77777777" w:rsidR="00F808A7" w:rsidRPr="00802803" w:rsidRDefault="00F808A7" w:rsidP="00FC02EB">
            <w:pPr>
              <w:ind w:right="72"/>
              <w:jc w:val="right"/>
              <w:rPr>
                <w:bCs/>
                <w:sz w:val="19"/>
                <w:szCs w:val="19"/>
              </w:rPr>
            </w:pPr>
            <w:r>
              <w:rPr>
                <w:sz w:val="19"/>
              </w:rPr>
              <w:t>série d’amendements 05</w:t>
            </w:r>
          </w:p>
          <w:p w14:paraId="1FB931CF" w14:textId="77777777" w:rsidR="00F808A7" w:rsidRPr="00802803" w:rsidRDefault="00F808A7" w:rsidP="00FC02EB">
            <w:pPr>
              <w:spacing w:line="232" w:lineRule="exact"/>
              <w:jc w:val="right"/>
              <w:rPr>
                <w:sz w:val="19"/>
              </w:rPr>
            </w:pPr>
            <w:r>
              <w:rPr>
                <w:sz w:val="19"/>
              </w:rPr>
              <w:t>ou d’amendements ultérieurs</w:t>
            </w:r>
          </w:p>
        </w:tc>
        <w:tc>
          <w:tcPr>
            <w:tcW w:w="1691" w:type="pct"/>
            <w:tcBorders>
              <w:top w:val="single" w:sz="4" w:space="0" w:color="auto"/>
              <w:bottom w:val="single" w:sz="4" w:space="0" w:color="auto"/>
            </w:tcBorders>
            <w:shd w:val="clear" w:color="auto" w:fill="E6E6E6"/>
          </w:tcPr>
          <w:p w14:paraId="1EB89CFB" w14:textId="77777777" w:rsidR="00F808A7" w:rsidRPr="00802803" w:rsidRDefault="00F808A7" w:rsidP="00FC02EB">
            <w:pPr>
              <w:ind w:right="72"/>
              <w:rPr>
                <w:bCs/>
                <w:sz w:val="19"/>
                <w:szCs w:val="19"/>
              </w:rPr>
            </w:pPr>
            <w:r>
              <w:rPr>
                <w:sz w:val="19"/>
              </w:rPr>
              <w:t>30.1.2011</w:t>
            </w:r>
            <w:r>
              <w:rPr>
                <w:sz w:val="19"/>
              </w:rPr>
              <w:br/>
              <w:t>ou ultérieurement</w:t>
            </w:r>
          </w:p>
        </w:tc>
      </w:tr>
      <w:tr w:rsidR="00F808A7" w:rsidRPr="00802803" w14:paraId="4447AFB2"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4403DEB4" w14:textId="77777777" w:rsidR="00F808A7" w:rsidRPr="00802803" w:rsidRDefault="00F808A7" w:rsidP="00FC02EB">
            <w:pPr>
              <w:ind w:right="-20"/>
              <w:jc w:val="center"/>
              <w:rPr>
                <w:bCs/>
                <w:sz w:val="19"/>
                <w:szCs w:val="19"/>
              </w:rPr>
            </w:pPr>
            <w:r>
              <w:rPr>
                <w:sz w:val="19"/>
              </w:rPr>
              <w:t>K3</w:t>
            </w:r>
          </w:p>
        </w:tc>
        <w:tc>
          <w:tcPr>
            <w:tcW w:w="4568" w:type="pct"/>
            <w:gridSpan w:val="3"/>
            <w:tcBorders>
              <w:top w:val="single" w:sz="4" w:space="0" w:color="auto"/>
              <w:bottom w:val="single" w:sz="4" w:space="0" w:color="auto"/>
            </w:tcBorders>
            <w:shd w:val="clear" w:color="auto" w:fill="auto"/>
          </w:tcPr>
          <w:p w14:paraId="63836F0A" w14:textId="77777777" w:rsidR="00F808A7" w:rsidRPr="00802803" w:rsidRDefault="00F808A7" w:rsidP="00FC02EB">
            <w:pPr>
              <w:pStyle w:val="Stycke"/>
            </w:pPr>
            <w:r>
              <w:t>Les phares, les feux, les réflecteurs et les feux à incandescence ne peuvent pas porter une couche de peinture, quelle que soit leur couleur.</w:t>
            </w:r>
          </w:p>
        </w:tc>
      </w:tr>
      <w:tr w:rsidR="00F808A7" w:rsidRPr="00802803" w14:paraId="75E0F96C"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D2C0A12" w14:textId="77777777" w:rsidR="00F808A7" w:rsidRPr="00802803" w:rsidRDefault="00F808A7" w:rsidP="00FC02EB">
            <w:pPr>
              <w:ind w:right="-20"/>
              <w:jc w:val="center"/>
              <w:rPr>
                <w:bCs/>
                <w:sz w:val="19"/>
                <w:szCs w:val="19"/>
              </w:rPr>
            </w:pPr>
            <w:r>
              <w:rPr>
                <w:sz w:val="19"/>
              </w:rPr>
              <w:t>K4</w:t>
            </w:r>
          </w:p>
        </w:tc>
        <w:tc>
          <w:tcPr>
            <w:tcW w:w="4568" w:type="pct"/>
            <w:gridSpan w:val="3"/>
            <w:tcBorders>
              <w:top w:val="single" w:sz="4" w:space="0" w:color="auto"/>
              <w:bottom w:val="single" w:sz="4" w:space="0" w:color="auto"/>
            </w:tcBorders>
            <w:shd w:val="clear" w:color="auto" w:fill="auto"/>
          </w:tcPr>
          <w:p w14:paraId="6D8B162C" w14:textId="77777777" w:rsidR="00F808A7" w:rsidRPr="006A2F2D" w:rsidRDefault="00F808A7" w:rsidP="00FC02EB">
            <w:pPr>
              <w:pStyle w:val="Stycke"/>
            </w:pPr>
            <w:r>
              <w:t>Les véhicules ne peuvent pas être munis de phares ou de feux d’un type autre que ceux spécifiés dans les présents règlements ou d’autres règlements publiés par l’Agence suédoise des transports.</w:t>
            </w:r>
          </w:p>
          <w:p w14:paraId="0BDE9AB0" w14:textId="77777777" w:rsidR="00F808A7" w:rsidRPr="00802803" w:rsidRDefault="00F808A7" w:rsidP="00FC02EB">
            <w:pPr>
              <w:pStyle w:val="Styckemedindrag"/>
              <w:rPr>
                <w:i/>
              </w:rPr>
            </w:pPr>
            <w:r>
              <w:t>Les véhicules peuvent toutefois être équipés de dispositifs d’éclairage qui constituent un équipement d’éclairage facultatif conformément au règlement nº 48 de la CEE-ONU, à condition que les dispositifs soient installés conformément aux prescriptions du règlement.</w:t>
            </w:r>
          </w:p>
        </w:tc>
      </w:tr>
      <w:tr w:rsidR="00F808A7" w:rsidRPr="00802803" w14:paraId="4E7EC5F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52CD99DF" w14:textId="77777777" w:rsidR="00F808A7" w:rsidRPr="00802803" w:rsidRDefault="00F808A7" w:rsidP="00FC02EB">
            <w:pPr>
              <w:ind w:right="-20"/>
              <w:jc w:val="center"/>
              <w:rPr>
                <w:bCs/>
                <w:sz w:val="19"/>
                <w:szCs w:val="19"/>
              </w:rPr>
            </w:pPr>
            <w:r>
              <w:rPr>
                <w:sz w:val="19"/>
              </w:rPr>
              <w:t>K5</w:t>
            </w:r>
          </w:p>
        </w:tc>
        <w:tc>
          <w:tcPr>
            <w:tcW w:w="4568" w:type="pct"/>
            <w:gridSpan w:val="3"/>
            <w:tcBorders>
              <w:top w:val="single" w:sz="4" w:space="0" w:color="auto"/>
              <w:bottom w:val="single" w:sz="4" w:space="0" w:color="auto"/>
            </w:tcBorders>
            <w:shd w:val="clear" w:color="auto" w:fill="auto"/>
          </w:tcPr>
          <w:p w14:paraId="3494E0BF" w14:textId="77777777" w:rsidR="00F808A7" w:rsidRPr="00802803" w:rsidRDefault="00F808A7" w:rsidP="00FC02EB">
            <w:pPr>
              <w:pStyle w:val="Stycke"/>
            </w:pPr>
            <w:r>
              <w:t>Les phares et les feux doivent être placés sur le véhicule de telle manière que le conducteur du véhicule ne soit pas perturbé par la lumière.</w:t>
            </w:r>
          </w:p>
        </w:tc>
      </w:tr>
      <w:tr w:rsidR="00F808A7" w:rsidRPr="00802803" w14:paraId="6B8E459F"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07D98FA" w14:textId="77777777" w:rsidR="00F808A7" w:rsidRPr="00802803" w:rsidRDefault="00F808A7" w:rsidP="00FC02EB">
            <w:pPr>
              <w:ind w:right="-20"/>
              <w:jc w:val="center"/>
              <w:rPr>
                <w:bCs/>
                <w:sz w:val="19"/>
                <w:szCs w:val="19"/>
              </w:rPr>
            </w:pPr>
            <w:r>
              <w:rPr>
                <w:sz w:val="19"/>
              </w:rPr>
              <w:t>K6</w:t>
            </w:r>
          </w:p>
        </w:tc>
        <w:tc>
          <w:tcPr>
            <w:tcW w:w="4568" w:type="pct"/>
            <w:gridSpan w:val="3"/>
            <w:tcBorders>
              <w:top w:val="single" w:sz="4" w:space="0" w:color="auto"/>
              <w:bottom w:val="single" w:sz="4" w:space="0" w:color="auto"/>
            </w:tcBorders>
            <w:shd w:val="clear" w:color="auto" w:fill="auto"/>
          </w:tcPr>
          <w:p w14:paraId="1D629F84" w14:textId="77777777" w:rsidR="00F808A7" w:rsidRPr="00802803" w:rsidRDefault="00F808A7" w:rsidP="00FC02EB">
            <w:pPr>
              <w:pStyle w:val="Stycke"/>
            </w:pPr>
            <w:r>
              <w:t>La protection contre les éclats de pierres pour les feux obligatoires ou les phares obligatoires n’est pas autorisée sur le véhicule si cette protection réduit sensiblement la lumière du feu ou du phare. Cela s’applique également à la protection contre les éclats de pierres faite en un matériau facilement endommageable et qui réduit ainsi la lumière du feu ou du phare.</w:t>
            </w:r>
          </w:p>
        </w:tc>
      </w:tr>
      <w:tr w:rsidR="00F808A7" w:rsidRPr="00802803" w14:paraId="58311FB5" w14:textId="77777777" w:rsidTr="00FC02EB">
        <w:trPr>
          <w:cantSplit/>
          <w:trHeight w:val="182"/>
        </w:trPr>
        <w:tc>
          <w:tcPr>
            <w:tcW w:w="432" w:type="pct"/>
            <w:tcBorders>
              <w:top w:val="single" w:sz="4" w:space="0" w:color="auto"/>
              <w:left w:val="single" w:sz="4" w:space="0" w:color="auto"/>
              <w:bottom w:val="nil"/>
            </w:tcBorders>
            <w:shd w:val="clear" w:color="auto" w:fill="auto"/>
          </w:tcPr>
          <w:p w14:paraId="4C11C738" w14:textId="77777777" w:rsidR="00F808A7" w:rsidRPr="00802803" w:rsidRDefault="00F808A7" w:rsidP="00FC02EB">
            <w:pPr>
              <w:ind w:right="-20"/>
              <w:jc w:val="center"/>
              <w:rPr>
                <w:bCs/>
                <w:sz w:val="19"/>
                <w:szCs w:val="19"/>
              </w:rPr>
            </w:pPr>
            <w:r>
              <w:rPr>
                <w:sz w:val="19"/>
              </w:rPr>
              <w:lastRenderedPageBreak/>
              <w:t>K7</w:t>
            </w:r>
          </w:p>
        </w:tc>
        <w:tc>
          <w:tcPr>
            <w:tcW w:w="4568" w:type="pct"/>
            <w:gridSpan w:val="3"/>
            <w:tcBorders>
              <w:top w:val="single" w:sz="4" w:space="0" w:color="auto"/>
              <w:bottom w:val="single" w:sz="4" w:space="0" w:color="auto"/>
            </w:tcBorders>
            <w:shd w:val="clear" w:color="auto" w:fill="auto"/>
          </w:tcPr>
          <w:p w14:paraId="61147CE5" w14:textId="77777777" w:rsidR="00F808A7" w:rsidRPr="00802803" w:rsidRDefault="00F808A7" w:rsidP="00FC02EB">
            <w:pPr>
              <w:pStyle w:val="Stycke"/>
            </w:pPr>
            <w:r>
              <w:t>Les véhicules ne peuvent être équipés d’aucun dispositif susceptible de perturber les réflexions ou de risquer d’éblouir un autre conducteur.</w:t>
            </w:r>
          </w:p>
          <w:p w14:paraId="6A0836F4" w14:textId="77777777" w:rsidR="00F808A7" w:rsidRPr="00802803" w:rsidRDefault="00F808A7" w:rsidP="00FC02EB">
            <w:pPr>
              <w:pStyle w:val="Styckemedindrag"/>
              <w:rPr>
                <w:bCs/>
                <w:szCs w:val="19"/>
              </w:rPr>
            </w:pPr>
            <w:r>
              <w:t>En outre, les véhicules ne doivent pas être munis d’un dispositif qui, pendant leur déplacement, peut afficher des images, des textes ou des équivalents qui sont visibles par les usagers de la route à l’extérieur du véhicule. Toutefois, les autobus qui circulent régulièrement peuvent, en liaison avec les arrêts d’autobus, être munis d’une signalisation indiquant l’évolution des informations relatives au trafic.</w:t>
            </w:r>
          </w:p>
        </w:tc>
      </w:tr>
      <w:tr w:rsidR="00F808A7" w:rsidRPr="00802803" w14:paraId="1D8C9CF0"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6F9A4043" w14:textId="77777777" w:rsidR="00F808A7" w:rsidRPr="00802803" w:rsidRDefault="00F808A7" w:rsidP="00FC02EB">
            <w:pPr>
              <w:ind w:right="-20"/>
              <w:jc w:val="center"/>
              <w:rPr>
                <w:bCs/>
                <w:sz w:val="19"/>
                <w:szCs w:val="19"/>
              </w:rPr>
            </w:pPr>
            <w:r>
              <w:rPr>
                <w:sz w:val="19"/>
              </w:rPr>
              <w:t>T1</w:t>
            </w:r>
          </w:p>
        </w:tc>
        <w:tc>
          <w:tcPr>
            <w:tcW w:w="4568" w:type="pct"/>
            <w:gridSpan w:val="3"/>
            <w:tcBorders>
              <w:top w:val="single" w:sz="4" w:space="0" w:color="auto"/>
              <w:bottom w:val="single" w:sz="4" w:space="0" w:color="auto"/>
            </w:tcBorders>
            <w:shd w:val="clear" w:color="auto" w:fill="auto"/>
          </w:tcPr>
          <w:p w14:paraId="0BA03E8F" w14:textId="77777777" w:rsidR="00F808A7" w:rsidRPr="00802803" w:rsidRDefault="00F808A7" w:rsidP="00FC02EB">
            <w:pPr>
              <w:pStyle w:val="Stycke"/>
              <w:rPr>
                <w:bCs/>
              </w:rPr>
            </w:pPr>
            <w:r>
              <w:t>Les véhicules sont équipés de dispositifs d’éclairage et de signalisation lumineuse qui satisfont aux autres exigences techniques énoncées à l’annexe IV, parties I et II, appendice 2, point 20, de l’annexe IV de la directive 2007/46/CE, selon le libellé du règlement (UE) nº 183/2011. Pour un véhicule de la catégorie N</w:t>
            </w:r>
            <w:r>
              <w:rPr>
                <w:vertAlign w:val="subscript"/>
              </w:rPr>
              <w:t>2</w:t>
            </w:r>
            <w:r>
              <w:t>, les mêmes exigences s’appliquent que pour un véhicule de la catégorie N</w:t>
            </w:r>
            <w:r>
              <w:rPr>
                <w:vertAlign w:val="subscript"/>
              </w:rPr>
              <w:t>1</w:t>
            </w:r>
            <w:r>
              <w:t>.</w:t>
            </w:r>
          </w:p>
        </w:tc>
      </w:tr>
      <w:tr w:rsidR="00F808A7" w:rsidRPr="00802803" w14:paraId="19D4CC5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366D6460" w14:textId="77777777" w:rsidR="00F808A7" w:rsidRPr="00802803" w:rsidRDefault="00F808A7" w:rsidP="00FC02EB">
            <w:pPr>
              <w:ind w:right="-20"/>
              <w:jc w:val="center"/>
              <w:rPr>
                <w:bCs/>
                <w:sz w:val="19"/>
                <w:szCs w:val="19"/>
              </w:rPr>
            </w:pPr>
            <w:r>
              <w:rPr>
                <w:sz w:val="19"/>
              </w:rPr>
              <w:t>S1</w:t>
            </w:r>
          </w:p>
        </w:tc>
        <w:tc>
          <w:tcPr>
            <w:tcW w:w="4568" w:type="pct"/>
            <w:gridSpan w:val="3"/>
            <w:tcBorders>
              <w:top w:val="single" w:sz="4" w:space="0" w:color="auto"/>
              <w:bottom w:val="single" w:sz="4" w:space="0" w:color="auto"/>
            </w:tcBorders>
            <w:shd w:val="clear" w:color="auto" w:fill="auto"/>
          </w:tcPr>
          <w:p w14:paraId="1DB091C4" w14:textId="77777777" w:rsidR="00F808A7" w:rsidRPr="00802803" w:rsidRDefault="00F808A7" w:rsidP="00FC02EB">
            <w:pPr>
              <w:pStyle w:val="Stycke"/>
            </w:pPr>
            <w:r>
              <w:t>Si l’utilisation particulière du véhicule ne permet pas de se conformer à toutes les prescriptions des lignes K1 ou K2, la dérogation peut être accordée, à condition que tous les dispositifs d’éclairage obligatoires soient montés. Dans le cas d’un camping-car, d’une ambulance, d’un corbillard et d’un véhicule blindé, la visibilité géométrique ne doit pas être affectée.</w:t>
            </w:r>
          </w:p>
        </w:tc>
      </w:tr>
      <w:tr w:rsidR="00F808A7" w:rsidRPr="00802803" w14:paraId="5EDFDC44"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3B01208" w14:textId="77777777" w:rsidR="00F808A7" w:rsidRPr="00802803" w:rsidRDefault="00F808A7" w:rsidP="00FC02EB">
            <w:pPr>
              <w:ind w:right="-20"/>
              <w:jc w:val="center"/>
              <w:rPr>
                <w:bCs/>
                <w:sz w:val="19"/>
                <w:szCs w:val="19"/>
              </w:rPr>
            </w:pPr>
            <w:r>
              <w:rPr>
                <w:sz w:val="19"/>
              </w:rPr>
              <w:t>S2</w:t>
            </w:r>
          </w:p>
        </w:tc>
        <w:tc>
          <w:tcPr>
            <w:tcW w:w="4568" w:type="pct"/>
            <w:gridSpan w:val="3"/>
            <w:tcBorders>
              <w:top w:val="single" w:sz="4" w:space="0" w:color="auto"/>
              <w:bottom w:val="single" w:sz="4" w:space="0" w:color="auto"/>
            </w:tcBorders>
            <w:shd w:val="clear" w:color="auto" w:fill="auto"/>
          </w:tcPr>
          <w:p w14:paraId="64B06A03" w14:textId="77777777" w:rsidR="00F808A7" w:rsidRPr="00802803" w:rsidRDefault="00F808A7" w:rsidP="00FC02EB">
            <w:pPr>
              <w:pStyle w:val="Stycke"/>
            </w:pPr>
            <w:r>
              <w:t>Une voiture particulière d’un poids total supérieur à 2 500 kg, construite à partir d’un camion ou d’un autobus peut satisfaire aux exigences applicables au véhicule d’origine. Il en va de même pour un autobus construit à partir d’un camion ou d’une voiture particulière.</w:t>
            </w:r>
          </w:p>
        </w:tc>
      </w:tr>
      <w:tr w:rsidR="00F808A7" w:rsidRPr="00802803" w14:paraId="7C31077D"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4D11FB1D" w14:textId="77777777" w:rsidR="00F808A7" w:rsidRPr="00802803" w:rsidRDefault="00F808A7" w:rsidP="00FC02EB">
            <w:pPr>
              <w:ind w:right="-20"/>
              <w:jc w:val="center"/>
              <w:rPr>
                <w:bCs/>
                <w:sz w:val="19"/>
                <w:szCs w:val="19"/>
              </w:rPr>
            </w:pPr>
            <w:r>
              <w:rPr>
                <w:sz w:val="19"/>
              </w:rPr>
              <w:lastRenderedPageBreak/>
              <w:t>U1</w:t>
            </w:r>
          </w:p>
        </w:tc>
        <w:tc>
          <w:tcPr>
            <w:tcW w:w="4568" w:type="pct"/>
            <w:gridSpan w:val="3"/>
            <w:tcBorders>
              <w:top w:val="single" w:sz="4" w:space="0" w:color="auto"/>
              <w:bottom w:val="single" w:sz="4" w:space="0" w:color="auto"/>
            </w:tcBorders>
            <w:shd w:val="clear" w:color="auto" w:fill="auto"/>
          </w:tcPr>
          <w:p w14:paraId="45DB5C47" w14:textId="77777777" w:rsidR="00F808A7" w:rsidRPr="00802803" w:rsidRDefault="00F808A7" w:rsidP="00FC02EB">
            <w:pPr>
              <w:pStyle w:val="Stycke"/>
              <w:rPr>
                <w:szCs w:val="19"/>
              </w:rPr>
            </w:pPr>
            <w:r>
              <w:t>Les véhicules n’ont pas besoin d’être conformes aux prescriptions suivantes du règlement nº 48 de la CEE-ONU et de l’annexe 2 de la directive 76/756/CEE:</w:t>
            </w:r>
          </w:p>
          <w:p w14:paraId="0B6FFA58" w14:textId="77777777" w:rsidR="00F808A7" w:rsidRPr="00DC4B0A" w:rsidRDefault="00F808A7" w:rsidP="00FC02EB">
            <w:pPr>
              <w:pStyle w:val="Styckemedindrag"/>
            </w:pPr>
            <w:r>
              <w:t>1. 6.1.2 en ce qui concerne la limitation à quatre feux de route au maximum.</w:t>
            </w:r>
          </w:p>
          <w:p w14:paraId="61E3C0AF" w14:textId="77777777" w:rsidR="00F808A7" w:rsidRPr="00DC4B0A" w:rsidRDefault="00F808A7" w:rsidP="00FC02EB">
            <w:pPr>
              <w:pStyle w:val="Styckemedindrag"/>
            </w:pPr>
            <w:r>
              <w:t>2. 6.1.9 (intensité maximale agrégée des poutres).</w:t>
            </w:r>
          </w:p>
          <w:p w14:paraId="7963D4AF" w14:textId="77777777" w:rsidR="00F808A7" w:rsidRPr="00DC4B0A" w:rsidRDefault="00F808A7" w:rsidP="00FC02EB">
            <w:pPr>
              <w:pStyle w:val="Styckemedindrag"/>
            </w:pPr>
            <w:r>
              <w:t>3. 6.10.2. en ce qui concerne la limitation de deux feux de position arrière au maximum. Toutefois, le nombre de feux devrait être égal.</w:t>
            </w:r>
          </w:p>
          <w:p w14:paraId="05E338FC" w14:textId="77777777" w:rsidR="00F808A7" w:rsidRPr="00DC4B0A" w:rsidRDefault="00F808A7" w:rsidP="00FC02EB">
            <w:pPr>
              <w:pStyle w:val="Styckemedindrag"/>
            </w:pPr>
            <w:r>
              <w:t>4. 6.4.2 en ce qui concerne la limitation à deux feux de marche arrière au maximum. Le nombre de feux éclairants ne doit pas dépasser quatre.</w:t>
            </w:r>
          </w:p>
          <w:p w14:paraId="790DD550" w14:textId="77777777" w:rsidR="00F808A7" w:rsidRPr="00DC4B0A" w:rsidRDefault="00F808A7" w:rsidP="00FC02EB">
            <w:pPr>
              <w:pStyle w:val="Styckemedindrag"/>
            </w:pPr>
            <w:r>
              <w:t>5. 6.5.3 en ce qui concerne la limitation à deux feux indicateurs de direction arrière des catégories 2a ou 2b. Le nombre de feux ne doit pas dépasser quatre.</w:t>
            </w:r>
          </w:p>
          <w:p w14:paraId="22BD5FFE" w14:textId="77777777" w:rsidR="00F808A7" w:rsidRPr="00DC4B0A" w:rsidRDefault="00F808A7" w:rsidP="00FC02EB">
            <w:pPr>
              <w:pStyle w:val="Styckemedindrag"/>
            </w:pPr>
            <w:r>
              <w:t>6. 6.6.7.2 en ce qui concerne la limitation à deux feux-stop des catégories S1 ou S2. Le nombre de feux ne doit pas dépasser quatre.</w:t>
            </w:r>
          </w:p>
          <w:p w14:paraId="5618458D" w14:textId="77777777" w:rsidR="00F808A7" w:rsidRPr="00802803" w:rsidRDefault="00F808A7" w:rsidP="00FC02EB">
            <w:pPr>
              <w:pStyle w:val="Styckemedindrag"/>
              <w:rPr>
                <w:szCs w:val="19"/>
              </w:rPr>
            </w:pPr>
            <w:r>
              <w:t>7. 6.9.2 en ce qui concerne la limitation à deux feux de position avant maximum. Le nombre de feux ne doit pas dépasser quatre.</w:t>
            </w:r>
          </w:p>
        </w:tc>
      </w:tr>
      <w:tr w:rsidR="00F808A7" w:rsidRPr="00802803" w14:paraId="4CAF6C91"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FF93B5F" w14:textId="77777777" w:rsidR="00F808A7" w:rsidRPr="00802803" w:rsidRDefault="00F808A7" w:rsidP="00FC02EB">
            <w:pPr>
              <w:ind w:right="-20"/>
              <w:jc w:val="center"/>
              <w:rPr>
                <w:bCs/>
                <w:sz w:val="19"/>
                <w:szCs w:val="19"/>
              </w:rPr>
            </w:pPr>
            <w:r>
              <w:rPr>
                <w:sz w:val="19"/>
              </w:rPr>
              <w:t>U2</w:t>
            </w:r>
          </w:p>
        </w:tc>
        <w:tc>
          <w:tcPr>
            <w:tcW w:w="4568" w:type="pct"/>
            <w:gridSpan w:val="3"/>
            <w:tcBorders>
              <w:top w:val="single" w:sz="4" w:space="0" w:color="auto"/>
              <w:bottom w:val="single" w:sz="4" w:space="0" w:color="auto"/>
            </w:tcBorders>
            <w:shd w:val="clear" w:color="auto" w:fill="auto"/>
          </w:tcPr>
          <w:p w14:paraId="17679A2F" w14:textId="77777777" w:rsidR="00F808A7" w:rsidRPr="00121825" w:rsidRDefault="00F808A7" w:rsidP="00FC02EB">
            <w:pPr>
              <w:pStyle w:val="Stycke"/>
            </w:pPr>
            <w:r>
              <w:t>Un véhicule peut avoir des feux destinés à être utilisés comme éclairage supplémentaire lorsque l’on travaille à proximité du véhicule, connu sous le nom d’éclairage de travail, qui émet de la lumière blanche. Les lumières de recherche sont également considérées comme des éclairages de travail.</w:t>
            </w:r>
          </w:p>
          <w:p w14:paraId="7C92BB7C" w14:textId="77777777" w:rsidR="00F808A7" w:rsidRPr="00121825" w:rsidRDefault="00F808A7" w:rsidP="00FC02EB">
            <w:pPr>
              <w:pStyle w:val="Styckemedindrag"/>
              <w:rPr>
                <w:szCs w:val="19"/>
              </w:rPr>
            </w:pPr>
            <w:r>
              <w:t>Il doit y avoir un feu indicateur qui s’allume de couleur ambrée ou rouge lorsque l’éclairage de travail est en fonctionnement et le feu doit être visible depuis le siège du conducteur.</w:t>
            </w:r>
          </w:p>
          <w:p w14:paraId="242F9004" w14:textId="77777777" w:rsidR="00F808A7" w:rsidRPr="00254CD4" w:rsidRDefault="00F808A7" w:rsidP="00FC02EB">
            <w:pPr>
              <w:pStyle w:val="Styckemedindrag"/>
              <w:rPr>
                <w:szCs w:val="19"/>
              </w:rPr>
            </w:pPr>
            <w:r>
              <w:t>L’éclairage doit être monté de telle manière qu’il ne vibre pas ou ne change pas de position pendant la conduite normale.</w:t>
            </w:r>
          </w:p>
          <w:p w14:paraId="4FB4A89E" w14:textId="77777777" w:rsidR="00F808A7" w:rsidRPr="00121825" w:rsidRDefault="00F808A7" w:rsidP="00FC02EB">
            <w:pPr>
              <w:pStyle w:val="Styckemedindrag"/>
              <w:rPr>
                <w:szCs w:val="19"/>
              </w:rPr>
            </w:pPr>
            <w:r>
              <w:t>L’éclairage de travail ne doit pas:</w:t>
            </w:r>
          </w:p>
          <w:p w14:paraId="60B593F5" w14:textId="77777777" w:rsidR="00F808A7" w:rsidRPr="00254CD4" w:rsidRDefault="00F808A7" w:rsidP="00FC02EB">
            <w:pPr>
              <w:pStyle w:val="Styckemedindrag"/>
              <w:rPr>
                <w:szCs w:val="19"/>
              </w:rPr>
            </w:pPr>
            <w:r>
              <w:t>1. être groupé avec d’autres feux ou lumières d’éclairage,</w:t>
            </w:r>
          </w:p>
          <w:p w14:paraId="30FA00B0" w14:textId="77777777" w:rsidR="00F808A7" w:rsidRPr="00254CD4" w:rsidRDefault="00F808A7" w:rsidP="00FC02EB">
            <w:pPr>
              <w:pStyle w:val="Styckemedindrag"/>
              <w:rPr>
                <w:szCs w:val="19"/>
              </w:rPr>
            </w:pPr>
            <w:r>
              <w:t>2. être combiné avec d’autres lampes ou lumières d’éclairage; ni</w:t>
            </w:r>
          </w:p>
          <w:p w14:paraId="01F91BE2" w14:textId="77777777" w:rsidR="00F808A7" w:rsidRPr="00802803" w:rsidRDefault="00F808A7" w:rsidP="00FC02EB">
            <w:pPr>
              <w:pStyle w:val="Styckemedindrag"/>
              <w:rPr>
                <w:szCs w:val="19"/>
              </w:rPr>
            </w:pPr>
            <w:r>
              <w:t>3. former un couplage de feux ou de lumières d’éclairage.</w:t>
            </w:r>
          </w:p>
        </w:tc>
      </w:tr>
      <w:tr w:rsidR="00F808A7" w:rsidRPr="00802803" w14:paraId="4C5F4E0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0E4CAC0" w14:textId="77777777" w:rsidR="00F808A7" w:rsidRPr="00802803" w:rsidRDefault="00F808A7" w:rsidP="00FC02EB">
            <w:pPr>
              <w:ind w:right="-20"/>
              <w:jc w:val="center"/>
              <w:rPr>
                <w:bCs/>
                <w:sz w:val="19"/>
                <w:szCs w:val="19"/>
              </w:rPr>
            </w:pPr>
            <w:r>
              <w:rPr>
                <w:sz w:val="19"/>
              </w:rPr>
              <w:lastRenderedPageBreak/>
              <w:t>U3</w:t>
            </w:r>
          </w:p>
        </w:tc>
        <w:tc>
          <w:tcPr>
            <w:tcW w:w="4568" w:type="pct"/>
            <w:gridSpan w:val="3"/>
            <w:tcBorders>
              <w:top w:val="single" w:sz="4" w:space="0" w:color="auto"/>
              <w:bottom w:val="single" w:sz="4" w:space="0" w:color="auto"/>
            </w:tcBorders>
            <w:shd w:val="clear" w:color="auto" w:fill="auto"/>
          </w:tcPr>
          <w:p w14:paraId="6442EA96" w14:textId="77777777" w:rsidR="00F808A7" w:rsidRPr="00802803" w:rsidRDefault="00F808A7" w:rsidP="00FC02EB">
            <w:pPr>
              <w:pStyle w:val="Stycke"/>
            </w:pPr>
            <w:r>
              <w:t>Les autobus peuvent avoir des lampes pour éclairer la zone des portes de service, appelées éclairages de débarquement, adjacentes aux portes de service pour les passagers.</w:t>
            </w:r>
          </w:p>
          <w:p w14:paraId="762E573B" w14:textId="77777777" w:rsidR="00F808A7" w:rsidRPr="00802803" w:rsidRDefault="00F808A7" w:rsidP="00FC02EB">
            <w:pPr>
              <w:pStyle w:val="Styckemedindrag"/>
            </w:pPr>
            <w:r>
              <w:t>L’éclairage de débarquement doit être situé à une hauteur d’au moins 2 000 mm.</w:t>
            </w:r>
          </w:p>
          <w:p w14:paraId="6AD55676" w14:textId="77777777" w:rsidR="00F808A7" w:rsidRPr="00802803" w:rsidRDefault="00F808A7" w:rsidP="00FC02EB">
            <w:pPr>
              <w:pStyle w:val="Styckemedindrag"/>
              <w:rPr>
                <w:szCs w:val="19"/>
              </w:rPr>
            </w:pPr>
            <w:r>
              <w:t>L’éclairage de débarquement ne doit pas être projeté à plus de 50 mm au-delà de la largeur la plus large de la carrosserie.</w:t>
            </w:r>
          </w:p>
          <w:p w14:paraId="1562D997" w14:textId="77777777" w:rsidR="00F808A7" w:rsidRPr="00802803" w:rsidRDefault="00F808A7" w:rsidP="00FC02EB">
            <w:pPr>
              <w:pStyle w:val="Styckemedindrag"/>
              <w:rPr>
                <w:szCs w:val="19"/>
              </w:rPr>
            </w:pPr>
            <w:r>
              <w:t>L’éclairage de débarquement doit être réglé et filtré de telle sorte qu’il n’émette pas de lumière susceptible d’éblouir d’autres usagers de la route dans la zone située à l’extérieur d’un rayon de 10 mètres de la lampe.</w:t>
            </w:r>
          </w:p>
          <w:p w14:paraId="0C423EEA" w14:textId="77777777" w:rsidR="00F808A7" w:rsidRPr="00802803" w:rsidRDefault="00F808A7" w:rsidP="00FC02EB">
            <w:pPr>
              <w:pStyle w:val="Styckemedindrag"/>
              <w:rPr>
                <w:szCs w:val="19"/>
              </w:rPr>
            </w:pPr>
            <w:r>
              <w:t>L’éclairage doit être monté de telle manière qu’il ne vibre pas ou ne change pas de position pendant la conduite normale.</w:t>
            </w:r>
          </w:p>
          <w:p w14:paraId="64744E4E" w14:textId="77777777" w:rsidR="00F808A7" w:rsidRDefault="00F808A7" w:rsidP="00FC02EB">
            <w:pPr>
              <w:pStyle w:val="Styckemedindrag"/>
            </w:pPr>
            <w:r>
              <w:t>L’éclairage de débarquement ne doit pas:</w:t>
            </w:r>
          </w:p>
          <w:p w14:paraId="5CECE21F" w14:textId="77777777" w:rsidR="00F808A7" w:rsidRPr="00DC4B0A" w:rsidRDefault="00F808A7" w:rsidP="00FC02EB">
            <w:pPr>
              <w:pStyle w:val="Styckemedindrag"/>
              <w:rPr>
                <w:szCs w:val="19"/>
              </w:rPr>
            </w:pPr>
            <w:r>
              <w:t>1. être groupé avec d’autres feux ou lumières d’éclairage,</w:t>
            </w:r>
          </w:p>
          <w:p w14:paraId="06ABACA9" w14:textId="77777777" w:rsidR="00F808A7" w:rsidRPr="00DC4B0A" w:rsidRDefault="00F808A7" w:rsidP="00FC02EB">
            <w:pPr>
              <w:pStyle w:val="Styckemedindrag"/>
              <w:rPr>
                <w:szCs w:val="19"/>
              </w:rPr>
            </w:pPr>
            <w:r>
              <w:t>2. être combiné avec d’autres lampes ou lumières d’éclairage; ni</w:t>
            </w:r>
          </w:p>
          <w:p w14:paraId="030B8A5E" w14:textId="77777777" w:rsidR="00F808A7" w:rsidRPr="00121825" w:rsidRDefault="00F808A7" w:rsidP="00FC02EB">
            <w:pPr>
              <w:pStyle w:val="Styckemedindrag"/>
              <w:rPr>
                <w:szCs w:val="19"/>
              </w:rPr>
            </w:pPr>
            <w:r>
              <w:t>3. former un couplage de feux ou de lumières d’éclairage.</w:t>
            </w:r>
          </w:p>
          <w:p w14:paraId="6CC7E9C0" w14:textId="77777777" w:rsidR="00F808A7" w:rsidRPr="00802803" w:rsidRDefault="00F808A7" w:rsidP="00FC02EB">
            <w:pPr>
              <w:pStyle w:val="Styckemedindrag"/>
            </w:pPr>
            <w:r>
              <w:t>L’éclairage de débarquement doit être raccordé au système électrique du véhicule afin qu’il ne puisse être allumé qu’en liaison avec l’ouverture des portes de service pour les passagers et qu’il ne puisse pas être allumé lorsque le véhicule a atteint une vitesse de 5 km/h ou plus.</w:t>
            </w:r>
          </w:p>
        </w:tc>
      </w:tr>
      <w:tr w:rsidR="00F808A7" w:rsidRPr="00802803" w14:paraId="3C1500AF" w14:textId="77777777" w:rsidTr="00FC02EB">
        <w:trPr>
          <w:cantSplit/>
          <w:trHeight w:val="523"/>
        </w:trPr>
        <w:tc>
          <w:tcPr>
            <w:tcW w:w="432" w:type="pct"/>
            <w:tcBorders>
              <w:top w:val="single" w:sz="4" w:space="0" w:color="auto"/>
              <w:left w:val="single" w:sz="4" w:space="0" w:color="auto"/>
              <w:bottom w:val="nil"/>
            </w:tcBorders>
            <w:shd w:val="clear" w:color="auto" w:fill="auto"/>
          </w:tcPr>
          <w:p w14:paraId="7F416D3B" w14:textId="77777777" w:rsidR="00F808A7" w:rsidRPr="00802803" w:rsidRDefault="00F808A7" w:rsidP="00FC02EB">
            <w:pPr>
              <w:ind w:right="-20"/>
              <w:jc w:val="center"/>
              <w:rPr>
                <w:bCs/>
                <w:sz w:val="19"/>
                <w:szCs w:val="19"/>
              </w:rPr>
            </w:pPr>
            <w:r>
              <w:rPr>
                <w:sz w:val="19"/>
              </w:rPr>
              <w:t>U4</w:t>
            </w:r>
          </w:p>
        </w:tc>
        <w:tc>
          <w:tcPr>
            <w:tcW w:w="4568" w:type="pct"/>
            <w:gridSpan w:val="3"/>
            <w:tcBorders>
              <w:top w:val="single" w:sz="4" w:space="0" w:color="auto"/>
              <w:bottom w:val="single" w:sz="4" w:space="0" w:color="auto"/>
            </w:tcBorders>
            <w:shd w:val="clear" w:color="auto" w:fill="auto"/>
          </w:tcPr>
          <w:p w14:paraId="0C0878F5" w14:textId="77777777" w:rsidR="00F808A7" w:rsidRPr="00802803" w:rsidRDefault="00F808A7" w:rsidP="00FC02EB">
            <w:pPr>
              <w:pStyle w:val="Stycke"/>
            </w:pPr>
            <w:r>
              <w:t>Les véhicules qui, du fait de leur utilisation, sont équipés d’un équipement qui dissimule les feux de croisement peuvent être équipés de quatre feux de croisement. Ceci est permis à condition que les phares soient raccordés de telle manière que les deux paires ne puissent pas être allumées en même temps.</w:t>
            </w:r>
          </w:p>
        </w:tc>
      </w:tr>
      <w:tr w:rsidR="00F808A7" w:rsidRPr="00802803" w14:paraId="6CBFDB22"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CC7FD76" w14:textId="77777777" w:rsidR="00F808A7" w:rsidRPr="00802803" w:rsidRDefault="00F808A7" w:rsidP="00FC02EB">
            <w:pPr>
              <w:ind w:right="-20"/>
              <w:jc w:val="center"/>
              <w:rPr>
                <w:bCs/>
                <w:sz w:val="19"/>
                <w:szCs w:val="19"/>
              </w:rPr>
            </w:pPr>
            <w:r>
              <w:rPr>
                <w:sz w:val="19"/>
              </w:rPr>
              <w:t>U5</w:t>
            </w:r>
          </w:p>
        </w:tc>
        <w:tc>
          <w:tcPr>
            <w:tcW w:w="4568" w:type="pct"/>
            <w:gridSpan w:val="3"/>
            <w:tcBorders>
              <w:top w:val="single" w:sz="4" w:space="0" w:color="auto"/>
              <w:bottom w:val="single" w:sz="4" w:space="0" w:color="auto"/>
            </w:tcBorders>
            <w:shd w:val="clear" w:color="auto" w:fill="auto"/>
          </w:tcPr>
          <w:p w14:paraId="6F536112" w14:textId="77777777" w:rsidR="00F808A7" w:rsidRPr="00802803" w:rsidRDefault="00F808A7" w:rsidP="00FC02EB">
            <w:pPr>
              <w:pStyle w:val="Stycke"/>
            </w:pPr>
            <w:r>
              <w:t>Les voitures utilisées comme taxis peuvent être équipées d’un feu qui projette un éclairage vert vers l’avant (pour indiquer que le taxi est disponible).</w:t>
            </w:r>
          </w:p>
        </w:tc>
      </w:tr>
      <w:tr w:rsidR="00F808A7" w:rsidRPr="00802803" w14:paraId="5FDC126B"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746A143" w14:textId="77777777" w:rsidR="00F808A7" w:rsidRPr="00802803" w:rsidRDefault="00F808A7" w:rsidP="00FC02EB">
            <w:pPr>
              <w:ind w:right="-20"/>
              <w:jc w:val="center"/>
              <w:rPr>
                <w:bCs/>
                <w:sz w:val="19"/>
                <w:szCs w:val="19"/>
              </w:rPr>
            </w:pPr>
            <w:r>
              <w:rPr>
                <w:sz w:val="19"/>
              </w:rPr>
              <w:t>U6</w:t>
            </w:r>
          </w:p>
        </w:tc>
        <w:tc>
          <w:tcPr>
            <w:tcW w:w="4568" w:type="pct"/>
            <w:gridSpan w:val="3"/>
            <w:tcBorders>
              <w:top w:val="single" w:sz="4" w:space="0" w:color="auto"/>
              <w:bottom w:val="single" w:sz="4" w:space="0" w:color="auto"/>
            </w:tcBorders>
            <w:shd w:val="clear" w:color="auto" w:fill="auto"/>
          </w:tcPr>
          <w:p w14:paraId="0BA54F33" w14:textId="77777777" w:rsidR="00F808A7" w:rsidRPr="00121825" w:rsidRDefault="00F808A7" w:rsidP="00FC02EB">
            <w:pPr>
              <w:pStyle w:val="Stycke"/>
            </w:pPr>
            <w:r>
              <w:t>Les véhicules de police peuvent être équipés de feux utilisés pour le signal de police P11 — rejoignez le bas-côté et arrêtez-vous devant le véhicule de police — conformément à l’article 2 du chapitre 7 de l’ordonnance sur la signalisation routière (2007:90) utilisant un feu bleu et rouge.</w:t>
            </w:r>
          </w:p>
        </w:tc>
      </w:tr>
      <w:tr w:rsidR="00F808A7" w:rsidRPr="00802803" w14:paraId="02683EB3"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8BB8A3C" w14:textId="77777777" w:rsidR="00F808A7" w:rsidRPr="00802803" w:rsidRDefault="00F808A7" w:rsidP="00FC02EB">
            <w:pPr>
              <w:ind w:right="-20"/>
              <w:jc w:val="center"/>
              <w:rPr>
                <w:bCs/>
                <w:sz w:val="19"/>
                <w:szCs w:val="19"/>
              </w:rPr>
            </w:pPr>
            <w:r>
              <w:rPr>
                <w:sz w:val="19"/>
              </w:rPr>
              <w:t>U7</w:t>
            </w:r>
          </w:p>
        </w:tc>
        <w:tc>
          <w:tcPr>
            <w:tcW w:w="4568" w:type="pct"/>
            <w:gridSpan w:val="3"/>
            <w:tcBorders>
              <w:top w:val="single" w:sz="4" w:space="0" w:color="auto"/>
              <w:bottom w:val="single" w:sz="4" w:space="0" w:color="auto"/>
            </w:tcBorders>
            <w:shd w:val="clear" w:color="auto" w:fill="auto"/>
          </w:tcPr>
          <w:p w14:paraId="6DB2E0D5" w14:textId="77777777" w:rsidR="00F808A7" w:rsidRPr="00802803" w:rsidRDefault="00F808A7" w:rsidP="00FC02EB">
            <w:pPr>
              <w:pStyle w:val="Stycke"/>
            </w:pPr>
            <w:r>
              <w:t>Les réflecteurs supplémentaires d’un véhicule de secours peuvent projeter une lumière blanche à l’arrière.</w:t>
            </w:r>
          </w:p>
        </w:tc>
      </w:tr>
      <w:tr w:rsidR="00F808A7" w:rsidRPr="00802803" w14:paraId="5C12BB9A"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439FB1E" w14:textId="77777777" w:rsidR="00F808A7" w:rsidRPr="00802803" w:rsidRDefault="00F808A7" w:rsidP="00FC02EB">
            <w:pPr>
              <w:ind w:right="-20"/>
              <w:jc w:val="center"/>
              <w:rPr>
                <w:bCs/>
                <w:sz w:val="19"/>
                <w:szCs w:val="19"/>
              </w:rPr>
            </w:pPr>
            <w:r>
              <w:rPr>
                <w:sz w:val="19"/>
              </w:rPr>
              <w:t>U8</w:t>
            </w:r>
          </w:p>
        </w:tc>
        <w:tc>
          <w:tcPr>
            <w:tcW w:w="4568" w:type="pct"/>
            <w:gridSpan w:val="3"/>
            <w:tcBorders>
              <w:top w:val="single" w:sz="4" w:space="0" w:color="auto"/>
              <w:bottom w:val="single" w:sz="4" w:space="0" w:color="auto"/>
            </w:tcBorders>
            <w:shd w:val="clear" w:color="auto" w:fill="auto"/>
          </w:tcPr>
          <w:p w14:paraId="6F63A08A" w14:textId="77777777" w:rsidR="00F808A7" w:rsidRPr="00802803" w:rsidRDefault="00F808A7" w:rsidP="00FC02EB">
            <w:pPr>
              <w:pStyle w:val="Stycke"/>
            </w:pPr>
            <w:r>
              <w:t>Un camion des catégories N</w:t>
            </w:r>
            <w:r>
              <w:rPr>
                <w:vertAlign w:val="subscript"/>
              </w:rPr>
              <w:t xml:space="preserve">2 </w:t>
            </w:r>
            <w:r>
              <w:t>et N</w:t>
            </w:r>
            <w:r>
              <w:rPr>
                <w:vertAlign w:val="subscript"/>
              </w:rPr>
              <w:t>3</w:t>
            </w:r>
            <w:r>
              <w:t xml:space="preserve"> et une remorque des catégories O</w:t>
            </w:r>
            <w:r>
              <w:rPr>
                <w:vertAlign w:val="subscript"/>
              </w:rPr>
              <w:t>3</w:t>
            </w:r>
            <w:r>
              <w:t xml:space="preserve"> et O</w:t>
            </w:r>
            <w:r>
              <w:rPr>
                <w:vertAlign w:val="subscript"/>
              </w:rPr>
              <w:t>4</w:t>
            </w:r>
            <w:r>
              <w:t xml:space="preserve"> peuvent être équipés de signaux indiquant des véhicules lourds ou longs. Les signaux doivent être homologués et installés conformément au règlement nº 70 de la CEE-ONU.</w:t>
            </w:r>
          </w:p>
        </w:tc>
      </w:tr>
      <w:tr w:rsidR="00F808A7" w:rsidRPr="00802803" w14:paraId="22608A7B"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55B3EB52" w14:textId="77777777" w:rsidR="00F808A7" w:rsidRPr="00802803" w:rsidRDefault="00F808A7" w:rsidP="00FC02EB">
            <w:pPr>
              <w:ind w:right="-20"/>
              <w:jc w:val="center"/>
              <w:rPr>
                <w:bCs/>
                <w:sz w:val="19"/>
                <w:szCs w:val="19"/>
              </w:rPr>
            </w:pPr>
            <w:r>
              <w:rPr>
                <w:sz w:val="19"/>
              </w:rPr>
              <w:lastRenderedPageBreak/>
              <w:t>U9</w:t>
            </w:r>
          </w:p>
        </w:tc>
        <w:tc>
          <w:tcPr>
            <w:tcW w:w="4568" w:type="pct"/>
            <w:gridSpan w:val="3"/>
            <w:tcBorders>
              <w:top w:val="single" w:sz="4" w:space="0" w:color="auto"/>
              <w:bottom w:val="single" w:sz="4" w:space="0" w:color="auto"/>
            </w:tcBorders>
            <w:shd w:val="clear" w:color="auto" w:fill="auto"/>
          </w:tcPr>
          <w:p w14:paraId="72578399" w14:textId="77777777" w:rsidR="00F808A7" w:rsidRPr="00802803" w:rsidRDefault="00F808A7" w:rsidP="00FC02EB">
            <w:pPr>
              <w:pStyle w:val="Stycke"/>
            </w:pPr>
            <w:r>
              <w:t>Les dispositions relatives aux dérogations pour la signalisation des apprenants conducteurs sur les véhicules utilisés par les écoles de conduite figurent à l’article 6 des règlements de l’Agence suédoise des transports (TSFS 2010:81) relative à la signalisation des apprenants conducteurs et à la formation des conducteurs et à la supervision de la conduite dans les écoles de conduite.</w:t>
            </w:r>
          </w:p>
        </w:tc>
      </w:tr>
      <w:tr w:rsidR="00F808A7" w:rsidRPr="00802803" w14:paraId="306614FA"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6CAD5AEF" w14:textId="77777777" w:rsidR="00F808A7" w:rsidRPr="00802803" w:rsidRDefault="00F808A7" w:rsidP="00FC02EB">
            <w:pPr>
              <w:ind w:right="-20"/>
              <w:jc w:val="center"/>
              <w:rPr>
                <w:bCs/>
                <w:sz w:val="19"/>
                <w:szCs w:val="19"/>
              </w:rPr>
            </w:pPr>
            <w:r>
              <w:rPr>
                <w:sz w:val="19"/>
              </w:rPr>
              <w:t>U10</w:t>
            </w:r>
          </w:p>
        </w:tc>
        <w:tc>
          <w:tcPr>
            <w:tcW w:w="4568" w:type="pct"/>
            <w:gridSpan w:val="3"/>
            <w:tcBorders>
              <w:top w:val="single" w:sz="4" w:space="0" w:color="auto"/>
              <w:bottom w:val="single" w:sz="4" w:space="0" w:color="auto"/>
            </w:tcBorders>
            <w:shd w:val="clear" w:color="auto" w:fill="auto"/>
          </w:tcPr>
          <w:p w14:paraId="51868340" w14:textId="77777777" w:rsidR="00F808A7" w:rsidRPr="00802803" w:rsidRDefault="00F808A7" w:rsidP="00FC02EB">
            <w:pPr>
              <w:pStyle w:val="Stycke"/>
            </w:pPr>
            <w:r>
              <w:t>Sur une dépanneuse, il peut y avoir un feu de position supplémentaire, un feu-stop et un feu indicateur de direction de chaque côté, à l’arrière, qui est adjacent à la paroi arrière de la cabine du véhicule. L’emplacement des feux peut différer par la distance nécessaire pour que le véhicule dispose d’un éclairage clairement visible à l’arrière pendant les travaux de dépannage.</w:t>
            </w:r>
          </w:p>
        </w:tc>
      </w:tr>
      <w:tr w:rsidR="00F808A7" w:rsidRPr="00802803" w14:paraId="74B83EEC" w14:textId="77777777" w:rsidTr="004D3B85">
        <w:trPr>
          <w:cantSplit/>
          <w:trHeight w:val="182"/>
        </w:trPr>
        <w:tc>
          <w:tcPr>
            <w:tcW w:w="432" w:type="pct"/>
            <w:tcBorders>
              <w:top w:val="single" w:sz="4" w:space="0" w:color="auto"/>
              <w:left w:val="single" w:sz="4" w:space="0" w:color="auto"/>
              <w:bottom w:val="single" w:sz="4" w:space="0" w:color="auto"/>
            </w:tcBorders>
            <w:shd w:val="clear" w:color="auto" w:fill="auto"/>
          </w:tcPr>
          <w:p w14:paraId="573F95C8" w14:textId="77777777" w:rsidR="00F808A7" w:rsidRPr="00254CD4" w:rsidRDefault="00F808A7" w:rsidP="00FC02EB">
            <w:pPr>
              <w:ind w:right="-20"/>
              <w:jc w:val="center"/>
              <w:rPr>
                <w:bCs/>
                <w:sz w:val="19"/>
                <w:szCs w:val="19"/>
              </w:rPr>
            </w:pPr>
            <w:r>
              <w:rPr>
                <w:sz w:val="19"/>
              </w:rPr>
              <w:t>U11</w:t>
            </w:r>
          </w:p>
        </w:tc>
        <w:tc>
          <w:tcPr>
            <w:tcW w:w="4568" w:type="pct"/>
            <w:gridSpan w:val="3"/>
            <w:tcBorders>
              <w:top w:val="single" w:sz="4" w:space="0" w:color="auto"/>
              <w:bottom w:val="single" w:sz="4" w:space="0" w:color="auto"/>
            </w:tcBorders>
            <w:shd w:val="clear" w:color="auto" w:fill="auto"/>
          </w:tcPr>
          <w:p w14:paraId="3D620721" w14:textId="77777777" w:rsidR="00F808A7" w:rsidRPr="00DC4B0A" w:rsidRDefault="00F808A7" w:rsidP="00FC02EB">
            <w:pPr>
              <w:pStyle w:val="Styckemedindrag"/>
              <w:ind w:firstLine="0"/>
              <w:rPr>
                <w:szCs w:val="19"/>
              </w:rPr>
            </w:pPr>
            <w:r>
              <w:t>Une remorque d’une hauteur maximale de 1,4 mètres n’a pas besoin d’être équipée de feux d’encombrement. Cela vaut également pour un véhicule d’une hauteur allant jusqu’à 1,4 mètres, calculée à partir de l’arrière jusqu’à la paroi de la cabine arrière.</w:t>
            </w:r>
          </w:p>
        </w:tc>
      </w:tr>
      <w:tr w:rsidR="00F808A7" w:rsidRPr="00802803" w14:paraId="6E46BD13" w14:textId="77777777" w:rsidTr="004D3B85">
        <w:trPr>
          <w:cantSplit/>
          <w:trHeight w:val="182"/>
        </w:trPr>
        <w:tc>
          <w:tcPr>
            <w:tcW w:w="432" w:type="pct"/>
            <w:tcBorders>
              <w:top w:val="single" w:sz="4" w:space="0" w:color="auto"/>
              <w:left w:val="single" w:sz="4" w:space="0" w:color="auto"/>
              <w:bottom w:val="single" w:sz="4" w:space="0" w:color="auto"/>
            </w:tcBorders>
            <w:shd w:val="clear" w:color="auto" w:fill="auto"/>
          </w:tcPr>
          <w:p w14:paraId="4D3F5BEB" w14:textId="58057308" w:rsidR="00F808A7" w:rsidRPr="00254CD4" w:rsidRDefault="00F808A7" w:rsidP="00FC02EB">
            <w:pPr>
              <w:ind w:right="-20"/>
              <w:jc w:val="center"/>
              <w:rPr>
                <w:bCs/>
                <w:sz w:val="19"/>
                <w:szCs w:val="19"/>
              </w:rPr>
            </w:pPr>
            <w:r>
              <w:rPr>
                <w:sz w:val="19"/>
              </w:rPr>
              <w:t>U12</w:t>
            </w:r>
          </w:p>
        </w:tc>
        <w:tc>
          <w:tcPr>
            <w:tcW w:w="4568" w:type="pct"/>
            <w:gridSpan w:val="3"/>
            <w:tcBorders>
              <w:top w:val="single" w:sz="4" w:space="0" w:color="auto"/>
              <w:bottom w:val="single" w:sz="4" w:space="0" w:color="auto"/>
            </w:tcBorders>
            <w:shd w:val="clear" w:color="auto" w:fill="auto"/>
          </w:tcPr>
          <w:p w14:paraId="12B614C0" w14:textId="3D316848" w:rsidR="00F808A7" w:rsidRPr="00254CD4" w:rsidRDefault="00F808A7" w:rsidP="008846A2">
            <w:pPr>
              <w:pStyle w:val="Styckemedindrag"/>
              <w:ind w:firstLine="0"/>
            </w:pPr>
            <w:r>
              <w:t>Les véhicules d’urgence de police peuvent être équipés de lampes émettant une lumière bleue faible et permanente. L’intensité doit être si faible que la lumière ne peut être confondue avec la lumière bleue du dispositif d’alarme du véhicule. La lumière ne doit pas être éblouissante ou à intensité variable.</w:t>
            </w:r>
          </w:p>
        </w:tc>
      </w:tr>
    </w:tbl>
    <w:p w14:paraId="1A4D652A" w14:textId="2601CC55" w:rsidR="00E4255A" w:rsidRDefault="00720C96" w:rsidP="004D3B85">
      <w:pPr>
        <w:pStyle w:val="Heading3"/>
      </w:pPr>
      <w:r>
        <w:rPr>
          <w:noProof/>
        </w:rPr>
        <mc:AlternateContent>
          <mc:Choice Requires="wps">
            <w:drawing>
              <wp:anchor distT="0" distB="0" distL="114300" distR="114300" simplePos="0" relativeHeight="251658241" behindDoc="0" locked="0" layoutInCell="1" allowOverlap="1" wp14:anchorId="6EB05DD3" wp14:editId="50BCCFE9">
                <wp:simplePos x="0" y="0"/>
                <wp:positionH relativeFrom="column">
                  <wp:posOffset>-68083</wp:posOffset>
                </wp:positionH>
                <wp:positionV relativeFrom="paragraph">
                  <wp:posOffset>-612830</wp:posOffset>
                </wp:positionV>
                <wp:extent cx="0" cy="623404"/>
                <wp:effectExtent l="0" t="0" r="19050" b="24765"/>
                <wp:wrapNone/>
                <wp:docPr id="4" name="Rak koppling 4"/>
                <wp:cNvGraphicFramePr/>
                <a:graphic xmlns:a="http://schemas.openxmlformats.org/drawingml/2006/main">
                  <a:graphicData uri="http://schemas.microsoft.com/office/word/2010/wordprocessingShape">
                    <wps:wsp>
                      <wps:cNvCnPr/>
                      <wps:spPr>
                        <a:xfrm>
                          <a:off x="0" y="0"/>
                          <a:ext cx="0" cy="62340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B576C6" id="Rak koppling 4"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pt,-48.25pt" to="-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" strokecolor="black [3213]" strokeweight=".5pt"/>
            </w:pict>
          </mc:Fallback>
        </mc:AlternateContent>
      </w:r>
      <w:r>
        <w:t>21. Catadioptres</w:t>
      </w:r>
    </w:p>
    <w:p w14:paraId="1F7F3652" w14:textId="4D4CEFF3" w:rsidR="00B34F67" w:rsidRDefault="002D3A7C" w:rsidP="004D3B85">
      <w:pPr>
        <w:pStyle w:val="Styckemedindrag"/>
      </w:pPr>
      <w:r>
        <w:t>– – – – – – – – – – – – – – – – – – – – – – – – – – – – – – – – – – – – – – – </w:t>
      </w:r>
    </w:p>
    <w:p w14:paraId="6E5397F7" w14:textId="77777777" w:rsidR="00252E79" w:rsidRDefault="00252E79" w:rsidP="00B72887">
      <w:pPr>
        <w:pStyle w:val="Styckemedindrag"/>
      </w:pPr>
    </w:p>
    <w:sectPr w:rsidR="00252E79" w:rsidSect="000B024F">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19B4" w14:textId="77777777" w:rsidR="00D7671B" w:rsidRDefault="00D7671B">
      <w:r>
        <w:separator/>
      </w:r>
    </w:p>
    <w:p w14:paraId="7D15E9CD" w14:textId="77777777" w:rsidR="00D7671B" w:rsidRDefault="00D7671B"/>
  </w:endnote>
  <w:endnote w:type="continuationSeparator" w:id="0">
    <w:p w14:paraId="2F4721FA" w14:textId="77777777" w:rsidR="00D7671B" w:rsidRDefault="00D7671B">
      <w:r>
        <w:continuationSeparator/>
      </w:r>
    </w:p>
    <w:p w14:paraId="56EF50E1" w14:textId="77777777" w:rsidR="00D7671B" w:rsidRDefault="00D7671B"/>
  </w:endnote>
  <w:endnote w:type="continuationNotice" w:id="1">
    <w:p w14:paraId="07F914DE" w14:textId="77777777" w:rsidR="00D7671B" w:rsidRDefault="00D76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CB65" w14:textId="29567234" w:rsidR="00FC02EB" w:rsidRDefault="00FC02EB"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19052D">
      <w:rPr>
        <w:rStyle w:val="PageNumber"/>
      </w:rPr>
      <w:t>4</w:t>
    </w:r>
    <w:r>
      <w:rPr>
        <w:rStyle w:val="PageNumber"/>
      </w:rPr>
      <w:fldChar w:fldCharType="end"/>
    </w:r>
  </w:p>
  <w:p w14:paraId="6065B9CE" w14:textId="77777777" w:rsidR="00FC02EB" w:rsidRDefault="00FC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AF2B" w14:textId="53F930E9" w:rsidR="00FC02EB" w:rsidRDefault="00FC02EB"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58240" behindDoc="0" locked="1" layoutInCell="1" allowOverlap="1" wp14:anchorId="27F7DE5F" wp14:editId="07BDF8BD">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94F9" w14:textId="133F1057" w:rsidR="00FC02EB" w:rsidRDefault="00FC02EB" w:rsidP="00D104F7">
                          <w:pPr>
                            <w:pStyle w:val="FSnr-sidhuvud"/>
                            <w:ind w:left="0" w:right="0"/>
                          </w:pPr>
                          <w:r>
                            <w:fldChar w:fldCharType="begin"/>
                          </w:r>
                          <w:r>
                            <w:instrText xml:space="preserve"> STYLEREF  FS-nr  \* MERGEFORMAT </w:instrText>
                          </w:r>
                          <w:r>
                            <w:fldChar w:fldCharType="separate"/>
                          </w:r>
                          <w:r w:rsidR="001F6A7A">
                            <w:rPr>
                              <w:b w:val="0"/>
                              <w:bCs/>
                              <w:noProof/>
                              <w:lang w:val="en-US"/>
                            </w:rPr>
                            <w:t>Error! No text of specified style in document.</w:t>
                          </w:r>
                          <w: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F7DE5F"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7CEB94F9" w14:textId="133F1057" w:rsidR="00FC02EB" w:rsidRDefault="00FC02EB" w:rsidP="00D104F7">
                    <w:pPr>
                      <w:pStyle w:val="FSnr-sidhuvud"/>
                      <w:ind w:left="0" w:right="0"/>
                    </w:pPr>
                    <w:r>
                      <w:fldChar w:fldCharType="begin"/>
                    </w:r>
                    <w:r>
                      <w:instrText xml:space="preserve"> STYLEREF  FS-nr  \* MERGEFORMAT </w:instrText>
                    </w:r>
                    <w:r>
                      <w:fldChar w:fldCharType="separate"/>
                    </w:r>
                    <w:r w:rsidR="001F6A7A">
                      <w:rPr>
                        <w:b w:val="0"/>
                        <w:bCs/>
                        <w:noProof/>
                        <w:lang w:val="en-US"/>
                      </w:rPr>
                      <w:t>Error! No text of specified style in document.</w:t>
                    </w:r>
                    <w:r>
                      <w:fldChar w:fldCharType="end"/>
                    </w:r>
                  </w:p>
                </w:txbxContent>
              </v:textbox>
              <w10:wrap anchorx="page" anchory="page"/>
              <w10:anchorlock/>
            </v:shape>
          </w:pict>
        </mc:Fallback>
      </mc:AlternateContent>
    </w:r>
    <w:r>
      <w:rPr>
        <w:rStyle w:val="PageNumber"/>
      </w:rPr>
      <w:fldChar w:fldCharType="begin"/>
    </w:r>
    <w:r>
      <w:rPr>
        <w:rStyle w:val="PageNumber"/>
      </w:rPr>
      <w:instrText xml:space="preserve">PAGE  </w:instrText>
    </w:r>
    <w:r>
      <w:rPr>
        <w:rStyle w:val="PageNumber"/>
      </w:rPr>
      <w:fldChar w:fldCharType="separate"/>
    </w:r>
    <w:r w:rsidR="0019052D">
      <w:rPr>
        <w:rStyle w:val="PageNumber"/>
      </w:rPr>
      <w:t>5</w:t>
    </w:r>
    <w:r>
      <w:rPr>
        <w:rStyle w:val="PageNumber"/>
      </w:rPr>
      <w:fldChar w:fldCharType="end"/>
    </w:r>
  </w:p>
  <w:p w14:paraId="74BEFE54" w14:textId="77777777" w:rsidR="00FC02EB" w:rsidRDefault="00FC02EB" w:rsidP="00B87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FB65" w14:textId="2EAF5F39" w:rsidR="00FC02EB" w:rsidRDefault="00FC02EB"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9052D">
      <w:rPr>
        <w:rStyle w:val="PageNumber"/>
      </w:rPr>
      <w:t>1</w:t>
    </w:r>
    <w:r>
      <w:rPr>
        <w:rStyle w:val="PageNumber"/>
      </w:rPr>
      <w:fldChar w:fldCharType="end"/>
    </w:r>
  </w:p>
  <w:p w14:paraId="1C6928E9" w14:textId="77777777" w:rsidR="00FC02EB" w:rsidRDefault="00FC02EB" w:rsidP="00B8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253F" w14:textId="77777777" w:rsidR="00D7671B" w:rsidRDefault="00D7671B"/>
  </w:footnote>
  <w:footnote w:type="continuationSeparator" w:id="0">
    <w:p w14:paraId="3AE0B80A" w14:textId="77777777" w:rsidR="00D7671B" w:rsidRDefault="00D7671B">
      <w:r>
        <w:continuationSeparator/>
      </w:r>
    </w:p>
    <w:p w14:paraId="5A012808" w14:textId="77777777" w:rsidR="00D7671B" w:rsidRDefault="00D7671B"/>
  </w:footnote>
  <w:footnote w:type="continuationNotice" w:id="1">
    <w:p w14:paraId="61E99BA7" w14:textId="77777777" w:rsidR="00D7671B" w:rsidRDefault="00D7671B"/>
    <w:p w14:paraId="5A05417D" w14:textId="77777777" w:rsidR="00D7671B" w:rsidRDefault="00D7671B"/>
  </w:footnote>
  <w:footnote w:id="2">
    <w:p w14:paraId="33AFF1C7" w14:textId="08DA6A4D" w:rsidR="00A21E13" w:rsidRDefault="00A21E13">
      <w:pPr>
        <w:pStyle w:val="FootnoteText"/>
      </w:pPr>
      <w:r>
        <w:rPr>
          <w:rStyle w:val="FootnoteReference"/>
        </w:rPr>
        <w:footnoteRef/>
      </w:r>
      <w:r>
        <w:t xml:space="preserve"> Voir la directive (UE) 2015/1535 du Parlement européen</w:t>
      </w:r>
      <w:r>
        <w:rPr>
          <w:i/>
        </w:rPr>
        <w:t xml:space="preserve"> </w:t>
      </w:r>
      <w:r>
        <w:t>et du Conseil du 9 septembre 2015 prévoyant une procédure d’information dans le domaine des réglementations techniques et des règles relatives aux services de la société de l’information.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639" w14:textId="77777777" w:rsidR="00FC02EB" w:rsidRPr="00A41C32" w:rsidRDefault="001F6A7A" w:rsidP="00641EF3">
    <w:pPr>
      <w:pStyle w:val="FSnr-sidhuvud"/>
      <w:ind w:left="3345" w:firstLine="1871"/>
    </w:pPr>
    <w:sdt>
      <w:sdtPr>
        <w:alias w:val="Recueil des textes légaux et réglementaires"/>
        <w:id w:val="-668563778"/>
        <w:text/>
      </w:sdtPr>
      <w:sdtEndPr/>
      <w:sdtContent>
        <w:r w:rsidR="00DA20BB">
          <w:t>TSFS 2016:22</w:t>
        </w:r>
      </w:sdtContent>
    </w:sdt>
  </w:p>
  <w:p w14:paraId="67105ABF" w14:textId="77777777" w:rsidR="00FC02EB" w:rsidRPr="00B766D7" w:rsidRDefault="00FC02EB" w:rsidP="00641EF3">
    <w:pPr>
      <w:pStyle w:val="Bilaga"/>
      <w:ind w:left="3345" w:firstLine="1871"/>
    </w:pPr>
    <w:r>
      <w:t>Appendice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C37B" w14:textId="77777777" w:rsidR="00FC02EB" w:rsidRPr="00A41C32" w:rsidRDefault="001F6A7A" w:rsidP="00A41C32">
    <w:pPr>
      <w:pStyle w:val="FSnr-sidhuvud"/>
      <w:jc w:val="right"/>
    </w:pPr>
    <w:sdt>
      <w:sdtPr>
        <w:alias w:val="Recueil des textes légaux et réglementaires"/>
        <w:id w:val="1150257239"/>
        <w:text/>
      </w:sdtPr>
      <w:sdtEndPr/>
      <w:sdtContent>
        <w:r w:rsidR="00DA20BB">
          <w:t>TSFS 20</w:t>
        </w:r>
      </w:sdtContent>
    </w:sdt>
    <w:sdt>
      <w:sdtPr>
        <w:alias w:val="Année"/>
        <w:tag w:val="År"/>
        <w:id w:val="-620143070"/>
        <w:dataBinding w:prefixMappings="xmlns:ns0='consensis-fs'" w:xpath="/ns0:root[1]/ns0:fs-fields[1]/ns0:fs-year[1]" w:storeItemID="{F222B965-9C48-4AC7-962E-E2AF3EEF1550}"/>
        <w:text/>
      </w:sdtPr>
      <w:sdtEndPr/>
      <w:sdtContent>
        <w:r w:rsidR="00DA20BB">
          <w:t>23</w:t>
        </w:r>
      </w:sdtContent>
    </w:sdt>
    <w:r w:rsidR="00DA20BB">
      <w:t>:</w:t>
    </w:r>
    <w:sdt>
      <w:sdtPr>
        <w:alias w:val="Nº"/>
        <w:tag w:val="Nr"/>
        <w:id w:val="-2001035287"/>
        <w:dataBinding w:prefixMappings="xmlns:ns0='consensis-fs'" w:xpath="/ns0:root[1]/ns0:fs-fields[1]/ns0:fs-no[1]" w:storeItemID="{F222B965-9C48-4AC7-962E-E2AF3EEF1550}"/>
        <w:text/>
      </w:sdtPr>
      <w:sdtEndPr/>
      <w:sdtContent>
        <w:r w:rsidR="00DA20BB">
          <w:t>XX</w:t>
        </w:r>
      </w:sdtContent>
    </w:sdt>
  </w:p>
  <w:p w14:paraId="202919D5" w14:textId="77777777" w:rsidR="00FC02EB" w:rsidRPr="00B766D7" w:rsidRDefault="00FC02EB" w:rsidP="008C1E59">
    <w:pPr>
      <w:pStyle w:val="Bilag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2717" w14:textId="77777777" w:rsidR="00FC02EB" w:rsidRDefault="00FC02EB">
    <w:pPr>
      <w:pStyle w:val="Header"/>
    </w:pPr>
  </w:p>
  <w:p w14:paraId="70CB983C" w14:textId="77777777" w:rsidR="00FC02EB" w:rsidRDefault="00FC02EB">
    <w:pPr>
      <w:pStyle w:val="Header"/>
    </w:pPr>
  </w:p>
  <w:p w14:paraId="4D9C31CD" w14:textId="77777777" w:rsidR="00FC02EB" w:rsidRDefault="00FC02EB">
    <w:pPr>
      <w:pStyle w:val="Header"/>
    </w:pPr>
  </w:p>
  <w:p w14:paraId="7C2F76FC" w14:textId="77777777" w:rsidR="00FC02EB" w:rsidRDefault="00FC02EB">
    <w:pPr>
      <w:pStyle w:val="Header"/>
    </w:pPr>
  </w:p>
  <w:p w14:paraId="43F4A8DE" w14:textId="77777777" w:rsidR="00FC02EB" w:rsidRDefault="00FC02EB">
    <w:pPr>
      <w:pStyle w:val="Header"/>
    </w:pPr>
  </w:p>
  <w:p w14:paraId="1BFF284A" w14:textId="77777777" w:rsidR="00FC02EB" w:rsidRDefault="00FC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926576189">
    <w:abstractNumId w:val="16"/>
  </w:num>
  <w:num w:numId="2" w16cid:durableId="854421123">
    <w:abstractNumId w:val="3"/>
  </w:num>
  <w:num w:numId="3" w16cid:durableId="485560521">
    <w:abstractNumId w:val="2"/>
  </w:num>
  <w:num w:numId="4" w16cid:durableId="862741623">
    <w:abstractNumId w:val="1"/>
  </w:num>
  <w:num w:numId="5" w16cid:durableId="1561398639">
    <w:abstractNumId w:val="0"/>
  </w:num>
  <w:num w:numId="6" w16cid:durableId="674259543">
    <w:abstractNumId w:val="9"/>
  </w:num>
  <w:num w:numId="7" w16cid:durableId="232660320">
    <w:abstractNumId w:val="7"/>
  </w:num>
  <w:num w:numId="8" w16cid:durableId="2021539086">
    <w:abstractNumId w:val="6"/>
  </w:num>
  <w:num w:numId="9" w16cid:durableId="1185023591">
    <w:abstractNumId w:val="5"/>
  </w:num>
  <w:num w:numId="10" w16cid:durableId="1878621943">
    <w:abstractNumId w:val="4"/>
  </w:num>
  <w:num w:numId="11" w16cid:durableId="649863506">
    <w:abstractNumId w:val="19"/>
  </w:num>
  <w:num w:numId="12" w16cid:durableId="144011919">
    <w:abstractNumId w:val="10"/>
  </w:num>
  <w:num w:numId="13" w16cid:durableId="244339259">
    <w:abstractNumId w:val="23"/>
  </w:num>
  <w:num w:numId="14" w16cid:durableId="263808987">
    <w:abstractNumId w:val="20"/>
  </w:num>
  <w:num w:numId="15" w16cid:durableId="1696805466">
    <w:abstractNumId w:val="21"/>
  </w:num>
  <w:num w:numId="16" w16cid:durableId="1610967338">
    <w:abstractNumId w:val="14"/>
  </w:num>
  <w:num w:numId="17" w16cid:durableId="1021200651">
    <w:abstractNumId w:val="25"/>
  </w:num>
  <w:num w:numId="18" w16cid:durableId="1189682179">
    <w:abstractNumId w:val="11"/>
  </w:num>
  <w:num w:numId="19" w16cid:durableId="630093881">
    <w:abstractNumId w:val="22"/>
  </w:num>
  <w:num w:numId="20" w16cid:durableId="261883676">
    <w:abstractNumId w:val="18"/>
  </w:num>
  <w:num w:numId="21" w16cid:durableId="783772629">
    <w:abstractNumId w:val="8"/>
  </w:num>
  <w:num w:numId="22" w16cid:durableId="1411196064">
    <w:abstractNumId w:val="12"/>
  </w:num>
  <w:num w:numId="23" w16cid:durableId="20135226">
    <w:abstractNumId w:val="15"/>
  </w:num>
  <w:num w:numId="24" w16cid:durableId="2102136484">
    <w:abstractNumId w:val="13"/>
  </w:num>
  <w:num w:numId="25" w16cid:durableId="1052316444">
    <w:abstractNumId w:val="17"/>
  </w:num>
  <w:num w:numId="26" w16cid:durableId="1360855885">
    <w:abstractNumId w:val="24"/>
  </w:num>
  <w:num w:numId="27" w16cid:durableId="7041367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095266"/>
    <w:rsid w:val="00001634"/>
    <w:rsid w:val="00002875"/>
    <w:rsid w:val="00004BE3"/>
    <w:rsid w:val="00004EC2"/>
    <w:rsid w:val="00010020"/>
    <w:rsid w:val="00012970"/>
    <w:rsid w:val="00014465"/>
    <w:rsid w:val="00015839"/>
    <w:rsid w:val="000168F6"/>
    <w:rsid w:val="000176F2"/>
    <w:rsid w:val="0002112E"/>
    <w:rsid w:val="00022622"/>
    <w:rsid w:val="00022D34"/>
    <w:rsid w:val="00024FEF"/>
    <w:rsid w:val="00025703"/>
    <w:rsid w:val="00025CF6"/>
    <w:rsid w:val="00025ECD"/>
    <w:rsid w:val="00030685"/>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63117"/>
    <w:rsid w:val="00070A0C"/>
    <w:rsid w:val="00071623"/>
    <w:rsid w:val="0007267C"/>
    <w:rsid w:val="00073C47"/>
    <w:rsid w:val="0007774B"/>
    <w:rsid w:val="0008227D"/>
    <w:rsid w:val="0008255B"/>
    <w:rsid w:val="00082AF9"/>
    <w:rsid w:val="0008387B"/>
    <w:rsid w:val="0008396E"/>
    <w:rsid w:val="00083996"/>
    <w:rsid w:val="000913AD"/>
    <w:rsid w:val="00091563"/>
    <w:rsid w:val="000932FC"/>
    <w:rsid w:val="00095266"/>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AE8"/>
    <w:rsid w:val="00140FF1"/>
    <w:rsid w:val="00141770"/>
    <w:rsid w:val="00142198"/>
    <w:rsid w:val="00143C25"/>
    <w:rsid w:val="00150758"/>
    <w:rsid w:val="0015085C"/>
    <w:rsid w:val="00152136"/>
    <w:rsid w:val="001625C7"/>
    <w:rsid w:val="00164B5C"/>
    <w:rsid w:val="0016699C"/>
    <w:rsid w:val="00166E3B"/>
    <w:rsid w:val="00171F9A"/>
    <w:rsid w:val="001724F3"/>
    <w:rsid w:val="00174758"/>
    <w:rsid w:val="0017717D"/>
    <w:rsid w:val="001812F7"/>
    <w:rsid w:val="001832AA"/>
    <w:rsid w:val="00184A5C"/>
    <w:rsid w:val="0018779A"/>
    <w:rsid w:val="0019052D"/>
    <w:rsid w:val="0019296A"/>
    <w:rsid w:val="0019297B"/>
    <w:rsid w:val="00193151"/>
    <w:rsid w:val="00193EE4"/>
    <w:rsid w:val="001943BB"/>
    <w:rsid w:val="0019505A"/>
    <w:rsid w:val="001955BF"/>
    <w:rsid w:val="001A3941"/>
    <w:rsid w:val="001A57AC"/>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6A7A"/>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435E"/>
    <w:rsid w:val="0023640B"/>
    <w:rsid w:val="002415C1"/>
    <w:rsid w:val="00244FFC"/>
    <w:rsid w:val="00245B82"/>
    <w:rsid w:val="00245BA2"/>
    <w:rsid w:val="00245BB6"/>
    <w:rsid w:val="002463FE"/>
    <w:rsid w:val="0024789E"/>
    <w:rsid w:val="00247959"/>
    <w:rsid w:val="00247E25"/>
    <w:rsid w:val="0025177C"/>
    <w:rsid w:val="00252E79"/>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74DC"/>
    <w:rsid w:val="002A7F7F"/>
    <w:rsid w:val="002B2427"/>
    <w:rsid w:val="002B446C"/>
    <w:rsid w:val="002B4FEE"/>
    <w:rsid w:val="002B7E09"/>
    <w:rsid w:val="002C2996"/>
    <w:rsid w:val="002C5B12"/>
    <w:rsid w:val="002C72EE"/>
    <w:rsid w:val="002D0470"/>
    <w:rsid w:val="002D1DB2"/>
    <w:rsid w:val="002D3851"/>
    <w:rsid w:val="002D3A7C"/>
    <w:rsid w:val="002D5613"/>
    <w:rsid w:val="002E10AB"/>
    <w:rsid w:val="002E6ADA"/>
    <w:rsid w:val="002F1E70"/>
    <w:rsid w:val="002F5F97"/>
    <w:rsid w:val="002F74E7"/>
    <w:rsid w:val="002F7782"/>
    <w:rsid w:val="00300E8A"/>
    <w:rsid w:val="00301D8A"/>
    <w:rsid w:val="003039C1"/>
    <w:rsid w:val="00304340"/>
    <w:rsid w:val="003047D3"/>
    <w:rsid w:val="0030723E"/>
    <w:rsid w:val="00310085"/>
    <w:rsid w:val="00312C93"/>
    <w:rsid w:val="003140DA"/>
    <w:rsid w:val="00314306"/>
    <w:rsid w:val="00314DC9"/>
    <w:rsid w:val="00315A9E"/>
    <w:rsid w:val="0031680B"/>
    <w:rsid w:val="0032043D"/>
    <w:rsid w:val="00320B5B"/>
    <w:rsid w:val="00327737"/>
    <w:rsid w:val="00327DFE"/>
    <w:rsid w:val="00333934"/>
    <w:rsid w:val="00336876"/>
    <w:rsid w:val="00336C95"/>
    <w:rsid w:val="00342A6A"/>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1655"/>
    <w:rsid w:val="0039285F"/>
    <w:rsid w:val="00393330"/>
    <w:rsid w:val="003944A4"/>
    <w:rsid w:val="00394840"/>
    <w:rsid w:val="00394F04"/>
    <w:rsid w:val="00396913"/>
    <w:rsid w:val="0039790C"/>
    <w:rsid w:val="00397BEA"/>
    <w:rsid w:val="003A181D"/>
    <w:rsid w:val="003A3739"/>
    <w:rsid w:val="003A4C55"/>
    <w:rsid w:val="003A5760"/>
    <w:rsid w:val="003A61FE"/>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624E"/>
    <w:rsid w:val="003D7FB8"/>
    <w:rsid w:val="003E1AE7"/>
    <w:rsid w:val="003E1D28"/>
    <w:rsid w:val="003E2E2B"/>
    <w:rsid w:val="003E4A18"/>
    <w:rsid w:val="003E5AAF"/>
    <w:rsid w:val="003E79A6"/>
    <w:rsid w:val="003F0204"/>
    <w:rsid w:val="003F0250"/>
    <w:rsid w:val="003F5852"/>
    <w:rsid w:val="004026EF"/>
    <w:rsid w:val="00406333"/>
    <w:rsid w:val="00407B50"/>
    <w:rsid w:val="00407EC2"/>
    <w:rsid w:val="00410A2C"/>
    <w:rsid w:val="00410E6E"/>
    <w:rsid w:val="00412EC8"/>
    <w:rsid w:val="00413470"/>
    <w:rsid w:val="00414520"/>
    <w:rsid w:val="004165C8"/>
    <w:rsid w:val="004167B1"/>
    <w:rsid w:val="00416867"/>
    <w:rsid w:val="00421F89"/>
    <w:rsid w:val="00422E7A"/>
    <w:rsid w:val="004245BA"/>
    <w:rsid w:val="00425922"/>
    <w:rsid w:val="00426123"/>
    <w:rsid w:val="0043283B"/>
    <w:rsid w:val="00432972"/>
    <w:rsid w:val="00432C03"/>
    <w:rsid w:val="00433B95"/>
    <w:rsid w:val="0043616A"/>
    <w:rsid w:val="004366FF"/>
    <w:rsid w:val="00436918"/>
    <w:rsid w:val="00440ACD"/>
    <w:rsid w:val="00441E85"/>
    <w:rsid w:val="00443023"/>
    <w:rsid w:val="004437BE"/>
    <w:rsid w:val="00452659"/>
    <w:rsid w:val="00453856"/>
    <w:rsid w:val="00454119"/>
    <w:rsid w:val="00455252"/>
    <w:rsid w:val="0045569C"/>
    <w:rsid w:val="004560DE"/>
    <w:rsid w:val="00462780"/>
    <w:rsid w:val="00465300"/>
    <w:rsid w:val="00465E01"/>
    <w:rsid w:val="004675F5"/>
    <w:rsid w:val="004709C2"/>
    <w:rsid w:val="00472D17"/>
    <w:rsid w:val="00474FC3"/>
    <w:rsid w:val="00476270"/>
    <w:rsid w:val="00476DEF"/>
    <w:rsid w:val="0048061D"/>
    <w:rsid w:val="004816E1"/>
    <w:rsid w:val="0048254A"/>
    <w:rsid w:val="00485C96"/>
    <w:rsid w:val="0048683C"/>
    <w:rsid w:val="0049019E"/>
    <w:rsid w:val="004905D5"/>
    <w:rsid w:val="00490FCD"/>
    <w:rsid w:val="00492D1D"/>
    <w:rsid w:val="004932DC"/>
    <w:rsid w:val="00494A2E"/>
    <w:rsid w:val="00494B46"/>
    <w:rsid w:val="004A0B2E"/>
    <w:rsid w:val="004A1CA1"/>
    <w:rsid w:val="004A2F73"/>
    <w:rsid w:val="004A6DFF"/>
    <w:rsid w:val="004B5308"/>
    <w:rsid w:val="004B708D"/>
    <w:rsid w:val="004C04AE"/>
    <w:rsid w:val="004C5A44"/>
    <w:rsid w:val="004C7497"/>
    <w:rsid w:val="004D17BC"/>
    <w:rsid w:val="004D390C"/>
    <w:rsid w:val="004D3B30"/>
    <w:rsid w:val="004D3B85"/>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6236"/>
    <w:rsid w:val="00510DCC"/>
    <w:rsid w:val="005114BE"/>
    <w:rsid w:val="0051211C"/>
    <w:rsid w:val="00513670"/>
    <w:rsid w:val="00513F9F"/>
    <w:rsid w:val="00514A52"/>
    <w:rsid w:val="00520620"/>
    <w:rsid w:val="00523DAE"/>
    <w:rsid w:val="00527F3E"/>
    <w:rsid w:val="00530674"/>
    <w:rsid w:val="00530C18"/>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4783"/>
    <w:rsid w:val="00575190"/>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3A5E"/>
    <w:rsid w:val="005E5331"/>
    <w:rsid w:val="005F0EF8"/>
    <w:rsid w:val="005F3778"/>
    <w:rsid w:val="005F763A"/>
    <w:rsid w:val="00601972"/>
    <w:rsid w:val="0060275A"/>
    <w:rsid w:val="00602BC9"/>
    <w:rsid w:val="00602C6F"/>
    <w:rsid w:val="00605337"/>
    <w:rsid w:val="00606040"/>
    <w:rsid w:val="006076B8"/>
    <w:rsid w:val="00611893"/>
    <w:rsid w:val="0061521E"/>
    <w:rsid w:val="00615CD2"/>
    <w:rsid w:val="0061670C"/>
    <w:rsid w:val="00620905"/>
    <w:rsid w:val="006210D9"/>
    <w:rsid w:val="006243AA"/>
    <w:rsid w:val="006275CF"/>
    <w:rsid w:val="006332BE"/>
    <w:rsid w:val="00634C49"/>
    <w:rsid w:val="00635709"/>
    <w:rsid w:val="00637BD6"/>
    <w:rsid w:val="00640846"/>
    <w:rsid w:val="00641EF3"/>
    <w:rsid w:val="006422CC"/>
    <w:rsid w:val="00642620"/>
    <w:rsid w:val="00645615"/>
    <w:rsid w:val="00645C6A"/>
    <w:rsid w:val="006502CE"/>
    <w:rsid w:val="00650877"/>
    <w:rsid w:val="00653A3D"/>
    <w:rsid w:val="00653EA5"/>
    <w:rsid w:val="0065453F"/>
    <w:rsid w:val="00654E58"/>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0813"/>
    <w:rsid w:val="00691501"/>
    <w:rsid w:val="00693947"/>
    <w:rsid w:val="006960B3"/>
    <w:rsid w:val="00696EBD"/>
    <w:rsid w:val="006A060E"/>
    <w:rsid w:val="006A3ED4"/>
    <w:rsid w:val="006A4CC9"/>
    <w:rsid w:val="006A70B1"/>
    <w:rsid w:val="006B0EAD"/>
    <w:rsid w:val="006B1B59"/>
    <w:rsid w:val="006B4C74"/>
    <w:rsid w:val="006B4F14"/>
    <w:rsid w:val="006C2B43"/>
    <w:rsid w:val="006C2CC7"/>
    <w:rsid w:val="006C6537"/>
    <w:rsid w:val="006C7418"/>
    <w:rsid w:val="006C7688"/>
    <w:rsid w:val="006C7F98"/>
    <w:rsid w:val="006D04CB"/>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1331"/>
    <w:rsid w:val="00712D94"/>
    <w:rsid w:val="00713814"/>
    <w:rsid w:val="00713CE3"/>
    <w:rsid w:val="00720C96"/>
    <w:rsid w:val="00721846"/>
    <w:rsid w:val="00722B7D"/>
    <w:rsid w:val="00723095"/>
    <w:rsid w:val="00725332"/>
    <w:rsid w:val="007259C7"/>
    <w:rsid w:val="00725D2C"/>
    <w:rsid w:val="0072613A"/>
    <w:rsid w:val="00726A23"/>
    <w:rsid w:val="00726B73"/>
    <w:rsid w:val="00726CFE"/>
    <w:rsid w:val="00732FD8"/>
    <w:rsid w:val="00735CD8"/>
    <w:rsid w:val="007368C4"/>
    <w:rsid w:val="00736C64"/>
    <w:rsid w:val="00736FE4"/>
    <w:rsid w:val="0073754B"/>
    <w:rsid w:val="007453B9"/>
    <w:rsid w:val="0075034E"/>
    <w:rsid w:val="0075480A"/>
    <w:rsid w:val="007604B6"/>
    <w:rsid w:val="00760662"/>
    <w:rsid w:val="0076180A"/>
    <w:rsid w:val="00763B54"/>
    <w:rsid w:val="00764198"/>
    <w:rsid w:val="007676BA"/>
    <w:rsid w:val="007744FB"/>
    <w:rsid w:val="0077551F"/>
    <w:rsid w:val="00776CC0"/>
    <w:rsid w:val="00776CC5"/>
    <w:rsid w:val="00780B9F"/>
    <w:rsid w:val="00781491"/>
    <w:rsid w:val="0078220F"/>
    <w:rsid w:val="007903D1"/>
    <w:rsid w:val="0079067C"/>
    <w:rsid w:val="00791B50"/>
    <w:rsid w:val="00793813"/>
    <w:rsid w:val="007951A8"/>
    <w:rsid w:val="007A09D9"/>
    <w:rsid w:val="007A0E58"/>
    <w:rsid w:val="007A35C0"/>
    <w:rsid w:val="007A60F1"/>
    <w:rsid w:val="007A6853"/>
    <w:rsid w:val="007B02CF"/>
    <w:rsid w:val="007B1051"/>
    <w:rsid w:val="007B333A"/>
    <w:rsid w:val="007B7C55"/>
    <w:rsid w:val="007C403E"/>
    <w:rsid w:val="007C7D60"/>
    <w:rsid w:val="007D0225"/>
    <w:rsid w:val="007D5790"/>
    <w:rsid w:val="007D5B67"/>
    <w:rsid w:val="007D6DDF"/>
    <w:rsid w:val="007E0EC5"/>
    <w:rsid w:val="007E2509"/>
    <w:rsid w:val="007E2F3F"/>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20AD"/>
    <w:rsid w:val="00802848"/>
    <w:rsid w:val="00803572"/>
    <w:rsid w:val="008037A6"/>
    <w:rsid w:val="00806252"/>
    <w:rsid w:val="00807A7A"/>
    <w:rsid w:val="00810D2F"/>
    <w:rsid w:val="00812923"/>
    <w:rsid w:val="0081334F"/>
    <w:rsid w:val="00814E2C"/>
    <w:rsid w:val="008159AB"/>
    <w:rsid w:val="00816CEB"/>
    <w:rsid w:val="00820454"/>
    <w:rsid w:val="008235B6"/>
    <w:rsid w:val="0082471E"/>
    <w:rsid w:val="00825C34"/>
    <w:rsid w:val="00827D04"/>
    <w:rsid w:val="0083049C"/>
    <w:rsid w:val="008311F0"/>
    <w:rsid w:val="00834BEE"/>
    <w:rsid w:val="00841E07"/>
    <w:rsid w:val="008421D7"/>
    <w:rsid w:val="0084531E"/>
    <w:rsid w:val="00846652"/>
    <w:rsid w:val="00850A40"/>
    <w:rsid w:val="008546B8"/>
    <w:rsid w:val="00855229"/>
    <w:rsid w:val="00855471"/>
    <w:rsid w:val="00855645"/>
    <w:rsid w:val="008569CD"/>
    <w:rsid w:val="00857B99"/>
    <w:rsid w:val="00857BBC"/>
    <w:rsid w:val="00860EA6"/>
    <w:rsid w:val="008618A8"/>
    <w:rsid w:val="00862B03"/>
    <w:rsid w:val="00863A3A"/>
    <w:rsid w:val="00863B68"/>
    <w:rsid w:val="00863F7C"/>
    <w:rsid w:val="008654A6"/>
    <w:rsid w:val="00866DC5"/>
    <w:rsid w:val="00870FD0"/>
    <w:rsid w:val="00872A0E"/>
    <w:rsid w:val="00872B3D"/>
    <w:rsid w:val="00873318"/>
    <w:rsid w:val="00874539"/>
    <w:rsid w:val="008773FC"/>
    <w:rsid w:val="00882592"/>
    <w:rsid w:val="008846A2"/>
    <w:rsid w:val="00885D5E"/>
    <w:rsid w:val="00887B0C"/>
    <w:rsid w:val="00890565"/>
    <w:rsid w:val="0089094A"/>
    <w:rsid w:val="00890BE1"/>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ACC"/>
    <w:rsid w:val="009345EB"/>
    <w:rsid w:val="00935F50"/>
    <w:rsid w:val="0093777D"/>
    <w:rsid w:val="00937E42"/>
    <w:rsid w:val="00940467"/>
    <w:rsid w:val="00940C6E"/>
    <w:rsid w:val="00942F7E"/>
    <w:rsid w:val="00943DC3"/>
    <w:rsid w:val="00943F3B"/>
    <w:rsid w:val="009440CF"/>
    <w:rsid w:val="00945CC7"/>
    <w:rsid w:val="00946502"/>
    <w:rsid w:val="00950F26"/>
    <w:rsid w:val="00952069"/>
    <w:rsid w:val="009553B8"/>
    <w:rsid w:val="00956840"/>
    <w:rsid w:val="00956CDA"/>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6166"/>
    <w:rsid w:val="009A767C"/>
    <w:rsid w:val="009B4572"/>
    <w:rsid w:val="009B603D"/>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2021"/>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1E1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36F"/>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7F3"/>
    <w:rsid w:val="00B16512"/>
    <w:rsid w:val="00B20773"/>
    <w:rsid w:val="00B23D5A"/>
    <w:rsid w:val="00B2426F"/>
    <w:rsid w:val="00B31AE2"/>
    <w:rsid w:val="00B3355E"/>
    <w:rsid w:val="00B33B3D"/>
    <w:rsid w:val="00B33C0F"/>
    <w:rsid w:val="00B34F67"/>
    <w:rsid w:val="00B35CC4"/>
    <w:rsid w:val="00B36A67"/>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065"/>
    <w:rsid w:val="00B831FC"/>
    <w:rsid w:val="00B83F10"/>
    <w:rsid w:val="00B84F1C"/>
    <w:rsid w:val="00B86BA1"/>
    <w:rsid w:val="00B8777D"/>
    <w:rsid w:val="00B902FD"/>
    <w:rsid w:val="00B97AB1"/>
    <w:rsid w:val="00BA598E"/>
    <w:rsid w:val="00BA6608"/>
    <w:rsid w:val="00BB117E"/>
    <w:rsid w:val="00BB1B30"/>
    <w:rsid w:val="00BB20F9"/>
    <w:rsid w:val="00BB3295"/>
    <w:rsid w:val="00BB3AF9"/>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5FA3"/>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1B1"/>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0949"/>
    <w:rsid w:val="00D14B00"/>
    <w:rsid w:val="00D159FD"/>
    <w:rsid w:val="00D16FDC"/>
    <w:rsid w:val="00D20E57"/>
    <w:rsid w:val="00D21EA4"/>
    <w:rsid w:val="00D21FAC"/>
    <w:rsid w:val="00D2217D"/>
    <w:rsid w:val="00D248EA"/>
    <w:rsid w:val="00D2495E"/>
    <w:rsid w:val="00D24D19"/>
    <w:rsid w:val="00D251AF"/>
    <w:rsid w:val="00D25469"/>
    <w:rsid w:val="00D25D53"/>
    <w:rsid w:val="00D270D1"/>
    <w:rsid w:val="00D32591"/>
    <w:rsid w:val="00D3304D"/>
    <w:rsid w:val="00D34259"/>
    <w:rsid w:val="00D34C19"/>
    <w:rsid w:val="00D368EA"/>
    <w:rsid w:val="00D37BE2"/>
    <w:rsid w:val="00D402D0"/>
    <w:rsid w:val="00D4257C"/>
    <w:rsid w:val="00D431A9"/>
    <w:rsid w:val="00D43450"/>
    <w:rsid w:val="00D4589D"/>
    <w:rsid w:val="00D4631E"/>
    <w:rsid w:val="00D4683B"/>
    <w:rsid w:val="00D471A5"/>
    <w:rsid w:val="00D473C2"/>
    <w:rsid w:val="00D5659D"/>
    <w:rsid w:val="00D56EDB"/>
    <w:rsid w:val="00D60179"/>
    <w:rsid w:val="00D60CD1"/>
    <w:rsid w:val="00D6137B"/>
    <w:rsid w:val="00D61C37"/>
    <w:rsid w:val="00D62A8A"/>
    <w:rsid w:val="00D67B29"/>
    <w:rsid w:val="00D67D47"/>
    <w:rsid w:val="00D73345"/>
    <w:rsid w:val="00D741B5"/>
    <w:rsid w:val="00D7550F"/>
    <w:rsid w:val="00D7671B"/>
    <w:rsid w:val="00D76971"/>
    <w:rsid w:val="00D77125"/>
    <w:rsid w:val="00D77675"/>
    <w:rsid w:val="00D77924"/>
    <w:rsid w:val="00D80B5C"/>
    <w:rsid w:val="00D81004"/>
    <w:rsid w:val="00D82BB2"/>
    <w:rsid w:val="00D87FB0"/>
    <w:rsid w:val="00D92CAB"/>
    <w:rsid w:val="00D9574F"/>
    <w:rsid w:val="00D96588"/>
    <w:rsid w:val="00D97804"/>
    <w:rsid w:val="00DA1158"/>
    <w:rsid w:val="00DA20BB"/>
    <w:rsid w:val="00DA25D3"/>
    <w:rsid w:val="00DA4C7F"/>
    <w:rsid w:val="00DA54A8"/>
    <w:rsid w:val="00DA626E"/>
    <w:rsid w:val="00DA7A4E"/>
    <w:rsid w:val="00DB061D"/>
    <w:rsid w:val="00DB199E"/>
    <w:rsid w:val="00DB1AC5"/>
    <w:rsid w:val="00DB353B"/>
    <w:rsid w:val="00DB397D"/>
    <w:rsid w:val="00DB53C8"/>
    <w:rsid w:val="00DB78D1"/>
    <w:rsid w:val="00DC139E"/>
    <w:rsid w:val="00DC1A10"/>
    <w:rsid w:val="00DC370E"/>
    <w:rsid w:val="00DC5B63"/>
    <w:rsid w:val="00DC6E80"/>
    <w:rsid w:val="00DD0065"/>
    <w:rsid w:val="00DD17FD"/>
    <w:rsid w:val="00DD2493"/>
    <w:rsid w:val="00DD69F9"/>
    <w:rsid w:val="00DD7491"/>
    <w:rsid w:val="00DD7F50"/>
    <w:rsid w:val="00DE0A90"/>
    <w:rsid w:val="00DE0EFC"/>
    <w:rsid w:val="00DE213C"/>
    <w:rsid w:val="00DE2B7C"/>
    <w:rsid w:val="00DE3188"/>
    <w:rsid w:val="00DF230E"/>
    <w:rsid w:val="00DF49E8"/>
    <w:rsid w:val="00E0407D"/>
    <w:rsid w:val="00E054E0"/>
    <w:rsid w:val="00E05B2A"/>
    <w:rsid w:val="00E12042"/>
    <w:rsid w:val="00E131C4"/>
    <w:rsid w:val="00E1666B"/>
    <w:rsid w:val="00E16CBF"/>
    <w:rsid w:val="00E17D95"/>
    <w:rsid w:val="00E210E6"/>
    <w:rsid w:val="00E2130F"/>
    <w:rsid w:val="00E21323"/>
    <w:rsid w:val="00E21548"/>
    <w:rsid w:val="00E2495F"/>
    <w:rsid w:val="00E24FE2"/>
    <w:rsid w:val="00E25916"/>
    <w:rsid w:val="00E25F53"/>
    <w:rsid w:val="00E301D4"/>
    <w:rsid w:val="00E30C1F"/>
    <w:rsid w:val="00E324FF"/>
    <w:rsid w:val="00E329B8"/>
    <w:rsid w:val="00E33F4F"/>
    <w:rsid w:val="00E363F4"/>
    <w:rsid w:val="00E36E9A"/>
    <w:rsid w:val="00E36F61"/>
    <w:rsid w:val="00E40054"/>
    <w:rsid w:val="00E40623"/>
    <w:rsid w:val="00E418A4"/>
    <w:rsid w:val="00E4255A"/>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6F8F"/>
    <w:rsid w:val="00E87A02"/>
    <w:rsid w:val="00E9132F"/>
    <w:rsid w:val="00E938FA"/>
    <w:rsid w:val="00E956FD"/>
    <w:rsid w:val="00E965EB"/>
    <w:rsid w:val="00E96C2D"/>
    <w:rsid w:val="00E976B1"/>
    <w:rsid w:val="00EA280D"/>
    <w:rsid w:val="00EA3B1D"/>
    <w:rsid w:val="00EA4372"/>
    <w:rsid w:val="00EA4949"/>
    <w:rsid w:val="00EA527D"/>
    <w:rsid w:val="00EA7878"/>
    <w:rsid w:val="00EB20E5"/>
    <w:rsid w:val="00EB420F"/>
    <w:rsid w:val="00EB7F3B"/>
    <w:rsid w:val="00EC6921"/>
    <w:rsid w:val="00EC6D8D"/>
    <w:rsid w:val="00ED06D5"/>
    <w:rsid w:val="00ED1609"/>
    <w:rsid w:val="00ED210C"/>
    <w:rsid w:val="00ED39EB"/>
    <w:rsid w:val="00ED57A8"/>
    <w:rsid w:val="00ED64F1"/>
    <w:rsid w:val="00ED7EB2"/>
    <w:rsid w:val="00EE1FC1"/>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0F3B"/>
    <w:rsid w:val="00F45ECF"/>
    <w:rsid w:val="00F46A5F"/>
    <w:rsid w:val="00F47669"/>
    <w:rsid w:val="00F50838"/>
    <w:rsid w:val="00F51811"/>
    <w:rsid w:val="00F532D6"/>
    <w:rsid w:val="00F53D1A"/>
    <w:rsid w:val="00F548FA"/>
    <w:rsid w:val="00F54A9B"/>
    <w:rsid w:val="00F56684"/>
    <w:rsid w:val="00F62333"/>
    <w:rsid w:val="00F63147"/>
    <w:rsid w:val="00F65B05"/>
    <w:rsid w:val="00F660FD"/>
    <w:rsid w:val="00F66C4F"/>
    <w:rsid w:val="00F70C7A"/>
    <w:rsid w:val="00F723D9"/>
    <w:rsid w:val="00F747E8"/>
    <w:rsid w:val="00F76EFF"/>
    <w:rsid w:val="00F76F55"/>
    <w:rsid w:val="00F80181"/>
    <w:rsid w:val="00F808A7"/>
    <w:rsid w:val="00F85DA0"/>
    <w:rsid w:val="00F877B0"/>
    <w:rsid w:val="00F90CA4"/>
    <w:rsid w:val="00F92591"/>
    <w:rsid w:val="00F9368E"/>
    <w:rsid w:val="00F94A22"/>
    <w:rsid w:val="00F9590B"/>
    <w:rsid w:val="00F96249"/>
    <w:rsid w:val="00F979A6"/>
    <w:rsid w:val="00F97DED"/>
    <w:rsid w:val="00FA0528"/>
    <w:rsid w:val="00FA06BD"/>
    <w:rsid w:val="00FA63C8"/>
    <w:rsid w:val="00FA6665"/>
    <w:rsid w:val="00FA6E03"/>
    <w:rsid w:val="00FA7898"/>
    <w:rsid w:val="00FA7C27"/>
    <w:rsid w:val="00FB2335"/>
    <w:rsid w:val="00FB383A"/>
    <w:rsid w:val="00FB3907"/>
    <w:rsid w:val="00FB7F71"/>
    <w:rsid w:val="00FC02EB"/>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83720"/>
  <w15:docId w15:val="{321CD2FB-60AB-48C5-9952-13A013C0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sv-SE" w:bidi="ar-SA"/>
      </w:rPr>
    </w:rPrDefault>
    <w:pPrDefault/>
  </w:docDefaults>
  <w:latentStyles w:defLockedState="0" w:defUIPriority="49" w:defSemiHidden="0" w:defUnhideWhenUsed="0" w:defQFormat="0" w:count="376">
    <w:lsdException w:name="Normal" w:qFormat="1"/>
    <w:lsdException w:name="heading 1" w:locked="1" w:uiPriority="0" w:qFormat="1"/>
    <w:lsdException w:name="heading 2" w:locked="1" w:uiPriority="8" w:qFormat="1"/>
    <w:lsdException w:name="heading 3" w:locked="1" w:semiHidden="1" w:uiPriority="9" w:unhideWhenUsed="1" w:qFormat="1"/>
    <w:lsdException w:name="heading 4" w:locked="1" w:semiHidden="1" w:uiPriority="1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14"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14"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99"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1B1D94"/>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qFormat/>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fr-FR"/>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fr-FR"/>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fr-FR"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styleId="Revision">
    <w:name w:val="Revision"/>
    <w:hidden/>
    <w:uiPriority w:val="99"/>
    <w:semiHidden/>
    <w:rsid w:val="00F85DA0"/>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smallar\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4B498335E4FF69B2409C76F31088A"/>
        <w:category>
          <w:name w:val="Allmänt"/>
          <w:gallery w:val="placeholder"/>
        </w:category>
        <w:types>
          <w:type w:val="bbPlcHdr"/>
        </w:types>
        <w:behaviors>
          <w:behavior w:val="content"/>
        </w:behaviors>
        <w:guid w:val="{7AE19C91-BA45-4AB4-8BC7-937BAF102426}"/>
      </w:docPartPr>
      <w:docPartBody>
        <w:p w:rsidR="00F56327" w:rsidRDefault="00A87F5D">
          <w:r>
            <w:rPr>
              <w:rStyle w:val="PlaceholderText"/>
            </w:rPr>
            <w:t>[Sélectionner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5D"/>
    <w:rsid w:val="002A5329"/>
    <w:rsid w:val="003B2B26"/>
    <w:rsid w:val="0053000D"/>
    <w:rsid w:val="00623BCD"/>
    <w:rsid w:val="007153C7"/>
    <w:rsid w:val="00993237"/>
    <w:rsid w:val="00A87F5D"/>
    <w:rsid w:val="00B51E1F"/>
    <w:rsid w:val="00F56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consensis-fs">
  <fs-fields>
    <fs-no-prefix/>
    <fs-year>23</fs-year>
    <fs-no>XX</fs-no>
    <fs-date/>
    <fs-series>CIRCULATION ROUTIÈRE</fs-series>
    <fs-subseries/>
    <fs-heading/>
  </fs-fields>
</root>
</file>

<file path=customXml/item4.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0.1</VersionField>
    <_dlc_DocId xmlns="d75a2fe8-6503-4f69-a95e-54a0beef9ddd">FQ3EUK5XKZPT-515248260-37</_dlc_DocId>
    <_dlc_DocIdUrl xmlns="d75a2fe8-6503-4f69-a95e-54a0beef9ddd">
      <Url>https://transporten.tsnet.se/sites/foreskriftsarbete-identifieringsljus/_layouts/15/DocIdRedir.aspx?ID=FQ3EUK5XKZPT-515248260-37</Url>
      <Description>FQ3EUK5XKZPT-515248260-37</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ReferenceIdField xmlns="d75a2fe8-6503-4f69-a95e-54a0beef9ddd" xsi:nil="true"/>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AB7EB10-9A64-4215-A425-A7E495A9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F6484-B13D-45C3-9DDD-FAA8B882041D}">
  <ds:schemaRefs>
    <ds:schemaRef ds:uri="http://schemas.microsoft.com/sharepoint/v3/contenttype/forms"/>
  </ds:schemaRefs>
</ds:datastoreItem>
</file>

<file path=customXml/itemProps3.xml><?xml version="1.0" encoding="utf-8"?>
<ds:datastoreItem xmlns:ds="http://schemas.openxmlformats.org/officeDocument/2006/customXml" ds:itemID="{F222B965-9C48-4AC7-962E-E2AF3EEF1550}">
  <ds:schemaRefs>
    <ds:schemaRef ds:uri="consensis-fs"/>
  </ds:schemaRefs>
</ds:datastoreItem>
</file>

<file path=customXml/itemProps4.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5.xml><?xml version="1.0" encoding="utf-8"?>
<ds:datastoreItem xmlns:ds="http://schemas.openxmlformats.org/officeDocument/2006/customXml" ds:itemID="{29A26CBF-49DB-42CB-869A-9ED62029EDF2}">
  <ds:schemaRefs>
    <ds:schemaRef ds:uri="http://schemas.microsoft.com/sharepoint/events"/>
  </ds:schemaRefs>
</ds:datastoreItem>
</file>

<file path=customXml/itemProps6.xml><?xml version="1.0" encoding="utf-8"?>
<ds:datastoreItem xmlns:ds="http://schemas.openxmlformats.org/officeDocument/2006/customXml" ds:itemID="{6B6C5262-51CF-42F0-8781-BC6C8BB3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Föreskrift.dotm</Template>
  <TotalTime>6</TotalTime>
  <Pages>8</Pages>
  <Words>1817</Words>
  <Characters>9699</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Föreskrifter TSFS 2016_22_identifieringsljus_2022-145</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2016_22_identifieringsljus_2022-145</dc:title>
  <dc:subject/>
  <dc:creator>Belkow Elena</dc:creator>
  <cp:keywords/>
  <dc:description>TS0011, v2.0, 2022-11-07</dc:description>
  <cp:lastModifiedBy>Liana Brili</cp:lastModifiedBy>
  <cp:revision>6</cp:revision>
  <cp:lastPrinted>2008-12-18T15:33:00Z</cp:lastPrinted>
  <dcterms:created xsi:type="dcterms:W3CDTF">2023-04-19T05:52:00Z</dcterms:created>
  <dcterms:modified xsi:type="dcterms:W3CDTF">2023-04-26T12:29:00Z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9973c3e4-fec7-4d10-9cb0-d51202adc451</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TaxKeyword">
    <vt:lpwstr/>
  </property>
  <property fmtid="{D5CDD505-2E9C-101B-9397-08002B2CF9AE}" pid="13" name="TsInformationResponsible">
    <vt:lpwstr>1;#Väg och järnväg|aa38f9ea-ef68-4609-9de5-ace9c8c2754e</vt:lpwstr>
  </property>
  <property fmtid="{D5CDD505-2E9C-101B-9397-08002B2CF9AE}" pid="14" name="jda3dfbb4c804c19945bd7e352076e17">
    <vt:lpwstr/>
  </property>
  <property fmtid="{D5CDD505-2E9C-101B-9397-08002B2CF9AE}" pid="15" name="i735b8e0fce74f828024cb445770f75b">
    <vt:lpwstr/>
  </property>
  <property fmtid="{D5CDD505-2E9C-101B-9397-08002B2CF9AE}" pid="16" name="jc3eb26ae9be406a98ae6cce966cb36d">
    <vt:lpwstr/>
  </property>
  <property fmtid="{D5CDD505-2E9C-101B-9397-08002B2CF9AE}" pid="17" name="o17e08060249424b8e2621b78b026245">
    <vt:lpwstr/>
  </property>
  <property fmtid="{D5CDD505-2E9C-101B-9397-08002B2CF9AE}" pid="18" name="mc3f6736e3ef43e585cf4046405d7aa9">
    <vt:lpwstr/>
  </property>
  <property fmtid="{D5CDD505-2E9C-101B-9397-08002B2CF9AE}" pid="19" name="k868a4d954404aa3becb8fbdb29eb463">
    <vt:lpwstr/>
  </property>
  <property fmtid="{D5CDD505-2E9C-101B-9397-08002B2CF9AE}" pid="20" name="c15da91e54044902a76a3ccf205b7556">
    <vt:lpwstr/>
  </property>
  <property fmtid="{D5CDD505-2E9C-101B-9397-08002B2CF9AE}" pid="21" name="b1c46419ad274484880e55ee83e4ca7e">
    <vt:lpwstr/>
  </property>
  <property fmtid="{D5CDD505-2E9C-101B-9397-08002B2CF9AE}" pid="22" name="ib6ce6fd9bdf4723b2c6b95220e97ce3">
    <vt:lpwstr/>
  </property>
  <property fmtid="{D5CDD505-2E9C-101B-9397-08002B2CF9AE}" pid="23" name="j365b7a937254dbaaba9b227b5ea1403">
    <vt:lpwstr/>
  </property>
  <property fmtid="{D5CDD505-2E9C-101B-9397-08002B2CF9AE}" pid="24" name="ie437844eb0f49b9a51f9666a54668c4">
    <vt:lpwstr/>
  </property>
  <property fmtid="{D5CDD505-2E9C-101B-9397-08002B2CF9AE}" pid="25" name="p8c3e936df174bcda0a4b973c7b129de">
    <vt:lpwstr/>
  </property>
  <property fmtid="{D5CDD505-2E9C-101B-9397-08002B2CF9AE}" pid="26" name="l17f5a21374a469d823562e90ed4af4e">
    <vt:lpwstr/>
  </property>
  <property fmtid="{D5CDD505-2E9C-101B-9397-08002B2CF9AE}" pid="27" name="i15a8122f6b24f09a279772bcf71baf3">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TsClassification">
    <vt:lpwstr>4;#03.01.01 Ta fram föreskrifter|ea16fb87-9d96-4667-9b7a-20118f8a3684</vt:lpwstr>
  </property>
  <property fmtid="{D5CDD505-2E9C-101B-9397-08002B2CF9AE}" pid="32" name="SharedWithUsers">
    <vt:lpwstr>40;#Skoglund Elsy</vt:lpwstr>
  </property>
  <property fmtid="{D5CDD505-2E9C-101B-9397-08002B2CF9AE}" pid="33" name="ab4de3bb49544f9da1f873313fa4383f">
    <vt:lpwstr/>
  </property>
  <property fmtid="{D5CDD505-2E9C-101B-9397-08002B2CF9AE}" pid="34" name="TsBusinessDevelopmentRecordType">
    <vt:lpwstr/>
  </property>
  <property fmtid="{D5CDD505-2E9C-101B-9397-08002B2CF9AE}" pid="35" name="TsAdministrativeRecordType">
    <vt:lpwstr/>
  </property>
  <property fmtid="{D5CDD505-2E9C-101B-9397-08002B2CF9AE}" pid="36" name="TsTestRecordType">
    <vt:lpwstr/>
  </property>
  <property fmtid="{D5CDD505-2E9C-101B-9397-08002B2CF9AE}" pid="37" name="TsRequirementsRecordType">
    <vt:lpwstr/>
  </property>
  <property fmtid="{D5CDD505-2E9C-101B-9397-08002B2CF9AE}" pid="38" name="TsArchitectureRecordType">
    <vt:lpwstr/>
  </property>
  <property fmtid="{D5CDD505-2E9C-101B-9397-08002B2CF9AE}" pid="39" name="TSProductArea">
    <vt:lpwstr/>
  </property>
  <property fmtid="{D5CDD505-2E9C-101B-9397-08002B2CF9AE}" pid="40" name="TsProjectRecordType">
    <vt:lpwstr/>
  </property>
  <property fmtid="{D5CDD505-2E9C-101B-9397-08002B2CF9AE}" pid="41" name="TsMeetingRecordType">
    <vt:lpwstr/>
  </property>
  <property fmtid="{D5CDD505-2E9C-101B-9397-08002B2CF9AE}" pid="42" name="TsExternalRecordType">
    <vt:lpwstr/>
  </property>
  <property fmtid="{D5CDD505-2E9C-101B-9397-08002B2CF9AE}" pid="43" name="TsEconomyRecordType">
    <vt:lpwstr/>
  </property>
  <property fmtid="{D5CDD505-2E9C-101B-9397-08002B2CF9AE}" pid="44" name="TsInvestmentPropertyRecordType">
    <vt:lpwstr/>
  </property>
  <property fmtid="{D5CDD505-2E9C-101B-9397-08002B2CF9AE}" pid="45" name="TsInvestmentProperty">
    <vt:lpwstr/>
  </property>
  <property fmtid="{D5CDD505-2E9C-101B-9397-08002B2CF9AE}" pid="46" name="TsOperationRecordType">
    <vt:lpwstr/>
  </property>
  <property fmtid="{D5CDD505-2E9C-101B-9397-08002B2CF9AE}" pid="47" name="TsDevelopmentRecordType">
    <vt:lpwstr/>
  </property>
  <property fmtid="{D5CDD505-2E9C-101B-9397-08002B2CF9AE}" pid="48" name="TsProject">
    <vt:lpwstr/>
  </property>
</Properties>
</file>