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C9C3" w14:textId="3647AAA9" w:rsidR="00DF230E" w:rsidRDefault="00F85DA0" w:rsidP="00156199">
      <w:pPr>
        <w:pStyle w:val="Titel"/>
        <w:tabs>
          <w:tab w:val="clear" w:pos="6804"/>
          <w:tab w:val="right" w:pos="7513"/>
        </w:tabs>
      </w:pPr>
      <w:r w:rsidRPr="00156199"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8AC7CC" wp14:editId="2A599503">
                <wp:simplePos x="0" y="0"/>
                <wp:positionH relativeFrom="column">
                  <wp:posOffset>3965575</wp:posOffset>
                </wp:positionH>
                <wp:positionV relativeFrom="paragraph">
                  <wp:posOffset>175895</wp:posOffset>
                </wp:positionV>
                <wp:extent cx="1092835" cy="495300"/>
                <wp:effectExtent l="0" t="0" r="0" b="0"/>
                <wp:wrapNone/>
                <wp:docPr id="799183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CE7CB" w14:textId="164B17EE" w:rsidR="00F85DA0" w:rsidRPr="00F85DA0" w:rsidRDefault="00F85DA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SVÉD KÖZLEKEDÉSI HATÓSÁG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AC7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2.25pt;margin-top:13.85pt;width:86.05pt;height:39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" fillcolor="white [3201]" stroked="f" strokeweight=".5pt">
                <v:textbox inset="0,0,0,0">
                  <w:txbxContent>
                    <w:p w14:paraId="374CE7CB" w14:textId="164B17EE" w:rsidR="00F85DA0" w:rsidRPr="00F85DA0" w:rsidRDefault="00F85DA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SVÉD KÖZLEKEDÉSI HATÓSÁG</w:t>
                      </w:r>
                    </w:p>
                  </w:txbxContent>
                </v:textbox>
              </v:shape>
            </w:pict>
          </mc:Fallback>
        </mc:AlternateContent>
      </w:r>
      <w:r w:rsidRPr="00156199">
        <w:rPr>
          <w:szCs w:val="36"/>
        </w:rPr>
        <w:t xml:space="preserve">A Svéd Közlekedési </w:t>
      </w:r>
      <w:r w:rsidR="008E231F" w:rsidRPr="00156199">
        <w:rPr>
          <w:szCs w:val="36"/>
        </w:rPr>
        <w:br/>
      </w:r>
      <w:r w:rsidRPr="00156199">
        <w:rPr>
          <w:szCs w:val="36"/>
        </w:rPr>
        <w:t>Hatóság jogszabálygyűjteménye</w:t>
      </w:r>
      <w:r>
        <w:tab/>
      </w:r>
      <w:r>
        <w:rPr>
          <w:noProof/>
        </w:rPr>
        <w:drawing>
          <wp:inline distT="0" distB="0" distL="0" distR="0" wp14:anchorId="4AEA98CB" wp14:editId="48DF1EFE">
            <wp:extent cx="1278294" cy="354330"/>
            <wp:effectExtent l="0" t="0" r="0" b="0"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80823" cy="35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F0C49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DA5DC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5F47538A" w14:textId="5B767C9A" w:rsidR="00DA54A8" w:rsidRPr="00A44C8A" w:rsidRDefault="00140AE8" w:rsidP="00CA6BA0">
      <w:pPr>
        <w:pStyle w:val="Frfattningsrubrik"/>
        <w:tabs>
          <w:tab w:val="right" w:pos="6804"/>
        </w:tabs>
      </w:pPr>
      <w:r>
        <w:t xml:space="preserve">Rendelkezések </w:t>
      </w:r>
      <w:r>
        <w:br/>
        <w:t>a Svéd Közlekedési Hatóság gépkocsikra, valamint a gépkocsik által vontatott és 2010. július 1-jén vagy azt követően forgalomba helyezett pótkocsikra vonatkozó rendelkezéseinek és általános iránymutatásainak (TSFS 2016:22) módosításáról;</w:t>
      </w:r>
    </w:p>
    <w:p w14:paraId="4E5CBB42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31AB5D0B">
                <wp:simplePos x="0" y="0"/>
                <wp:positionH relativeFrom="page">
                  <wp:posOffset>4457700</wp:posOffset>
                </wp:positionH>
                <wp:positionV relativeFrom="page">
                  <wp:posOffset>2295525</wp:posOffset>
                </wp:positionV>
                <wp:extent cx="1483360" cy="14287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4F7F" w14:textId="77777777" w:rsidR="00FC02EB" w:rsidRPr="0024789E" w:rsidRDefault="00156199" w:rsidP="00FC02EB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FC02EB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Év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DA20BB">
                                  <w:t>23</w:t>
                                </w:r>
                              </w:sdtContent>
                            </w:sdt>
                            <w:r w:rsidR="00DA20BB">
                              <w:t>:</w:t>
                            </w:r>
                            <w:sdt>
                              <w:sdtPr>
                                <w:alias w:val="Szám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DA20BB">
                                  <w:t>XX</w:t>
                                </w:r>
                              </w:sdtContent>
                            </w:sdt>
                          </w:p>
                          <w:p w14:paraId="0169AA2F" w14:textId="77777777" w:rsidR="00FC02EB" w:rsidRDefault="00FC02EB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Közzététel</w:t>
                            </w:r>
                            <w:r>
                              <w:br/>
                              <w:t xml:space="preserve">időpontja: </w:t>
                            </w:r>
                            <w:sdt>
                              <w:sdtPr>
                                <w:alias w:val="Válassza ki a dátumot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hu-H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[Válassza ki a dátumot]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Adja meg a sorozatot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4DB287E4" w14:textId="77777777" w:rsidR="00FC02EB" w:rsidRPr="001D6617" w:rsidRDefault="00FC02EB" w:rsidP="00FC02EB">
                                <w:pPr>
                                  <w:pStyle w:val="Serie"/>
                                </w:pPr>
                                <w:r>
                                  <w:t>KÖZÚTI KÖZLEKEDÉS</w:t>
                                </w:r>
                              </w:p>
                            </w:sdtContent>
                          </w:sdt>
                          <w:p w14:paraId="55142639" w14:textId="77777777" w:rsidR="00FC02EB" w:rsidRPr="007C403E" w:rsidRDefault="00156199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Adja meg az alsorozatot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DA20BB">
                                  <w:rPr>
                                    <w:rStyle w:val="PlaceholderText"/>
                                  </w:rPr>
                                  <w:t>[Adja meg az alsorozatot]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1pt;margin-top:180.75pt;width:116.8pt;height:112.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" filled="f" stroked="f">
                <v:textbox>
                  <w:txbxContent>
                    <w:p w14:paraId="570F4F7F" w14:textId="77777777" w:rsidR="00FC02EB" w:rsidRPr="0024789E" w:rsidRDefault="00156199" w:rsidP="00FC02EB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FC02EB">
                            <w:t>TSFS 20</w:t>
                          </w:r>
                        </w:sdtContent>
                      </w:sdt>
                      <w:sdt>
                        <w:sdtPr>
                          <w:alias w:val="Év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 w:rsidR="00DA20BB">
                            <w:t>23</w:t>
                          </w:r>
                        </w:sdtContent>
                      </w:sdt>
                      <w:r w:rsidR="00DA20BB">
                        <w:t>:</w:t>
                      </w:r>
                      <w:sdt>
                        <w:sdtPr>
                          <w:alias w:val="Szám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 w:rsidR="00DA20BB">
                            <w:t>XX</w:t>
                          </w:r>
                        </w:sdtContent>
                      </w:sdt>
                    </w:p>
                    <w:p w14:paraId="0169AA2F" w14:textId="77777777" w:rsidR="00FC02EB" w:rsidRDefault="00FC02EB" w:rsidP="001E320C">
                      <w:pPr>
                        <w:pStyle w:val="Trycket"/>
                        <w:shd w:val="clear" w:color="auto" w:fill="auto"/>
                      </w:pPr>
                      <w:r>
                        <w:t>Közzététel</w:t>
                      </w:r>
                      <w:r>
                        <w:br/>
                        <w:t xml:space="preserve">időpontja: </w:t>
                      </w:r>
                      <w:sdt>
                        <w:sdtPr>
                          <w:alias w:val="Válassza ki a dátumot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hu-H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[Válassza ki a dátumot]</w:t>
                          </w:r>
                        </w:sdtContent>
                      </w:sdt>
                    </w:p>
                    <w:sdt>
                      <w:sdtPr>
                        <w:alias w:val="Adja meg a sorozatot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4DB287E4" w14:textId="77777777" w:rsidR="00FC02EB" w:rsidRPr="001D6617" w:rsidRDefault="00FC02EB" w:rsidP="00FC02EB">
                          <w:pPr>
                            <w:pStyle w:val="Serie"/>
                          </w:pPr>
                          <w:r>
                            <w:t>KÖZÚTI KÖZLEKEDÉS</w:t>
                          </w:r>
                        </w:p>
                      </w:sdtContent>
                    </w:sdt>
                    <w:p w14:paraId="55142639" w14:textId="77777777" w:rsidR="00FC02EB" w:rsidRPr="007C403E" w:rsidRDefault="00156199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Adja meg az alsorozatot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 w:rsidR="00DA20BB">
                            <w:rPr>
                              <w:rStyle w:val="PlaceholderText"/>
                            </w:rPr>
                            <w:t>[Adja meg az alsorozatot]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elfogadás időpontja: </w:t>
      </w:r>
      <w:sdt>
        <w:sdtPr>
          <w:rPr>
            <w:szCs w:val="22"/>
          </w:rPr>
          <w:alias w:val="Válassza ki a dátumot"/>
          <w:tag w:val="Välj ett datum"/>
          <w:id w:val="1438946608"/>
          <w:placeholder>
            <w:docPart w:val="E534B498335E4FF69B2409C76F31088A"/>
          </w:placeholder>
          <w:showingPlcHdr/>
          <w:date>
            <w:dateFormat w:val="d MMMM yyyy"/>
            <w:lid w:val="hu-H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[Válassza ki a dátumot]</w:t>
          </w:r>
        </w:sdtContent>
      </w:sdt>
      <w:r>
        <w:t>.</w:t>
      </w:r>
    </w:p>
    <w:p w14:paraId="010B2956" w14:textId="21A435C8" w:rsidR="00E43EE1" w:rsidRDefault="008F31FC" w:rsidP="00B72887">
      <w:pPr>
        <w:pStyle w:val="Styckemedindrag"/>
      </w:pPr>
      <w:r>
        <w:t>A járművekről szóló rendelet (2009:211) 8. fejezetének 16. §-a értelmében a Svéd Közlekedési Hatóság előírja</w:t>
      </w:r>
      <w:r w:rsidR="00A21E13">
        <w:rPr>
          <w:rStyle w:val="FootnoteReference"/>
        </w:rPr>
        <w:footnoteReference w:id="2"/>
      </w:r>
      <w:r>
        <w:t>, hogy a Hatóság gépkocsikra, valamint a gépkocsik által vontatott és 2010. július 1-jén vagy azt követően forgalomba helyezett pótkocsikra vonatkozó rendelkezései és általános iránymutatásai (TSFS 2016:22) a következőképpen módosulnak.</w:t>
      </w:r>
    </w:p>
    <w:p w14:paraId="628FB83E" w14:textId="4F1DE953" w:rsidR="00602C6F" w:rsidRDefault="00E4255A" w:rsidP="00E4255A">
      <w:pPr>
        <w:pStyle w:val="Flinjeikrafttrdande"/>
      </w:pPr>
      <w:r>
        <w:t>___________</w:t>
      </w:r>
    </w:p>
    <w:p w14:paraId="3E9C1AE5" w14:textId="32CE0F98" w:rsidR="00602C6F" w:rsidRDefault="00602C6F" w:rsidP="00B72887">
      <w:pPr>
        <w:pStyle w:val="Styckemedindrag"/>
      </w:pPr>
      <w:r>
        <w:t>Ez a jogszabály 2023. október 1-jén lép hatályba.</w:t>
      </w:r>
    </w:p>
    <w:p w14:paraId="05C0A8CC" w14:textId="0E015735" w:rsidR="00602C6F" w:rsidRDefault="00E4255A" w:rsidP="00E4255A">
      <w:pPr>
        <w:pStyle w:val="Beslutandeochfredragande"/>
      </w:pPr>
      <w:r>
        <w:t>A Svéd Közlekedési Hatóság nevében</w:t>
      </w:r>
      <w:r>
        <w:br/>
      </w:r>
      <w:r>
        <w:br/>
        <w:t>JONAS BJELFVENSTAM</w:t>
      </w:r>
      <w:r>
        <w:br/>
      </w:r>
      <w:r>
        <w:tab/>
        <w:t>Elena Belkow</w:t>
      </w:r>
      <w:r>
        <w:br/>
      </w:r>
      <w:r>
        <w:tab/>
        <w:t>(Közút és vasút)</w:t>
      </w:r>
    </w:p>
    <w:p w14:paraId="11B69AC2" w14:textId="77777777" w:rsidR="004A0B2E" w:rsidRDefault="004A0B2E">
      <w:pPr>
        <w:pStyle w:val="Rubrik2utanluftfreellerBilaga"/>
        <w:sectPr w:rsidR="004A0B2E" w:rsidSect="000B024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9356" w:h="13721" w:code="9"/>
          <w:pgMar w:top="1418" w:right="2381" w:bottom="964" w:left="1134" w:header="737" w:footer="1191" w:gutter="0"/>
          <w:pgNumType w:start="1"/>
          <w:cols w:space="708"/>
          <w:titlePg/>
          <w:docGrid w:linePitch="360"/>
        </w:sectPr>
      </w:pPr>
    </w:p>
    <w:p w14:paraId="0AA95BA6" w14:textId="0ECE0C32" w:rsidR="00252E79" w:rsidRDefault="00C15FA3" w:rsidP="004D3B85">
      <w:pPr>
        <w:pStyle w:val="Rubrik2utanluftfreellerBilaga"/>
      </w:pPr>
      <w:r>
        <w:lastRenderedPageBreak/>
        <w:t>1. melléklet Személygépkocsikra, buszokra, tehergépkocsikra és pótkocsijaikra vonatkozó követelmények</w:t>
      </w:r>
    </w:p>
    <w:p w14:paraId="59A20F1E" w14:textId="1EEC927D" w:rsidR="00C15FA3" w:rsidRDefault="00D7550F" w:rsidP="004D3B85">
      <w:pPr>
        <w:pStyle w:val="FTankstreck"/>
      </w:pPr>
      <w:r>
        <w:t>– – – – – – – – – – – – – – – – – – – – – – – – – – – – – – – – – – – – – – – – –</w:t>
      </w:r>
    </w:p>
    <w:p w14:paraId="392AD9F9" w14:textId="6040A48F" w:rsidR="00B34F67" w:rsidRPr="00B34F67" w:rsidRDefault="00B34F67" w:rsidP="004D3B85">
      <w:pPr>
        <w:pStyle w:val="Styckemedindrag"/>
        <w:ind w:firstLine="0"/>
        <w:rPr>
          <w:b/>
        </w:rPr>
      </w:pPr>
      <w:r>
        <w:rPr>
          <w:b/>
        </w:rPr>
        <w:t xml:space="preserve">20. Világító- és fényjelző berendezések és felszerelésük </w:t>
      </w:r>
    </w:p>
    <w:p w14:paraId="110EEE08" w14:textId="77777777" w:rsidR="00F808A7" w:rsidRPr="00802803" w:rsidRDefault="00F808A7" w:rsidP="00F808A7">
      <w:pPr>
        <w:pStyle w:val="Stycke"/>
      </w:pPr>
      <w:r>
        <w:t>A gépkocsiknak és pótkocsiknak az alábbi táblázat K1 vagy K2 sorában meghatározott világító- és fényjelző berendezéssekkel kell rendelkezniük. Ezeket úgy kell felszerelni, hogy megfeleljenek a K1 vagy K2 sorban és a K3–K7 sorban meghatározott követelményeknek.</w:t>
      </w:r>
    </w:p>
    <w:p w14:paraId="04CE732A" w14:textId="77777777" w:rsidR="00F808A7" w:rsidRPr="00802803" w:rsidRDefault="00F808A7" w:rsidP="00F808A7">
      <w:pPr>
        <w:pStyle w:val="Styckemedindrag"/>
      </w:pPr>
      <w:r>
        <w:t>Az M</w:t>
      </w:r>
      <w:r>
        <w:rPr>
          <w:vertAlign w:val="subscript"/>
        </w:rPr>
        <w:t>1</w:t>
      </w:r>
      <w:r>
        <w:t>, N</w:t>
      </w:r>
      <w:r>
        <w:rPr>
          <w:vertAlign w:val="subscript"/>
        </w:rPr>
        <w:t>1</w:t>
      </w:r>
      <w:r>
        <w:t xml:space="preserve"> és N</w:t>
      </w:r>
      <w:r>
        <w:rPr>
          <w:vertAlign w:val="subscript"/>
        </w:rPr>
        <w:t>2</w:t>
      </w:r>
      <w:r>
        <w:t xml:space="preserve"> kategóriájú, legfeljebb 4536 kg össztömegű, harmadik országokban vagy harmadik országok számára nagy sorozatban gyártott gépkocsi ehelyett a T1 sor követelményeinek is megfelelhet.</w:t>
      </w:r>
    </w:p>
    <w:p w14:paraId="7F24C5F4" w14:textId="77777777" w:rsidR="00F808A7" w:rsidRPr="00802803" w:rsidRDefault="00F808A7" w:rsidP="00F808A7">
      <w:pPr>
        <w:pStyle w:val="Styckemedindrag"/>
      </w:pPr>
      <w:r>
        <w:t>Az O</w:t>
      </w:r>
      <w:r>
        <w:rPr>
          <w:vertAlign w:val="subscript"/>
        </w:rPr>
        <w:t>3</w:t>
      </w:r>
      <w:r>
        <w:t xml:space="preserve"> és O</w:t>
      </w:r>
      <w:r>
        <w:rPr>
          <w:vertAlign w:val="subscript"/>
        </w:rPr>
        <w:t>4</w:t>
      </w:r>
      <w:r>
        <w:t xml:space="preserve"> kategóriájú utánfutónak nem kell megfelelnie a K2 sor szerinti körvonaljelzésre vonatkozó követelményeknek.</w:t>
      </w:r>
    </w:p>
    <w:p w14:paraId="40CB2E95" w14:textId="77777777" w:rsidR="00F808A7" w:rsidRPr="00802803" w:rsidRDefault="00F808A7" w:rsidP="00F808A7">
      <w:pPr>
        <w:pStyle w:val="Styckemedindrag"/>
      </w:pPr>
      <w:r>
        <w:t>A lakóautónak, a mentőautónak, a halottszállító kocsinak, a páncélozott járműnek és az EK-önjáró darunak az S1 sorban meghatározott esetekben nem kell megfelelnie a K1 vagy K2 sor valamennyi követelményének.</w:t>
      </w:r>
    </w:p>
    <w:p w14:paraId="4DC6D73B" w14:textId="77777777" w:rsidR="00F808A7" w:rsidRPr="00802803" w:rsidRDefault="00F808A7" w:rsidP="00F808A7">
      <w:pPr>
        <w:pStyle w:val="Styckemedindrag"/>
      </w:pPr>
      <w:r>
        <w:t>A lakóautó, a mentőautó és a halottszállító kocsi ehelyett az S2 sorban meghatározott esetekben az ott felsorolt követelményeknek is megfelelhet.</w:t>
      </w:r>
    </w:p>
    <w:p w14:paraId="603BC8C0" w14:textId="363F9792" w:rsidR="00F808A7" w:rsidRDefault="00F808A7" w:rsidP="007E0EC5">
      <w:pPr>
        <w:pStyle w:val="Styckemedindrag"/>
      </w:pPr>
      <w:r>
        <w:t>A gépkocsi és a pótkocsi a K1, K2 és T1 sor követelményei ellenére az U1–U11 sor követelményeinek megfelelően is felszerelhető.</w:t>
      </w:r>
    </w:p>
    <w:p w14:paraId="5E247C37" w14:textId="27AB0253" w:rsidR="00012970" w:rsidRDefault="00012970" w:rsidP="007E0EC5">
      <w:pPr>
        <w:pStyle w:val="StyckemedindragNDRAD"/>
      </w:pPr>
      <w:r>
        <w:t>A rendőrség sürgősségi járművei a K1, K2 és T1 sor követelményei ellenére az U12 sor követelményeinek megfelelően is felszerelhetők.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658"/>
        <w:gridCol w:w="1819"/>
        <w:gridCol w:w="1869"/>
        <w:gridCol w:w="9"/>
      </w:tblGrid>
      <w:tr w:rsidR="00F808A7" w:rsidRPr="00802803" w14:paraId="4026A071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CA139" w14:textId="77777777" w:rsidR="00F808A7" w:rsidRPr="00802803" w:rsidRDefault="00F808A7" w:rsidP="00FC02EB">
            <w:pPr>
              <w:ind w:right="-20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</w:rPr>
              <w:t>Sor</w:t>
            </w:r>
          </w:p>
        </w:tc>
        <w:tc>
          <w:tcPr>
            <w:tcW w:w="2981" w:type="pct"/>
            <w:gridSpan w:val="2"/>
            <w:tcBorders>
              <w:bottom w:val="nil"/>
            </w:tcBorders>
            <w:shd w:val="clear" w:color="auto" w:fill="auto"/>
          </w:tcPr>
          <w:p w14:paraId="2671CDEB" w14:textId="77777777" w:rsidR="00F808A7" w:rsidRPr="00802803" w:rsidRDefault="00F808A7" w:rsidP="00FC02EB">
            <w:pPr>
              <w:ind w:right="72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</w:rPr>
              <w:t>Rendelkezések</w:t>
            </w:r>
          </w:p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E6E6E6"/>
          </w:tcPr>
          <w:p w14:paraId="76F56B69" w14:textId="77777777" w:rsidR="00F808A7" w:rsidRPr="00802803" w:rsidRDefault="00F808A7" w:rsidP="00FC02E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A következő időpontokban forgalomba helyezett járművekre vonatkozik:</w:t>
            </w:r>
          </w:p>
        </w:tc>
      </w:tr>
      <w:tr w:rsidR="00F808A7" w:rsidRPr="00802803" w14:paraId="0C77BF69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4E5EE49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K1</w:t>
            </w:r>
          </w:p>
        </w:tc>
        <w:tc>
          <w:tcPr>
            <w:tcW w:w="1421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3F33B31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Megfelel a következő irányelv követelményeinek:</w:t>
            </w:r>
          </w:p>
        </w:tc>
        <w:tc>
          <w:tcPr>
            <w:tcW w:w="15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28404" w14:textId="77777777" w:rsidR="00F808A7" w:rsidRPr="00802803" w:rsidRDefault="00F808A7" w:rsidP="00FC02EB">
            <w:pPr>
              <w:ind w:right="72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</w:rPr>
              <w:t>76/756/EGK</w:t>
            </w:r>
          </w:p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E6E6E6"/>
          </w:tcPr>
          <w:p w14:paraId="3DFF76A7" w14:textId="77777777" w:rsidR="00F808A7" w:rsidRPr="00802803" w:rsidRDefault="00F808A7" w:rsidP="00FC02EB">
            <w:pPr>
              <w:rPr>
                <w:sz w:val="19"/>
                <w:szCs w:val="19"/>
              </w:rPr>
            </w:pPr>
            <w:r>
              <w:rPr>
                <w:sz w:val="19"/>
              </w:rPr>
              <w:t>-</w:t>
            </w:r>
          </w:p>
        </w:tc>
      </w:tr>
      <w:tr w:rsidR="00F808A7" w:rsidRPr="00802803" w14:paraId="04D144CC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6D158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A11A1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a következő irányelvvel módosított: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34692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97/28/EK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C873D43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2010.07.01–</w:t>
            </w:r>
          </w:p>
          <w:p w14:paraId="3B45EE3C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2011.07.09.</w:t>
            </w:r>
          </w:p>
        </w:tc>
      </w:tr>
      <w:tr w:rsidR="00F808A7" w:rsidRPr="00802803" w14:paraId="23093508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B490725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A409C1" w14:textId="77777777" w:rsidR="00F808A7" w:rsidRPr="00802803" w:rsidRDefault="00F808A7" w:rsidP="00FC02EB">
            <w:pPr>
              <w:ind w:right="72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71FEF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2007/35/EK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30E02E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2010.07.01–</w:t>
            </w:r>
          </w:p>
          <w:p w14:paraId="3F14FBB5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2017.12.31.</w:t>
            </w:r>
          </w:p>
        </w:tc>
      </w:tr>
      <w:tr w:rsidR="00F808A7" w:rsidRPr="00802803" w14:paraId="0F2018BC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3444B6C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0E4E11" w14:textId="77777777" w:rsidR="00F808A7" w:rsidRPr="00802803" w:rsidRDefault="00F808A7" w:rsidP="00FC02EB">
            <w:pPr>
              <w:ind w:right="72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5C83A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2008/89/EK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56F420B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2010.07.01–</w:t>
            </w:r>
          </w:p>
          <w:p w14:paraId="28458C32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2017.12.31.</w:t>
            </w:r>
          </w:p>
        </w:tc>
      </w:tr>
      <w:tr w:rsidR="00F808A7" w:rsidRPr="00802803" w14:paraId="22AEFE6F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618B1C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K2</w:t>
            </w:r>
          </w:p>
        </w:tc>
        <w:tc>
          <w:tcPr>
            <w:tcW w:w="1421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2228E76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Megfelel a következő előírás követelményeinek:</w:t>
            </w:r>
          </w:p>
        </w:tc>
        <w:tc>
          <w:tcPr>
            <w:tcW w:w="15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8F034" w14:textId="516F2696" w:rsidR="00F808A7" w:rsidRPr="00802803" w:rsidRDefault="00F808A7" w:rsidP="00F85DA0">
            <w:pPr>
              <w:ind w:right="72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</w:rPr>
              <w:t>48. sz.</w:t>
            </w:r>
            <w:r>
              <w:rPr>
                <w:b/>
                <w:sz w:val="19"/>
              </w:rPr>
              <w:br/>
              <w:t>ENSZ EGB-előírás</w:t>
            </w:r>
          </w:p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E6E6E6"/>
          </w:tcPr>
          <w:p w14:paraId="2CA3CAFC" w14:textId="77777777" w:rsidR="00F808A7" w:rsidRPr="00802803" w:rsidRDefault="00F808A7" w:rsidP="00FC02EB">
            <w:pPr>
              <w:rPr>
                <w:sz w:val="19"/>
                <w:szCs w:val="19"/>
              </w:rPr>
            </w:pPr>
            <w:r>
              <w:rPr>
                <w:sz w:val="19"/>
              </w:rPr>
              <w:t>-</w:t>
            </w:r>
          </w:p>
        </w:tc>
      </w:tr>
      <w:tr w:rsidR="00F808A7" w:rsidRPr="00802803" w14:paraId="43CDA0B8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63A445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A1AA88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7F77A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02. módosítássorozat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A7DD585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2010.07.01–</w:t>
            </w:r>
          </w:p>
          <w:p w14:paraId="18750CC3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2011.07.09.</w:t>
            </w:r>
          </w:p>
          <w:p w14:paraId="5D774637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A következő kategóriára korlátozódik: N</w:t>
            </w:r>
            <w:r>
              <w:rPr>
                <w:sz w:val="19"/>
                <w:vertAlign w:val="subscript"/>
              </w:rPr>
              <w:t>2</w:t>
            </w:r>
            <w:r>
              <w:rPr>
                <w:sz w:val="19"/>
              </w:rPr>
              <w:t xml:space="preserve"> &gt; 7500 kg, N</w:t>
            </w:r>
            <w:r>
              <w:rPr>
                <w:sz w:val="19"/>
                <w:vertAlign w:val="subscript"/>
              </w:rPr>
              <w:t>3</w:t>
            </w:r>
            <w:r>
              <w:rPr>
                <w:sz w:val="19"/>
              </w:rPr>
              <w:t>, O</w:t>
            </w:r>
            <w:r>
              <w:rPr>
                <w:sz w:val="19"/>
                <w:vertAlign w:val="subscript"/>
              </w:rPr>
              <w:t>3</w:t>
            </w:r>
            <w:r>
              <w:rPr>
                <w:sz w:val="19"/>
              </w:rPr>
              <w:t xml:space="preserve"> és O</w:t>
            </w:r>
            <w:r>
              <w:rPr>
                <w:sz w:val="19"/>
                <w:vertAlign w:val="subscript"/>
              </w:rPr>
              <w:t>4</w:t>
            </w:r>
          </w:p>
        </w:tc>
      </w:tr>
      <w:tr w:rsidR="00F808A7" w:rsidRPr="00802803" w14:paraId="3FD8F0F2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9B8C88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6B2781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7617E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02. módosítássorozat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AC4129D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2010.07.01.</w:t>
            </w:r>
            <w:r>
              <w:rPr>
                <w:sz w:val="19"/>
              </w:rPr>
              <w:br/>
              <w:t>vagy annál később</w:t>
            </w:r>
          </w:p>
          <w:p w14:paraId="5F0AE3FB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  <w:vertAlign w:val="subscript"/>
              </w:rPr>
            </w:pPr>
            <w:r>
              <w:rPr>
                <w:sz w:val="19"/>
              </w:rPr>
              <w:t>A következő kategóriára korlátozódik: M, N</w:t>
            </w:r>
            <w:r>
              <w:rPr>
                <w:sz w:val="19"/>
                <w:vertAlign w:val="subscript"/>
              </w:rPr>
              <w:t>1</w:t>
            </w:r>
            <w:r>
              <w:rPr>
                <w:sz w:val="19"/>
              </w:rPr>
              <w:t>, N</w:t>
            </w:r>
            <w:r>
              <w:rPr>
                <w:sz w:val="19"/>
                <w:vertAlign w:val="subscript"/>
              </w:rPr>
              <w:t xml:space="preserve">2 </w:t>
            </w:r>
            <w:r>
              <w:rPr>
                <w:sz w:val="19"/>
              </w:rPr>
              <w:t>≤ 7500 kg, O</w:t>
            </w:r>
            <w:r>
              <w:rPr>
                <w:sz w:val="19"/>
                <w:vertAlign w:val="subscript"/>
              </w:rPr>
              <w:t>1</w:t>
            </w:r>
            <w:r>
              <w:rPr>
                <w:sz w:val="19"/>
              </w:rPr>
              <w:t xml:space="preserve"> és O</w:t>
            </w:r>
            <w:r>
              <w:rPr>
                <w:sz w:val="19"/>
                <w:vertAlign w:val="subscript"/>
              </w:rPr>
              <w:t>2</w:t>
            </w:r>
          </w:p>
        </w:tc>
      </w:tr>
      <w:tr w:rsidR="00F808A7" w:rsidRPr="00802803" w14:paraId="1F5E2610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0A048D0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15FF53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0C9A1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03. módosítássorozat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73E67D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2010.07.01.</w:t>
            </w:r>
            <w:r>
              <w:rPr>
                <w:sz w:val="19"/>
              </w:rPr>
              <w:br/>
              <w:t>vagy annál később</w:t>
            </w:r>
          </w:p>
        </w:tc>
      </w:tr>
      <w:tr w:rsidR="00F808A7" w:rsidRPr="00802803" w14:paraId="4B7739D2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79E6EB1B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1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AD66CF6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EE078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04. módosítássorozat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966A41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2010.07.01.</w:t>
            </w:r>
            <w:r>
              <w:rPr>
                <w:sz w:val="19"/>
              </w:rPr>
              <w:br/>
              <w:t>vagy annál később</w:t>
            </w:r>
          </w:p>
        </w:tc>
      </w:tr>
      <w:tr w:rsidR="00F808A7" w:rsidRPr="00802803" w14:paraId="2B6B074D" w14:textId="77777777" w:rsidTr="008E231F">
        <w:trPr>
          <w:gridAfter w:val="1"/>
          <w:wAfter w:w="8" w:type="pct"/>
          <w:cantSplit/>
          <w:trHeight w:val="182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210F2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DDB8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6B276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05. módosítássorozat</w:t>
            </w:r>
          </w:p>
          <w:p w14:paraId="1FB931CF" w14:textId="77777777" w:rsidR="00F808A7" w:rsidRPr="00802803" w:rsidRDefault="00F808A7" w:rsidP="00FC02EB">
            <w:pPr>
              <w:spacing w:line="232" w:lineRule="exact"/>
              <w:jc w:val="right"/>
              <w:rPr>
                <w:sz w:val="19"/>
              </w:rPr>
            </w:pPr>
            <w:r>
              <w:rPr>
                <w:sz w:val="19"/>
              </w:rPr>
              <w:t>vagy későbbi módosítások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B89CFB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2011.01.30.</w:t>
            </w:r>
            <w:r>
              <w:rPr>
                <w:sz w:val="19"/>
              </w:rPr>
              <w:br/>
              <w:t>vagy annál később</w:t>
            </w:r>
          </w:p>
        </w:tc>
      </w:tr>
      <w:tr w:rsidR="00F808A7" w:rsidRPr="00802803" w14:paraId="4447AFB2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3DEB4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K3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36F0A" w14:textId="77777777" w:rsidR="00F808A7" w:rsidRPr="00802803" w:rsidRDefault="00F808A7" w:rsidP="00FC02EB">
            <w:pPr>
              <w:pStyle w:val="Stycke"/>
            </w:pPr>
            <w:r>
              <w:t>A fényszórókat, lámpákat, fényvisszaverő eszközöket és izzólámpákat színtől függetlenül nem lehet festékkel bevonni.</w:t>
            </w:r>
          </w:p>
        </w:tc>
      </w:tr>
      <w:tr w:rsidR="00F808A7" w:rsidRPr="00802803" w14:paraId="75E0F96C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C0A12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K4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B162C" w14:textId="77777777" w:rsidR="00F808A7" w:rsidRPr="006A2F2D" w:rsidRDefault="00F808A7" w:rsidP="00FC02EB">
            <w:pPr>
              <w:pStyle w:val="Stycke"/>
            </w:pPr>
            <w:r>
              <w:t>A járművek nem rendelkezhetnek az e rendelkezésekben vagy a Svéd Közlekedési Hatóság által kiadott más rendelkezésekben meghatározottaktól eltérő típusú fényszóróval vagy lámpával.</w:t>
            </w:r>
          </w:p>
          <w:p w14:paraId="0BDE9AB0" w14:textId="77777777" w:rsidR="00F808A7" w:rsidRPr="00802803" w:rsidRDefault="00F808A7" w:rsidP="00FC02EB">
            <w:pPr>
              <w:pStyle w:val="Styckemedindrag"/>
              <w:rPr>
                <w:i/>
              </w:rPr>
            </w:pPr>
            <w:r>
              <w:t>A járműveket azonban fel lehet szerelni olyan világítóberendezésekkel, amelyek a 48. sz. ENSZ EGB-előírás szerinti választható világítóberendezésnek minősülnek, feltéve, hogy a berendezéseket az előírásban foglalt követelményeknek megfelelően szerelik fel.</w:t>
            </w:r>
          </w:p>
        </w:tc>
      </w:tr>
      <w:tr w:rsidR="00F808A7" w:rsidRPr="00802803" w14:paraId="4E7EC5F8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D99DF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K5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4E0BF" w14:textId="77777777" w:rsidR="00F808A7" w:rsidRPr="00802803" w:rsidRDefault="00F808A7" w:rsidP="00FC02EB">
            <w:pPr>
              <w:pStyle w:val="Stycke"/>
            </w:pPr>
            <w:r>
              <w:t>A fényszórókat és lámpákat úgy kell elhelyezni a járművön, hogy a jármű vezetőjét ne zavarja a fény.</w:t>
            </w:r>
          </w:p>
        </w:tc>
      </w:tr>
      <w:tr w:rsidR="00F808A7" w:rsidRPr="00802803" w14:paraId="6B8E459F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D98FA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K6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29F84" w14:textId="77777777" w:rsidR="00F808A7" w:rsidRPr="00802803" w:rsidRDefault="00F808A7" w:rsidP="00FC02EB">
            <w:pPr>
              <w:pStyle w:val="Stycke"/>
            </w:pPr>
            <w:r>
              <w:t>A kötelező lámpák vagy kötelező fényszórók kőfelverődés elleni védelme nem megengedett a járművön, ha a védelem jelentősen csökkenti a lámpa vagy a fényszóró fényét. Ez vonatkozik az olyan anyagból készült kőfelverődés elleni védelemre is, amely könnyen megsérül, és így csökkenti a lámpa vagy a fényszóró fényét.</w:t>
            </w:r>
          </w:p>
        </w:tc>
      </w:tr>
      <w:tr w:rsidR="00F808A7" w:rsidRPr="00802803" w14:paraId="58311FB5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C11C738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lastRenderedPageBreak/>
              <w:t>K7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7CE5" w14:textId="77777777" w:rsidR="00F808A7" w:rsidRPr="00802803" w:rsidRDefault="00F808A7" w:rsidP="00FC02EB">
            <w:pPr>
              <w:pStyle w:val="Stycke"/>
            </w:pPr>
            <w:r>
              <w:t>A járművek nem rendelkezhetnek olyan berendezésekkel, amelyek zavaró fényvisszaverődést okozhatnak, vagy egy másik járművezető elvakításának kockázatát rejtik magukban.</w:t>
            </w:r>
          </w:p>
          <w:p w14:paraId="6A0836F4" w14:textId="77777777" w:rsidR="00F808A7" w:rsidRPr="00802803" w:rsidRDefault="00F808A7" w:rsidP="00FC02EB">
            <w:pPr>
              <w:pStyle w:val="Styckemedindrag"/>
              <w:rPr>
                <w:bCs/>
                <w:szCs w:val="19"/>
              </w:rPr>
            </w:pPr>
            <w:r>
              <w:t>Ezenkívül a járművek nem rendelkezhetnek olyan berendezésekkel, amelyek menet közben a járművön kívül az úthasználók számára látható változó vagy mozgó képeket, szövegeket stb. képesek megjeleníteni. Ugyanakkor a menetrend szerint közlekedő buszok a buszmegállókhoz kapcsolódóan rendelkezhetnek olyan célállomásjelző táblákkal, amelyek változó forgalmi információkat mutatnak.</w:t>
            </w:r>
          </w:p>
        </w:tc>
      </w:tr>
      <w:tr w:rsidR="00F808A7" w:rsidRPr="00802803" w14:paraId="1D8C9CF0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A4043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T1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03E8F" w14:textId="77777777" w:rsidR="00F808A7" w:rsidRPr="00802803" w:rsidRDefault="00F808A7" w:rsidP="00FC02EB">
            <w:pPr>
              <w:pStyle w:val="Stycke"/>
              <w:rPr>
                <w:bCs/>
              </w:rPr>
            </w:pPr>
            <w:r>
              <w:t>A gépkocsiknak olyan világító- és fényjelző berendezésekkel kell rendelkezniük, amelyek megfelelnek a 2007/46/EK irányelv 183/2011/EU rendelettel módosított változata IV. melléklete 2. függeléke I. és II. részének 20. tételében meghatározott alternatív műszaki követelményeknek. Az N</w:t>
            </w:r>
            <w:r>
              <w:rPr>
                <w:vertAlign w:val="subscript"/>
              </w:rPr>
              <w:t>2</w:t>
            </w:r>
            <w:r>
              <w:t xml:space="preserve"> kategóriájú gépkocsikra ugyanazok a követelmények vonatkoznak, mint az N</w:t>
            </w:r>
            <w:r>
              <w:rPr>
                <w:vertAlign w:val="subscript"/>
              </w:rPr>
              <w:t>1</w:t>
            </w:r>
            <w:r>
              <w:t xml:space="preserve"> kategóriájú gépkocsikra.</w:t>
            </w:r>
          </w:p>
        </w:tc>
      </w:tr>
      <w:tr w:rsidR="00F808A7" w:rsidRPr="00802803" w14:paraId="19D4CC58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D6460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S1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091C4" w14:textId="77777777" w:rsidR="00F808A7" w:rsidRPr="00802803" w:rsidRDefault="00F808A7" w:rsidP="00FC02EB">
            <w:pPr>
              <w:pStyle w:val="Stycke"/>
            </w:pPr>
            <w:r>
              <w:t>Ha a jármű különleges használata lehetetlenné teszi a K1 vagy a K2 sor valamennyi követelményének való megfelelést, mentesség adható a követelmények alól, feltéve, hogy minden kötelező világítóberendezés fel van szerelve. Lakóautó, mentőautó, halottszállító kocsi és páncélozott jármű esetében a geometriai láthatóságot nem szabad befolyásolni.</w:t>
            </w:r>
          </w:p>
        </w:tc>
      </w:tr>
      <w:tr w:rsidR="00F808A7" w:rsidRPr="00802803" w14:paraId="5EDFDC44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01208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S2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06A03" w14:textId="77777777" w:rsidR="00F808A7" w:rsidRPr="00802803" w:rsidRDefault="00F808A7" w:rsidP="00FC02EB">
            <w:pPr>
              <w:pStyle w:val="Stycke"/>
            </w:pPr>
            <w:r>
              <w:t>A 2500 kg-ot meghaladó össztömegű, tehergépkocsiból vagy buszból épített személygépkocsi megfelelhet az alapjárműre vonatkozó követelményeknek. Ugyanez vonatkozik a tehergépkocsiból vagy személygépkocsiból épített buszra is.</w:t>
            </w:r>
          </w:p>
        </w:tc>
      </w:tr>
      <w:tr w:rsidR="00F808A7" w:rsidRPr="00802803" w14:paraId="7C31077D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1FB1D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lastRenderedPageBreak/>
              <w:t>U1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B5C47" w14:textId="77777777" w:rsidR="00F808A7" w:rsidRPr="00802803" w:rsidRDefault="00F808A7" w:rsidP="00FC02EB">
            <w:pPr>
              <w:pStyle w:val="Stycke"/>
              <w:rPr>
                <w:szCs w:val="19"/>
              </w:rPr>
            </w:pPr>
            <w:r>
              <w:t>A járműveknek nem kell megfelelniük a 48. sz. ENSZ EGB-előírásban és a 76/756/EGK irányelv 2. mellékletében meghatározott következő követelményeknek:</w:t>
            </w:r>
          </w:p>
          <w:p w14:paraId="0B6FFA58" w14:textId="77777777" w:rsidR="00F808A7" w:rsidRPr="00DC4B0A" w:rsidRDefault="00F808A7" w:rsidP="00FC02EB">
            <w:pPr>
              <w:pStyle w:val="Styckemedindrag"/>
            </w:pPr>
            <w:r>
              <w:t>1. 6.1.2. a legfeljebb négy távolsági fényszóróra vonatkozó korlátozás tekintetében.</w:t>
            </w:r>
          </w:p>
          <w:p w14:paraId="61E3C0AF" w14:textId="77777777" w:rsidR="00F808A7" w:rsidRPr="00DC4B0A" w:rsidRDefault="00F808A7" w:rsidP="00FC02EB">
            <w:pPr>
              <w:pStyle w:val="Styckemedindrag"/>
            </w:pPr>
            <w:r>
              <w:t>2. 6.1.9. (a fényszórók együttes legnagyobb fényerőssége).</w:t>
            </w:r>
          </w:p>
          <w:p w14:paraId="7963D4AF" w14:textId="77777777" w:rsidR="00F808A7" w:rsidRPr="00DC4B0A" w:rsidRDefault="00F808A7" w:rsidP="00FC02EB">
            <w:pPr>
              <w:pStyle w:val="Styckemedindrag"/>
            </w:pPr>
            <w:r>
              <w:t>3. 6.10.2. a legfeljebb két hátsó helyzetjelző lámpára vonatkozó korlátozás tekintetében. A lámpáknak azonban páros számúnak kell lenniük.</w:t>
            </w:r>
          </w:p>
          <w:p w14:paraId="05E338FC" w14:textId="77777777" w:rsidR="00F808A7" w:rsidRPr="00DC4B0A" w:rsidRDefault="00F808A7" w:rsidP="00FC02EB">
            <w:pPr>
              <w:pStyle w:val="Styckemedindrag"/>
            </w:pPr>
            <w:r>
              <w:t>4. 6.4.2. a legfeljebb két tolatólámpára vonatkozó korlátozás tekintetében. A fényszórók száma nem haladhatja meg a négyet.</w:t>
            </w:r>
          </w:p>
          <w:p w14:paraId="790DD550" w14:textId="77777777" w:rsidR="00F808A7" w:rsidRPr="00DC4B0A" w:rsidRDefault="00F808A7" w:rsidP="00FC02EB">
            <w:pPr>
              <w:pStyle w:val="Styckemedindrag"/>
            </w:pPr>
            <w:r>
              <w:t>5. 6.5.3. a legfeljebb kettő 2a. vagy 2b. kategóriájú hátsó irányjelző lámpára vonatkozó korlátozás tekintetében. A lámpák száma nem haladhatja meg a négyet.</w:t>
            </w:r>
          </w:p>
          <w:p w14:paraId="22BD5FFE" w14:textId="77777777" w:rsidR="00F808A7" w:rsidRPr="00DC4B0A" w:rsidRDefault="00F808A7" w:rsidP="00FC02EB">
            <w:pPr>
              <w:pStyle w:val="Styckemedindrag"/>
            </w:pPr>
            <w:r>
              <w:t>6. 6.6.7.2. a legfeljebb kettő S1 vagy S2 kategóriájú féklámpára vonatkozó korlátozás tekintetében. A lámpák száma nem haladhatja meg a négyet.</w:t>
            </w:r>
          </w:p>
          <w:p w14:paraId="5618458D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7. 6.9.2. a legfeljebb kettő első helyzetjelző lámpára vonatkozó korlátozás tekintetében. A lámpák száma nem haladhatja meg a négyet.</w:t>
            </w:r>
          </w:p>
        </w:tc>
      </w:tr>
      <w:tr w:rsidR="00F808A7" w:rsidRPr="00802803" w14:paraId="4CAF6C91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93B5F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U2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79A2F" w14:textId="77777777" w:rsidR="00F808A7" w:rsidRPr="00121825" w:rsidRDefault="00F808A7" w:rsidP="00FC02EB">
            <w:pPr>
              <w:pStyle w:val="Stycke"/>
            </w:pPr>
            <w:r>
              <w:t>A járműnek lehetnek olyan fényszórói, amelyek a jármű körüli munkavégzés során kiegészítő világításként, úgynevezett munkahely-megvilágító lámpaként szolgálnak, és amelyek fehér fényt bocsátanak ki. A keresőlámpák is munkahely-megvilágító lámpának minősülnek.</w:t>
            </w:r>
          </w:p>
          <w:p w14:paraId="7C92BB7C" w14:textId="77777777" w:rsidR="00F808A7" w:rsidRPr="00121825" w:rsidRDefault="00F808A7" w:rsidP="00FC02EB">
            <w:pPr>
              <w:pStyle w:val="Styckemedindrag"/>
              <w:rPr>
                <w:szCs w:val="19"/>
              </w:rPr>
            </w:pPr>
            <w:r>
              <w:t>Lennie kell egy olyan bekapcsolás-visszajelző lámpának, amely a munkahely-megvilágító lámpa bekapcsolásakor borostyánsárga vagy piros fénnyel világít, és a lámpának láthatónak kell lennie a vezetőülésből.</w:t>
            </w:r>
          </w:p>
          <w:p w14:paraId="242F9004" w14:textId="77777777" w:rsidR="00F808A7" w:rsidRPr="00254CD4" w:rsidRDefault="00F808A7" w:rsidP="00FC02EB">
            <w:pPr>
              <w:pStyle w:val="Styckemedindrag"/>
              <w:rPr>
                <w:szCs w:val="19"/>
              </w:rPr>
            </w:pPr>
            <w:r>
              <w:t>A lámpát úgy kell felszerelni, hogy normál vezetés során ne rezegjen és ne mozduljon el.</w:t>
            </w:r>
          </w:p>
          <w:p w14:paraId="4FB4A89E" w14:textId="77777777" w:rsidR="00F808A7" w:rsidRPr="00121825" w:rsidRDefault="00F808A7" w:rsidP="00FC02EB">
            <w:pPr>
              <w:pStyle w:val="Styckemedindrag"/>
              <w:rPr>
                <w:szCs w:val="19"/>
              </w:rPr>
            </w:pPr>
            <w:r>
              <w:t>A munkahely-megvilágító lámpa nem lehet:</w:t>
            </w:r>
          </w:p>
          <w:p w14:paraId="60B593F5" w14:textId="77777777" w:rsidR="00F808A7" w:rsidRPr="00254CD4" w:rsidRDefault="00F808A7" w:rsidP="00FC02EB">
            <w:pPr>
              <w:pStyle w:val="Styckemedindrag"/>
              <w:rPr>
                <w:szCs w:val="19"/>
              </w:rPr>
            </w:pPr>
            <w:r>
              <w:t>1. más fényszórókkal vagy lámpákkal egybeépített;</w:t>
            </w:r>
          </w:p>
          <w:p w14:paraId="30FA00B0" w14:textId="77777777" w:rsidR="00F808A7" w:rsidRPr="00254CD4" w:rsidRDefault="00F808A7" w:rsidP="00FC02EB">
            <w:pPr>
              <w:pStyle w:val="Styckemedindrag"/>
              <w:rPr>
                <w:szCs w:val="19"/>
              </w:rPr>
            </w:pPr>
            <w:r>
              <w:t>2. más fényszórókkal vagy lámpákkal kombinált; és</w:t>
            </w:r>
          </w:p>
          <w:p w14:paraId="01F91BE2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3. más fényszórókkal vagy lámpákkal kölcsönösen egymásba épített.</w:t>
            </w:r>
          </w:p>
        </w:tc>
      </w:tr>
      <w:tr w:rsidR="00F808A7" w:rsidRPr="00802803" w14:paraId="4C5F4E08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4CAC0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lastRenderedPageBreak/>
              <w:t>U3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2EA96" w14:textId="77777777" w:rsidR="00F808A7" w:rsidRPr="00802803" w:rsidRDefault="00F808A7" w:rsidP="00FC02EB">
            <w:pPr>
              <w:pStyle w:val="Stycke"/>
            </w:pPr>
            <w:r>
              <w:t>Az autóbuszok az utasajtók közvetlen közelében rendelkezhetnek az utasajtókon kívüli terület megvilágítására szolgáló lámpákkal, úgynevezett leszállást segítő lámpákkal.</w:t>
            </w:r>
          </w:p>
          <w:p w14:paraId="762E573B" w14:textId="77777777" w:rsidR="00F808A7" w:rsidRPr="00802803" w:rsidRDefault="00F808A7" w:rsidP="00FC02EB">
            <w:pPr>
              <w:pStyle w:val="Styckemedindrag"/>
            </w:pPr>
            <w:r>
              <w:t>A leszállást segítő lámpát legalább 2000 mm magasan kell elhelyezni.</w:t>
            </w:r>
          </w:p>
          <w:p w14:paraId="6AD55676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A leszállást segítő lámpa legfeljebb 50 mm-rel nyúlhat túl a felépítmény legnagyobb szélességén.</w:t>
            </w:r>
          </w:p>
          <w:p w14:paraId="1562D997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A leszállást segítő lámpát úgy kell beállítani és árnyékolni, hogy az ne bocsásson ki olyan fényt, amely a lámpától számított 10 méter sugarú körön kívül a közlekedés többi résztvevőjét elvakíthatja.</w:t>
            </w:r>
          </w:p>
          <w:p w14:paraId="0C423EEA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A lámpát úgy kell felszerelni, hogy normál vezetés során ne rezegjen és ne mozduljon el.</w:t>
            </w:r>
          </w:p>
          <w:p w14:paraId="64744E4E" w14:textId="77777777" w:rsidR="00F808A7" w:rsidRDefault="00F808A7" w:rsidP="00FC02EB">
            <w:pPr>
              <w:pStyle w:val="Styckemedindrag"/>
            </w:pPr>
            <w:r>
              <w:t>A leszállást segítő lámpa nem lehet:</w:t>
            </w:r>
          </w:p>
          <w:p w14:paraId="5CECE21F" w14:textId="77777777" w:rsidR="00F808A7" w:rsidRPr="00DC4B0A" w:rsidRDefault="00F808A7" w:rsidP="00FC02EB">
            <w:pPr>
              <w:pStyle w:val="Styckemedindrag"/>
              <w:rPr>
                <w:szCs w:val="19"/>
              </w:rPr>
            </w:pPr>
            <w:r>
              <w:t>1. más fényszórókkal vagy lámpákkal egybeépített;</w:t>
            </w:r>
          </w:p>
          <w:p w14:paraId="06ABACA9" w14:textId="77777777" w:rsidR="00F808A7" w:rsidRPr="00DC4B0A" w:rsidRDefault="00F808A7" w:rsidP="00FC02EB">
            <w:pPr>
              <w:pStyle w:val="Styckemedindrag"/>
              <w:rPr>
                <w:szCs w:val="19"/>
              </w:rPr>
            </w:pPr>
            <w:r>
              <w:t>2. más fényszórókkal vagy lámpákkal kombinált; és</w:t>
            </w:r>
          </w:p>
          <w:p w14:paraId="030B8A5E" w14:textId="77777777" w:rsidR="00F808A7" w:rsidRPr="00121825" w:rsidRDefault="00F808A7" w:rsidP="00FC02EB">
            <w:pPr>
              <w:pStyle w:val="Styckemedindrag"/>
              <w:rPr>
                <w:szCs w:val="19"/>
              </w:rPr>
            </w:pPr>
            <w:r>
              <w:t>3. más fényszórókkal vagy lámpákkal kölcsönösen egymásba épített.</w:t>
            </w:r>
          </w:p>
          <w:p w14:paraId="6CC7E9C0" w14:textId="77777777" w:rsidR="00F808A7" w:rsidRPr="00802803" w:rsidRDefault="00F808A7" w:rsidP="00FC02EB">
            <w:pPr>
              <w:pStyle w:val="Styckemedindrag"/>
            </w:pPr>
            <w:r>
              <w:t>A leszállást segítő lámpát úgy kell csatlakoztatni a jármű elektromos rendszeréhez, hogy az csak akkor kapcsolhasson be, ha az utasajtók kinyílnak, és ne kapcsolhasson be, ha a jármű elérte az 5 km/h vagy annál nagyobb sebességet.</w:t>
            </w:r>
          </w:p>
        </w:tc>
      </w:tr>
      <w:tr w:rsidR="00F808A7" w:rsidRPr="00802803" w14:paraId="3C1500AF" w14:textId="77777777" w:rsidTr="008E231F">
        <w:trPr>
          <w:cantSplit/>
          <w:trHeight w:val="52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F416D3B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U4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878F5" w14:textId="77777777" w:rsidR="00F808A7" w:rsidRPr="00802803" w:rsidRDefault="00F808A7" w:rsidP="00FC02EB">
            <w:pPr>
              <w:pStyle w:val="Stycke"/>
            </w:pPr>
            <w:r>
              <w:t>Azok a járművek, amelyek használatuk miatt a tompított fényszórók elrejtésére szolgáló berendezéssel vannak felszerelve, négy tompított fényszóróval szerelhetők fel. Ennek feltétele, hogy a fényszórók úgy legyenek csatlakoztatva, hogy mindkét pár ne világíthasson egyszerre.</w:t>
            </w:r>
          </w:p>
        </w:tc>
      </w:tr>
      <w:tr w:rsidR="00F808A7" w:rsidRPr="00802803" w14:paraId="6CBFDB22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7FD76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U5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36112" w14:textId="77777777" w:rsidR="00F808A7" w:rsidRPr="00802803" w:rsidRDefault="00F808A7" w:rsidP="00FC02EB">
            <w:pPr>
              <w:pStyle w:val="Stycke"/>
            </w:pPr>
            <w:r>
              <w:t>A taxiként használt gépkocsikat fel lehet szerelni egy előre zöld fényt kibocsátó lámpával (amely azt hivatott jelezni, hogy a taxi szabad).</w:t>
            </w:r>
          </w:p>
        </w:tc>
      </w:tr>
      <w:tr w:rsidR="00F808A7" w:rsidRPr="00802803" w14:paraId="5FDC126B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6A143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U6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54F33" w14:textId="77777777" w:rsidR="00F808A7" w:rsidRPr="00121825" w:rsidRDefault="00F808A7" w:rsidP="00FC02EB">
            <w:pPr>
              <w:pStyle w:val="Stycke"/>
            </w:pPr>
            <w:r>
              <w:t>A rendőrségi járműveket a közúti jelzésekről szóló rendelet (2007:90) 7. fejezetének 2. §-a értelmében fel lehet szerelni a P11 rendőri jelzéshez – kötelező félrehúzódni és a rendőrségi jármű előtt megállni – használt lámpákkal, amelyek kék és piros fényt mutatnak.</w:t>
            </w:r>
          </w:p>
        </w:tc>
      </w:tr>
      <w:tr w:rsidR="00F808A7" w:rsidRPr="00802803" w14:paraId="02683EB3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B8A3C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U7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2E0D5" w14:textId="77777777" w:rsidR="00F808A7" w:rsidRPr="00802803" w:rsidRDefault="00F808A7" w:rsidP="00FC02EB">
            <w:pPr>
              <w:pStyle w:val="Stycke"/>
            </w:pPr>
            <w:r>
              <w:t>A sürgősségi járművön lévő kiegészítő fényvisszaverők hátrafelé fehér fényt jeleníthetnek meg.</w:t>
            </w:r>
          </w:p>
        </w:tc>
      </w:tr>
      <w:tr w:rsidR="00F808A7" w:rsidRPr="00802803" w14:paraId="5C12BB9A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9FB1E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U8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3A08A" w14:textId="77777777" w:rsidR="00F808A7" w:rsidRPr="00802803" w:rsidRDefault="00F808A7" w:rsidP="00FC02EB">
            <w:pPr>
              <w:pStyle w:val="Stycke"/>
            </w:pPr>
            <w:r>
              <w:t>Az N</w:t>
            </w:r>
            <w:r>
              <w:rPr>
                <w:vertAlign w:val="subscript"/>
              </w:rPr>
              <w:t xml:space="preserve">2 </w:t>
            </w:r>
            <w:r>
              <w:t>és N</w:t>
            </w:r>
            <w:r>
              <w:rPr>
                <w:vertAlign w:val="subscript"/>
              </w:rPr>
              <w:t>3</w:t>
            </w:r>
            <w:r>
              <w:t xml:space="preserve"> kategóriájú tehergépkocsikat és az O</w:t>
            </w:r>
            <w:r>
              <w:rPr>
                <w:vertAlign w:val="subscript"/>
              </w:rPr>
              <w:t>3</w:t>
            </w:r>
            <w:r>
              <w:t xml:space="preserve"> és O</w:t>
            </w:r>
            <w:r>
              <w:rPr>
                <w:vertAlign w:val="subscript"/>
              </w:rPr>
              <w:t>4</w:t>
            </w:r>
            <w:r>
              <w:t xml:space="preserve"> kategóriájú pótkocsikat el lehet látni a nehéz vagy hosszú járművekre utaló jelzésekkel. A jelzéseknek rendelkezniük kell típusjóváhagyással és a 70. sz. ENSZ EGB-előírásnak megfelelően kell felszerelni őket.</w:t>
            </w:r>
          </w:p>
        </w:tc>
      </w:tr>
      <w:tr w:rsidR="00F808A7" w:rsidRPr="00802803" w14:paraId="22608A7B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3EB52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U9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78399" w14:textId="77777777" w:rsidR="00F808A7" w:rsidRPr="00802803" w:rsidRDefault="00F808A7" w:rsidP="00FC02EB">
            <w:pPr>
              <w:pStyle w:val="Stycke"/>
            </w:pPr>
            <w:r>
              <w:t>Az autósiskolák által használt járműveken lévő tanulóvezető-jelzések tekintetében a mentességekre vonatkozó rendelkezéseket a Svéd Közlekedési Hatóság tanulóvezető-jelzésekre, autóvezetés-oktatással kapcsolatos jelzésekre és az autóvezetés-tanulás autósiskolákon belüli felügyeletére vonatkozó rendelkezéseinek (TSFS 2010:81) 6. §-a tartalmazza.</w:t>
            </w:r>
          </w:p>
        </w:tc>
      </w:tr>
      <w:tr w:rsidR="00F808A7" w:rsidRPr="00802803" w14:paraId="306614FA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D5AEF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lastRenderedPageBreak/>
              <w:t>U10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8340" w14:textId="77777777" w:rsidR="00F808A7" w:rsidRPr="00802803" w:rsidRDefault="00F808A7" w:rsidP="00FC02EB">
            <w:pPr>
              <w:pStyle w:val="Stycke"/>
            </w:pPr>
            <w:r>
              <w:t>Az autómentőt fel lehet szerelni oldalanként egy-egy kiegészítő helyzetjelző lámpával, féklámpával és irányjelző lámpával hátul, a jármű vezetőfülkéjének hátsó fala mellett. A lámpák helyzete akkora távolsággal térhet el egymástól, amely ahhoz szükséges, hogy a jármű jól látható hátsó világítással rendelkezzen a mentési munka során.</w:t>
            </w:r>
          </w:p>
        </w:tc>
      </w:tr>
      <w:tr w:rsidR="00F808A7" w:rsidRPr="00802803" w14:paraId="74B83EEC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F95C8" w14:textId="77777777" w:rsidR="00F808A7" w:rsidRPr="00254CD4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U11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20721" w14:textId="77777777" w:rsidR="00F808A7" w:rsidRPr="00DC4B0A" w:rsidRDefault="00F808A7" w:rsidP="00FC02EB">
            <w:pPr>
              <w:pStyle w:val="Styckemedindrag"/>
              <w:ind w:firstLine="0"/>
              <w:rPr>
                <w:szCs w:val="19"/>
              </w:rPr>
            </w:pPr>
            <w:r>
              <w:t>A legfeljebb 1,4 méter magas pótkocsit nem kell méretjelző lámpákkal felszerelni. Ez vonatkozik a hátulról a vezetőfülke hátsó faláig számítva legfeljebb 1,4 méter magas gépkocsikra is.</w:t>
            </w:r>
          </w:p>
        </w:tc>
      </w:tr>
      <w:tr w:rsidR="00F808A7" w:rsidRPr="00802803" w14:paraId="6E46BD13" w14:textId="77777777" w:rsidTr="008E231F">
        <w:trPr>
          <w:cantSplit/>
          <w:trHeight w:val="18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F5BEB" w14:textId="58057308" w:rsidR="00F808A7" w:rsidRPr="00254CD4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U12</w:t>
            </w:r>
          </w:p>
        </w:tc>
        <w:tc>
          <w:tcPr>
            <w:tcW w:w="45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614C0" w14:textId="3D316848" w:rsidR="00F808A7" w:rsidRPr="00254CD4" w:rsidRDefault="00F808A7" w:rsidP="008846A2">
            <w:pPr>
              <w:pStyle w:val="Styckemedindrag"/>
              <w:ind w:firstLine="0"/>
            </w:pPr>
            <w:r>
              <w:t>A rendőrség sürgősségi járművei felszerelhetők folyamatos világoskék fényt kibocsátó lámpákkal. A fényerősségnek annyira alacsonynak kell lennie, hogy a fényt ne lehessen összetéveszteni a jármű riasztóberendezésének kék fényével. A fény nem lehet vakító vagy szabályozható.</w:t>
            </w:r>
          </w:p>
        </w:tc>
      </w:tr>
    </w:tbl>
    <w:p w14:paraId="1A4D652A" w14:textId="2601CC55" w:rsidR="00E4255A" w:rsidRDefault="00720C96" w:rsidP="004D3B85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B05DD3" wp14:editId="50BCCFE9">
                <wp:simplePos x="0" y="0"/>
                <wp:positionH relativeFrom="column">
                  <wp:posOffset>-68083</wp:posOffset>
                </wp:positionH>
                <wp:positionV relativeFrom="paragraph">
                  <wp:posOffset>-612830</wp:posOffset>
                </wp:positionV>
                <wp:extent cx="0" cy="623404"/>
                <wp:effectExtent l="0" t="0" r="19050" b="24765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40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576C6" id="Rak koppling 4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5pt,-48.25pt" to="-5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" strokecolor="black [3213]" strokeweight=".5pt"/>
            </w:pict>
          </mc:Fallback>
        </mc:AlternateContent>
      </w:r>
      <w:r>
        <w:t>21. Fényvisszaverő eszközök</w:t>
      </w:r>
    </w:p>
    <w:p w14:paraId="1F7F3652" w14:textId="4D4CEFF3" w:rsidR="00B34F67" w:rsidRDefault="002D3A7C" w:rsidP="004D3B85">
      <w:pPr>
        <w:pStyle w:val="Styckemedindrag"/>
      </w:pPr>
      <w:r>
        <w:t>– – – – – – – – – – – – – – – – – – – – – – – – – – – – – – – – – – – – – – – </w:t>
      </w:r>
    </w:p>
    <w:p w14:paraId="6E5397F7" w14:textId="77777777" w:rsidR="00252E79" w:rsidRDefault="00252E79" w:rsidP="00B72887">
      <w:pPr>
        <w:pStyle w:val="Styckemedindrag"/>
      </w:pPr>
    </w:p>
    <w:sectPr w:rsidR="00252E79" w:rsidSect="000B024F"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19B4" w14:textId="77777777" w:rsidR="00D7671B" w:rsidRDefault="00D7671B">
      <w:r>
        <w:separator/>
      </w:r>
    </w:p>
    <w:p w14:paraId="7D15E9CD" w14:textId="77777777" w:rsidR="00D7671B" w:rsidRDefault="00D7671B"/>
  </w:endnote>
  <w:endnote w:type="continuationSeparator" w:id="0">
    <w:p w14:paraId="2F4721FA" w14:textId="77777777" w:rsidR="00D7671B" w:rsidRDefault="00D7671B">
      <w:r>
        <w:continuationSeparator/>
      </w:r>
    </w:p>
    <w:p w14:paraId="56EF50E1" w14:textId="77777777" w:rsidR="00D7671B" w:rsidRDefault="00D7671B"/>
  </w:endnote>
  <w:endnote w:type="continuationNotice" w:id="1">
    <w:p w14:paraId="07F914DE" w14:textId="77777777" w:rsidR="00D7671B" w:rsidRDefault="00D76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CB65" w14:textId="29567234" w:rsidR="00FC02EB" w:rsidRDefault="00FC02EB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52D">
      <w:rPr>
        <w:rStyle w:val="PageNumber"/>
      </w:rPr>
      <w:t>4</w:t>
    </w:r>
    <w:r>
      <w:rPr>
        <w:rStyle w:val="PageNumber"/>
      </w:rPr>
      <w:fldChar w:fldCharType="end"/>
    </w:r>
  </w:p>
  <w:p w14:paraId="6065B9CE" w14:textId="77777777" w:rsidR="00FC02EB" w:rsidRDefault="00FC0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AF2B" w14:textId="53F930E9" w:rsidR="00FC02EB" w:rsidRDefault="00FC02EB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B94F9" w14:textId="234D28FB" w:rsidR="00FC02EB" w:rsidRDefault="00FC02EB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156199">
                            <w:rPr>
                              <w:b w:val="0"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7CEB94F9" w14:textId="234D28FB" w:rsidR="00FC02EB" w:rsidRDefault="00FC02EB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156199">
                      <w:rPr>
                        <w:b w:val="0"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52D">
      <w:rPr>
        <w:rStyle w:val="PageNumber"/>
      </w:rPr>
      <w:t>5</w:t>
    </w:r>
    <w:r>
      <w:rPr>
        <w:rStyle w:val="PageNumber"/>
      </w:rPr>
      <w:fldChar w:fldCharType="end"/>
    </w:r>
  </w:p>
  <w:p w14:paraId="74BEFE54" w14:textId="77777777" w:rsidR="00FC02EB" w:rsidRDefault="00FC02EB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FB65" w14:textId="2EAF5F39" w:rsidR="00FC02EB" w:rsidRDefault="00FC02EB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52D">
      <w:rPr>
        <w:rStyle w:val="PageNumber"/>
      </w:rPr>
      <w:t>1</w:t>
    </w:r>
    <w:r>
      <w:rPr>
        <w:rStyle w:val="PageNumber"/>
      </w:rPr>
      <w:fldChar w:fldCharType="end"/>
    </w:r>
  </w:p>
  <w:p w14:paraId="1C6928E9" w14:textId="77777777" w:rsidR="00FC02EB" w:rsidRDefault="00FC02EB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253F" w14:textId="77777777" w:rsidR="00D7671B" w:rsidRDefault="00D7671B"/>
  </w:footnote>
  <w:footnote w:type="continuationSeparator" w:id="0">
    <w:p w14:paraId="3AE0B80A" w14:textId="77777777" w:rsidR="00D7671B" w:rsidRDefault="00D7671B">
      <w:r>
        <w:continuationSeparator/>
      </w:r>
    </w:p>
    <w:p w14:paraId="5A012808" w14:textId="77777777" w:rsidR="00D7671B" w:rsidRDefault="00D7671B"/>
  </w:footnote>
  <w:footnote w:type="continuationNotice" w:id="1">
    <w:p w14:paraId="61E99BA7" w14:textId="77777777" w:rsidR="00D7671B" w:rsidRDefault="00D7671B"/>
    <w:p w14:paraId="5A05417D" w14:textId="77777777" w:rsidR="00D7671B" w:rsidRDefault="00D7671B"/>
  </w:footnote>
  <w:footnote w:id="2">
    <w:p w14:paraId="33AFF1C7" w14:textId="08DA6A4D" w:rsidR="00A21E13" w:rsidRDefault="00A21E13">
      <w:pPr>
        <w:pStyle w:val="FootnoteText"/>
      </w:pPr>
      <w:r>
        <w:rPr>
          <w:rStyle w:val="FootnoteReference"/>
        </w:rPr>
        <w:footnoteRef/>
      </w:r>
      <w:r>
        <w:t xml:space="preserve"> Lásd a műszaki szabályokkal és az információs társadalom szolgáltatásaira vonatkozó szabályokkal kapcsolatos információszolgáltatási eljárás megállapításáról szóló, 2015. szeptember 9-i (EU) 2015/1535 európai parlamenti</w:t>
      </w:r>
      <w:r>
        <w:rPr>
          <w:i/>
        </w:rPr>
        <w:t xml:space="preserve"> </w:t>
      </w:r>
      <w:r>
        <w:t>és tanácsi irányelvet.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7639" w14:textId="77777777" w:rsidR="00FC02EB" w:rsidRPr="00A41C32" w:rsidRDefault="00156199" w:rsidP="00641EF3">
    <w:pPr>
      <w:pStyle w:val="FSnr-sidhuvud"/>
      <w:ind w:left="3345" w:firstLine="1871"/>
    </w:pPr>
    <w:sdt>
      <w:sdtPr>
        <w:alias w:val="Jogszabálygyűjtemény"/>
        <w:id w:val="-668563778"/>
        <w:text/>
      </w:sdtPr>
      <w:sdtEndPr/>
      <w:sdtContent>
        <w:r w:rsidR="00DA20BB">
          <w:t>TSFS 2016:22</w:t>
        </w:r>
      </w:sdtContent>
    </w:sdt>
  </w:p>
  <w:p w14:paraId="67105ABF" w14:textId="77777777" w:rsidR="00FC02EB" w:rsidRPr="00B766D7" w:rsidRDefault="00FC02EB" w:rsidP="00641EF3">
    <w:pPr>
      <w:pStyle w:val="Bilaga"/>
      <w:ind w:left="3345" w:firstLine="1871"/>
    </w:pPr>
    <w:r>
      <w:t>1. függelék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C37B" w14:textId="77777777" w:rsidR="00FC02EB" w:rsidRPr="00A41C32" w:rsidRDefault="00156199" w:rsidP="00A41C32">
    <w:pPr>
      <w:pStyle w:val="FSnr-sidhuvud"/>
      <w:jc w:val="right"/>
    </w:pPr>
    <w:sdt>
      <w:sdtPr>
        <w:alias w:val="Jogszabálygyűjtemény"/>
        <w:id w:val="1150257239"/>
        <w:text/>
      </w:sdtPr>
      <w:sdtEndPr/>
      <w:sdtContent>
        <w:r w:rsidR="00DA20BB">
          <w:t>TSFS 20</w:t>
        </w:r>
      </w:sdtContent>
    </w:sdt>
    <w:sdt>
      <w:sdtPr>
        <w:alias w:val="Év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DA20BB">
          <w:t>23</w:t>
        </w:r>
      </w:sdtContent>
    </w:sdt>
    <w:r w:rsidR="00DA20BB">
      <w:t>:</w:t>
    </w:r>
    <w:sdt>
      <w:sdtPr>
        <w:alias w:val="Szám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DA20BB">
          <w:t>XX</w:t>
        </w:r>
      </w:sdtContent>
    </w:sdt>
  </w:p>
  <w:p w14:paraId="202919D5" w14:textId="77777777" w:rsidR="00FC02EB" w:rsidRPr="00B766D7" w:rsidRDefault="00FC02EB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2717" w14:textId="77777777" w:rsidR="00FC02EB" w:rsidRDefault="00FC02EB">
    <w:pPr>
      <w:pStyle w:val="Header"/>
    </w:pPr>
  </w:p>
  <w:p w14:paraId="70CB983C" w14:textId="77777777" w:rsidR="00FC02EB" w:rsidRDefault="00FC02EB">
    <w:pPr>
      <w:pStyle w:val="Header"/>
    </w:pPr>
  </w:p>
  <w:p w14:paraId="4D9C31CD" w14:textId="77777777" w:rsidR="00FC02EB" w:rsidRDefault="00FC02EB">
    <w:pPr>
      <w:pStyle w:val="Header"/>
    </w:pPr>
  </w:p>
  <w:p w14:paraId="7C2F76FC" w14:textId="77777777" w:rsidR="00FC02EB" w:rsidRDefault="00FC02EB">
    <w:pPr>
      <w:pStyle w:val="Header"/>
    </w:pPr>
  </w:p>
  <w:p w14:paraId="43F4A8DE" w14:textId="77777777" w:rsidR="00FC02EB" w:rsidRDefault="00FC02EB">
    <w:pPr>
      <w:pStyle w:val="Header"/>
    </w:pPr>
  </w:p>
  <w:p w14:paraId="1BFF284A" w14:textId="77777777" w:rsidR="00FC02EB" w:rsidRDefault="00FC0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926576189">
    <w:abstractNumId w:val="16"/>
  </w:num>
  <w:num w:numId="2" w16cid:durableId="854421123">
    <w:abstractNumId w:val="3"/>
  </w:num>
  <w:num w:numId="3" w16cid:durableId="485560521">
    <w:abstractNumId w:val="2"/>
  </w:num>
  <w:num w:numId="4" w16cid:durableId="862741623">
    <w:abstractNumId w:val="1"/>
  </w:num>
  <w:num w:numId="5" w16cid:durableId="1561398639">
    <w:abstractNumId w:val="0"/>
  </w:num>
  <w:num w:numId="6" w16cid:durableId="674259543">
    <w:abstractNumId w:val="9"/>
  </w:num>
  <w:num w:numId="7" w16cid:durableId="232660320">
    <w:abstractNumId w:val="7"/>
  </w:num>
  <w:num w:numId="8" w16cid:durableId="2021539086">
    <w:abstractNumId w:val="6"/>
  </w:num>
  <w:num w:numId="9" w16cid:durableId="1185023591">
    <w:abstractNumId w:val="5"/>
  </w:num>
  <w:num w:numId="10" w16cid:durableId="1878621943">
    <w:abstractNumId w:val="4"/>
  </w:num>
  <w:num w:numId="11" w16cid:durableId="649863506">
    <w:abstractNumId w:val="19"/>
  </w:num>
  <w:num w:numId="12" w16cid:durableId="144011919">
    <w:abstractNumId w:val="10"/>
  </w:num>
  <w:num w:numId="13" w16cid:durableId="244339259">
    <w:abstractNumId w:val="23"/>
  </w:num>
  <w:num w:numId="14" w16cid:durableId="263808987">
    <w:abstractNumId w:val="20"/>
  </w:num>
  <w:num w:numId="15" w16cid:durableId="1696805466">
    <w:abstractNumId w:val="21"/>
  </w:num>
  <w:num w:numId="16" w16cid:durableId="1610967338">
    <w:abstractNumId w:val="14"/>
  </w:num>
  <w:num w:numId="17" w16cid:durableId="1021200651">
    <w:abstractNumId w:val="25"/>
  </w:num>
  <w:num w:numId="18" w16cid:durableId="1189682179">
    <w:abstractNumId w:val="11"/>
  </w:num>
  <w:num w:numId="19" w16cid:durableId="630093881">
    <w:abstractNumId w:val="22"/>
  </w:num>
  <w:num w:numId="20" w16cid:durableId="261883676">
    <w:abstractNumId w:val="18"/>
  </w:num>
  <w:num w:numId="21" w16cid:durableId="783772629">
    <w:abstractNumId w:val="8"/>
  </w:num>
  <w:num w:numId="22" w16cid:durableId="1411196064">
    <w:abstractNumId w:val="12"/>
  </w:num>
  <w:num w:numId="23" w16cid:durableId="20135226">
    <w:abstractNumId w:val="15"/>
  </w:num>
  <w:num w:numId="24" w16cid:durableId="2102136484">
    <w:abstractNumId w:val="13"/>
  </w:num>
  <w:num w:numId="25" w16cid:durableId="1052316444">
    <w:abstractNumId w:val="17"/>
  </w:num>
  <w:num w:numId="26" w16cid:durableId="1360855885">
    <w:abstractNumId w:val="24"/>
  </w:num>
  <w:num w:numId="27" w16cid:durableId="7041367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095266"/>
    <w:rsid w:val="00001634"/>
    <w:rsid w:val="00002875"/>
    <w:rsid w:val="00004BE3"/>
    <w:rsid w:val="00004EC2"/>
    <w:rsid w:val="00010020"/>
    <w:rsid w:val="00012970"/>
    <w:rsid w:val="00014465"/>
    <w:rsid w:val="00015839"/>
    <w:rsid w:val="000168F6"/>
    <w:rsid w:val="000176F2"/>
    <w:rsid w:val="0002112E"/>
    <w:rsid w:val="00022622"/>
    <w:rsid w:val="00022D34"/>
    <w:rsid w:val="00024FEF"/>
    <w:rsid w:val="00025703"/>
    <w:rsid w:val="00025CF6"/>
    <w:rsid w:val="00025ECD"/>
    <w:rsid w:val="00030685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63117"/>
    <w:rsid w:val="00070A0C"/>
    <w:rsid w:val="00071623"/>
    <w:rsid w:val="0007267C"/>
    <w:rsid w:val="00073C47"/>
    <w:rsid w:val="0007774B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266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B7C"/>
    <w:rsid w:val="000B6C51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DDE"/>
    <w:rsid w:val="00134282"/>
    <w:rsid w:val="00134BFB"/>
    <w:rsid w:val="00135A03"/>
    <w:rsid w:val="00137FB5"/>
    <w:rsid w:val="00140AE8"/>
    <w:rsid w:val="00140FF1"/>
    <w:rsid w:val="00141770"/>
    <w:rsid w:val="00142198"/>
    <w:rsid w:val="00143C25"/>
    <w:rsid w:val="00150758"/>
    <w:rsid w:val="0015085C"/>
    <w:rsid w:val="00152136"/>
    <w:rsid w:val="00156199"/>
    <w:rsid w:val="001625C7"/>
    <w:rsid w:val="00164B5C"/>
    <w:rsid w:val="0016699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052D"/>
    <w:rsid w:val="0019296A"/>
    <w:rsid w:val="0019297B"/>
    <w:rsid w:val="00193151"/>
    <w:rsid w:val="00193EE4"/>
    <w:rsid w:val="001943BB"/>
    <w:rsid w:val="0019505A"/>
    <w:rsid w:val="001955BF"/>
    <w:rsid w:val="001A3941"/>
    <w:rsid w:val="001A57AC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435E"/>
    <w:rsid w:val="0023640B"/>
    <w:rsid w:val="002415C1"/>
    <w:rsid w:val="00244FFC"/>
    <w:rsid w:val="00245B82"/>
    <w:rsid w:val="00245BA2"/>
    <w:rsid w:val="00245BB6"/>
    <w:rsid w:val="002463FE"/>
    <w:rsid w:val="0024789E"/>
    <w:rsid w:val="00247959"/>
    <w:rsid w:val="00247E25"/>
    <w:rsid w:val="0025177C"/>
    <w:rsid w:val="00252E79"/>
    <w:rsid w:val="00253A47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3851"/>
    <w:rsid w:val="002D3A7C"/>
    <w:rsid w:val="002D5613"/>
    <w:rsid w:val="002E10AB"/>
    <w:rsid w:val="002E6ADA"/>
    <w:rsid w:val="002F1E70"/>
    <w:rsid w:val="002F5F97"/>
    <w:rsid w:val="002F74E7"/>
    <w:rsid w:val="002F7782"/>
    <w:rsid w:val="00300E8A"/>
    <w:rsid w:val="00301D8A"/>
    <w:rsid w:val="003039C1"/>
    <w:rsid w:val="00304340"/>
    <w:rsid w:val="0030723E"/>
    <w:rsid w:val="00310085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27DFE"/>
    <w:rsid w:val="00333934"/>
    <w:rsid w:val="00336876"/>
    <w:rsid w:val="00336C95"/>
    <w:rsid w:val="00342A6A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1655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61FE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624E"/>
    <w:rsid w:val="003D7FB8"/>
    <w:rsid w:val="003E1AE7"/>
    <w:rsid w:val="003E1D28"/>
    <w:rsid w:val="003E2E2B"/>
    <w:rsid w:val="003E4A18"/>
    <w:rsid w:val="003E5AAF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26123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62780"/>
    <w:rsid w:val="00465300"/>
    <w:rsid w:val="00465E01"/>
    <w:rsid w:val="004675F5"/>
    <w:rsid w:val="004709C2"/>
    <w:rsid w:val="00472D17"/>
    <w:rsid w:val="00474FC3"/>
    <w:rsid w:val="00476270"/>
    <w:rsid w:val="00476DEF"/>
    <w:rsid w:val="0048061D"/>
    <w:rsid w:val="004816E1"/>
    <w:rsid w:val="0048254A"/>
    <w:rsid w:val="00485C96"/>
    <w:rsid w:val="0048683C"/>
    <w:rsid w:val="0049019E"/>
    <w:rsid w:val="004905D5"/>
    <w:rsid w:val="00490FCD"/>
    <w:rsid w:val="00492D1D"/>
    <w:rsid w:val="004932DC"/>
    <w:rsid w:val="00494A2E"/>
    <w:rsid w:val="00494B46"/>
    <w:rsid w:val="004A0B2E"/>
    <w:rsid w:val="004A1CA1"/>
    <w:rsid w:val="004A2F73"/>
    <w:rsid w:val="004A6DFF"/>
    <w:rsid w:val="004B5308"/>
    <w:rsid w:val="004B708D"/>
    <w:rsid w:val="004C04AE"/>
    <w:rsid w:val="004C5A44"/>
    <w:rsid w:val="004C7497"/>
    <w:rsid w:val="004D17BC"/>
    <w:rsid w:val="004D390C"/>
    <w:rsid w:val="004D3B30"/>
    <w:rsid w:val="004D3B85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14BE"/>
    <w:rsid w:val="0051211C"/>
    <w:rsid w:val="00513670"/>
    <w:rsid w:val="00513F9F"/>
    <w:rsid w:val="00514A52"/>
    <w:rsid w:val="00520620"/>
    <w:rsid w:val="00523DAE"/>
    <w:rsid w:val="00527F3E"/>
    <w:rsid w:val="00530674"/>
    <w:rsid w:val="00530C18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3A5E"/>
    <w:rsid w:val="005E5331"/>
    <w:rsid w:val="005F0EF8"/>
    <w:rsid w:val="005F3778"/>
    <w:rsid w:val="005F763A"/>
    <w:rsid w:val="00601972"/>
    <w:rsid w:val="0060275A"/>
    <w:rsid w:val="00602BC9"/>
    <w:rsid w:val="00602C6F"/>
    <w:rsid w:val="00605337"/>
    <w:rsid w:val="00606040"/>
    <w:rsid w:val="006076B8"/>
    <w:rsid w:val="00611893"/>
    <w:rsid w:val="0061521E"/>
    <w:rsid w:val="00615CD2"/>
    <w:rsid w:val="0061670C"/>
    <w:rsid w:val="00620905"/>
    <w:rsid w:val="006210D9"/>
    <w:rsid w:val="006243AA"/>
    <w:rsid w:val="006275CF"/>
    <w:rsid w:val="006332BE"/>
    <w:rsid w:val="00634C49"/>
    <w:rsid w:val="00635709"/>
    <w:rsid w:val="00637BD6"/>
    <w:rsid w:val="00640846"/>
    <w:rsid w:val="00641EF3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0813"/>
    <w:rsid w:val="00691501"/>
    <w:rsid w:val="00693947"/>
    <w:rsid w:val="006960B3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4CB"/>
    <w:rsid w:val="006D0D5E"/>
    <w:rsid w:val="006D0DD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13CE3"/>
    <w:rsid w:val="00720C96"/>
    <w:rsid w:val="00721846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44FB"/>
    <w:rsid w:val="0077551F"/>
    <w:rsid w:val="00776CC0"/>
    <w:rsid w:val="00776CC5"/>
    <w:rsid w:val="00780B9F"/>
    <w:rsid w:val="00781491"/>
    <w:rsid w:val="0078220F"/>
    <w:rsid w:val="007903D1"/>
    <w:rsid w:val="0079067C"/>
    <w:rsid w:val="00791B50"/>
    <w:rsid w:val="00793813"/>
    <w:rsid w:val="007951A8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C7D60"/>
    <w:rsid w:val="007D0225"/>
    <w:rsid w:val="007D5790"/>
    <w:rsid w:val="007D5B67"/>
    <w:rsid w:val="007D6DDF"/>
    <w:rsid w:val="007E0EC5"/>
    <w:rsid w:val="007E2509"/>
    <w:rsid w:val="007E2F3F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6252"/>
    <w:rsid w:val="00807A7A"/>
    <w:rsid w:val="00810D2F"/>
    <w:rsid w:val="00812923"/>
    <w:rsid w:val="0081334F"/>
    <w:rsid w:val="00814E2C"/>
    <w:rsid w:val="008159AB"/>
    <w:rsid w:val="00816CEB"/>
    <w:rsid w:val="00820454"/>
    <w:rsid w:val="008235B6"/>
    <w:rsid w:val="0082471E"/>
    <w:rsid w:val="00825C34"/>
    <w:rsid w:val="00827D04"/>
    <w:rsid w:val="0083049C"/>
    <w:rsid w:val="008311F0"/>
    <w:rsid w:val="00834BEE"/>
    <w:rsid w:val="00841E07"/>
    <w:rsid w:val="008421D7"/>
    <w:rsid w:val="0084531E"/>
    <w:rsid w:val="00846652"/>
    <w:rsid w:val="00850A40"/>
    <w:rsid w:val="008546B8"/>
    <w:rsid w:val="00855229"/>
    <w:rsid w:val="00855471"/>
    <w:rsid w:val="00855645"/>
    <w:rsid w:val="008569CD"/>
    <w:rsid w:val="00857B99"/>
    <w:rsid w:val="00857BBC"/>
    <w:rsid w:val="00860EA6"/>
    <w:rsid w:val="008618A8"/>
    <w:rsid w:val="00862B03"/>
    <w:rsid w:val="00863A3A"/>
    <w:rsid w:val="00863B68"/>
    <w:rsid w:val="00863F7C"/>
    <w:rsid w:val="008654A6"/>
    <w:rsid w:val="00866DC5"/>
    <w:rsid w:val="00870FD0"/>
    <w:rsid w:val="00872A0E"/>
    <w:rsid w:val="00872B3D"/>
    <w:rsid w:val="00873318"/>
    <w:rsid w:val="00874539"/>
    <w:rsid w:val="008773FC"/>
    <w:rsid w:val="00882592"/>
    <w:rsid w:val="008846A2"/>
    <w:rsid w:val="00885D5E"/>
    <w:rsid w:val="00887B0C"/>
    <w:rsid w:val="00890565"/>
    <w:rsid w:val="0089094A"/>
    <w:rsid w:val="00890BE1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E231F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0F26"/>
    <w:rsid w:val="00952069"/>
    <w:rsid w:val="009553B8"/>
    <w:rsid w:val="00956840"/>
    <w:rsid w:val="00956CDA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6166"/>
    <w:rsid w:val="009A767C"/>
    <w:rsid w:val="009B4572"/>
    <w:rsid w:val="009B603D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2021"/>
    <w:rsid w:val="009E4DE7"/>
    <w:rsid w:val="009E5018"/>
    <w:rsid w:val="009E6B31"/>
    <w:rsid w:val="009F1FF9"/>
    <w:rsid w:val="009F2ACC"/>
    <w:rsid w:val="009F2E86"/>
    <w:rsid w:val="009F537B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1E1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36F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37F3"/>
    <w:rsid w:val="00B16512"/>
    <w:rsid w:val="00B20773"/>
    <w:rsid w:val="00B23D5A"/>
    <w:rsid w:val="00B2426F"/>
    <w:rsid w:val="00B31AE2"/>
    <w:rsid w:val="00B3355E"/>
    <w:rsid w:val="00B33B3D"/>
    <w:rsid w:val="00B33C0F"/>
    <w:rsid w:val="00B34F67"/>
    <w:rsid w:val="00B35CC4"/>
    <w:rsid w:val="00B36A67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065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5FA3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1B1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0949"/>
    <w:rsid w:val="00D14B00"/>
    <w:rsid w:val="00D159FD"/>
    <w:rsid w:val="00D16FDC"/>
    <w:rsid w:val="00D20E57"/>
    <w:rsid w:val="00D21EA4"/>
    <w:rsid w:val="00D21FAC"/>
    <w:rsid w:val="00D2217D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02D0"/>
    <w:rsid w:val="00D4257C"/>
    <w:rsid w:val="00D431A9"/>
    <w:rsid w:val="00D43450"/>
    <w:rsid w:val="00D4589D"/>
    <w:rsid w:val="00D4631E"/>
    <w:rsid w:val="00D4683B"/>
    <w:rsid w:val="00D471A5"/>
    <w:rsid w:val="00D473C2"/>
    <w:rsid w:val="00D5659D"/>
    <w:rsid w:val="00D56EDB"/>
    <w:rsid w:val="00D60179"/>
    <w:rsid w:val="00D60CD1"/>
    <w:rsid w:val="00D6137B"/>
    <w:rsid w:val="00D61C37"/>
    <w:rsid w:val="00D62A8A"/>
    <w:rsid w:val="00D67B29"/>
    <w:rsid w:val="00D67D47"/>
    <w:rsid w:val="00D73345"/>
    <w:rsid w:val="00D741B5"/>
    <w:rsid w:val="00D7550F"/>
    <w:rsid w:val="00D7671B"/>
    <w:rsid w:val="00D76971"/>
    <w:rsid w:val="00D77125"/>
    <w:rsid w:val="00D77675"/>
    <w:rsid w:val="00D77924"/>
    <w:rsid w:val="00D80B5C"/>
    <w:rsid w:val="00D81004"/>
    <w:rsid w:val="00D82BB2"/>
    <w:rsid w:val="00D87FB0"/>
    <w:rsid w:val="00D92CAB"/>
    <w:rsid w:val="00D9574F"/>
    <w:rsid w:val="00D96588"/>
    <w:rsid w:val="00D97804"/>
    <w:rsid w:val="00DA1158"/>
    <w:rsid w:val="00DA20BB"/>
    <w:rsid w:val="00DA25D3"/>
    <w:rsid w:val="00DA4C7F"/>
    <w:rsid w:val="00DA54A8"/>
    <w:rsid w:val="00DA626E"/>
    <w:rsid w:val="00DA7A4E"/>
    <w:rsid w:val="00DB061D"/>
    <w:rsid w:val="00DB199E"/>
    <w:rsid w:val="00DB1AC5"/>
    <w:rsid w:val="00DB353B"/>
    <w:rsid w:val="00DB397D"/>
    <w:rsid w:val="00DB53C8"/>
    <w:rsid w:val="00DB78D1"/>
    <w:rsid w:val="00DC139E"/>
    <w:rsid w:val="00DC1A10"/>
    <w:rsid w:val="00DC370E"/>
    <w:rsid w:val="00DC5B63"/>
    <w:rsid w:val="00DC6E80"/>
    <w:rsid w:val="00DD0065"/>
    <w:rsid w:val="00DD17FD"/>
    <w:rsid w:val="00DD2493"/>
    <w:rsid w:val="00DD69F9"/>
    <w:rsid w:val="00DD7491"/>
    <w:rsid w:val="00DD7F50"/>
    <w:rsid w:val="00DE0A90"/>
    <w:rsid w:val="00DE0EFC"/>
    <w:rsid w:val="00DE213C"/>
    <w:rsid w:val="00DE2B7C"/>
    <w:rsid w:val="00DE3188"/>
    <w:rsid w:val="00DF230E"/>
    <w:rsid w:val="00DF49E8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1548"/>
    <w:rsid w:val="00E2495F"/>
    <w:rsid w:val="00E24FE2"/>
    <w:rsid w:val="00E25916"/>
    <w:rsid w:val="00E25F53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255A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280D"/>
    <w:rsid w:val="00EA3B1D"/>
    <w:rsid w:val="00EA4372"/>
    <w:rsid w:val="00EA4949"/>
    <w:rsid w:val="00EA527D"/>
    <w:rsid w:val="00EA7878"/>
    <w:rsid w:val="00EB20E5"/>
    <w:rsid w:val="00EB420F"/>
    <w:rsid w:val="00EB7F3B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0F3B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0FD"/>
    <w:rsid w:val="00F66C4F"/>
    <w:rsid w:val="00F70C7A"/>
    <w:rsid w:val="00F723D9"/>
    <w:rsid w:val="00F747E8"/>
    <w:rsid w:val="00F76EFF"/>
    <w:rsid w:val="00F76F55"/>
    <w:rsid w:val="00F80181"/>
    <w:rsid w:val="00F808A7"/>
    <w:rsid w:val="00F85DA0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02EB"/>
    <w:rsid w:val="00FC2186"/>
    <w:rsid w:val="00FC3427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83720"/>
  <w15:docId w15:val="{321CD2FB-60AB-48C5-9952-13A013C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9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14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14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9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10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9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hu-HU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hu-HU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styleId="Revision">
    <w:name w:val="Revision"/>
    <w:hidden/>
    <w:uiPriority w:val="99"/>
    <w:semiHidden/>
    <w:rsid w:val="00F85DA0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smallar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34B498335E4FF69B2409C76F310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19C91-BA45-4AB4-8BC7-937BAF102426}"/>
      </w:docPartPr>
      <w:docPartBody>
        <w:p w:rsidR="00F56327" w:rsidRDefault="00A87F5D">
          <w:r>
            <w:rPr>
              <w:rStyle w:val="PlaceholderText"/>
            </w:rPr>
            <w:t>[Válassza ki a dátumot]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5D"/>
    <w:rsid w:val="002A5329"/>
    <w:rsid w:val="003B2B26"/>
    <w:rsid w:val="0053000D"/>
    <w:rsid w:val="00623BCD"/>
    <w:rsid w:val="007153C7"/>
    <w:rsid w:val="00993237"/>
    <w:rsid w:val="00A87F5D"/>
    <w:rsid w:val="00B51E1F"/>
    <w:rsid w:val="00F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a2fe8-6503-4f69-a95e-54a0beef9ddd">
      <Value>4</Value>
      <Value>1</Value>
      <Value>7</Value>
    </TaxCatchAll>
    <TaxKeywordTaxHTField xmlns="d75a2fe8-6503-4f69-a95e-54a0beef9ddd">
      <Terms xmlns="http://schemas.microsoft.com/office/infopath/2007/PartnerControls"/>
    </TaxKeywordTaxHTField>
    <i54c14be9fac4ceaa7318aa49979445b xmlns="d75a2fe8-6503-4f69-a95e-54a0beef9ddd">Föreskriftsförslag|1548000a-ed43-4b2b-9855-bb61466a1547</i54c14be9fac4ceaa7318aa49979445b>
    <VersionField xmlns="d75a2fe8-6503-4f69-a95e-54a0beef9ddd">0.1</VersionField>
    <_dlc_DocId xmlns="d75a2fe8-6503-4f69-a95e-54a0beef9ddd">FQ3EUK5XKZPT-515248260-37</_dlc_DocId>
    <_dlc_DocIdUrl xmlns="d75a2fe8-6503-4f69-a95e-54a0beef9ddd">
      <Url>https://transporten.tsnet.se/sites/foreskriftsarbete-identifieringsljus/_layouts/15/DocIdRedir.aspx?ID=FQ3EUK5XKZPT-515248260-37</Url>
      <Description>FQ3EUK5XKZPT-515248260-37</Description>
    </_dlc_DocIdUrl>
    <o74594b9140944e2b54b90d7ff362034 xmlns="d75a2fe8-6503-4f69-a95e-54a0beef9d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d75a2fe8-6503-4f69-a95e-54a0beef9d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d75a2fe8-6503-4f69-a95e-54a0beef9ddd">0 - Öppen information</AccessRestrictionField>
    <ReferenceIdField xmlns="d75a2fe8-6503-4f69-a95e-54a0beef9ddd" xsi:nil="true"/>
    <jc3eb26ae9be406a98ae6cce966cb36d xmlns="d75a2fe8-6503-4f69-a95e-54a0beef9d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666F6781B736B45818AD67D9FA3EFDB" ma:contentTypeVersion="4" ma:contentTypeDescription="Innehållstyp som används för föreskriftsdokumentation." ma:contentTypeScope="" ma:versionID="49d1fe7523a25faf8479bf57934d901f">
  <xsd:schema xmlns:xsd="http://www.w3.org/2001/XMLSchema" xmlns:xs="http://www.w3.org/2001/XMLSchema" xmlns:p="http://schemas.microsoft.com/office/2006/metadata/properties" xmlns:ns2="d75a2fe8-6503-4f69-a95e-54a0beef9ddd" targetNamespace="http://schemas.microsoft.com/office/2006/metadata/properties" ma:root="true" ma:fieldsID="f0f13175f2bee7dfc258725b39f55900" ns2:_="">
    <xsd:import namespace="d75a2fe8-6503-4f69-a95e-54a0beef9d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2fe8-6503-4f69-a95e-54a0beef9d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18fe7a86-e6eb-41d7-a6c7-f509c1cf7e2f}" ma:internalName="TaxCatchAll" ma:showField="CatchAllData" ma:web="d75a2fe8-6503-4f69-a95e-54a0beef9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18fe7a86-e6eb-41d7-a6c7-f509c1cf7e2f}" ma:internalName="TaxCatchAllLabel" ma:readOnly="true" ma:showField="CatchAllDataLabel" ma:web="d75a2fe8-6503-4f69-a95e-54a0beef9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root xmlns="consensis-fs">
  <fs-fields>
    <fs-no-prefix/>
    <fs-year>23</fs-year>
    <fs-no>XX</fs-no>
    <fs-date/>
    <fs-series>KÖZÚTI KÖZLEKEDÉS</fs-series>
    <fs-subseries/>
    <fs-heading/>
  </fs-fields>
</root>
</file>

<file path=customXml/itemProps1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d75a2fe8-6503-4f69-a95e-54a0beef9ddd"/>
  </ds:schemaRefs>
</ds:datastoreItem>
</file>

<file path=customXml/itemProps2.xml><?xml version="1.0" encoding="utf-8"?>
<ds:datastoreItem xmlns:ds="http://schemas.openxmlformats.org/officeDocument/2006/customXml" ds:itemID="{29A26CBF-49DB-42CB-869A-9ED62029ED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6C5262-51CF-42F0-8781-BC6C8BB3A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7EB10-9A64-4215-A425-A7E495A9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a2fe8-6503-4f69-a95e-54a0beef9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7</TotalTime>
  <Pages>8</Pages>
  <Words>1365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Föreskrifter TSFS 2016_22_identifieringsljus_2022-145</vt:lpstr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Föreskrifter TSFS 2016_22_identifieringsljus_2022-145</dc:title>
  <dc:subject/>
  <dc:creator>Belkow Elena</dc:creator>
  <cp:keywords/>
  <dc:description>TS0011, v2.0, 2022-11-07</dc:description>
  <cp:lastModifiedBy>Liana Brili</cp:lastModifiedBy>
  <cp:revision>6</cp:revision>
  <cp:lastPrinted>2008-12-18T15:33:00Z</cp:lastPrinted>
  <dcterms:created xsi:type="dcterms:W3CDTF">2023-04-19T05:52:00Z</dcterms:created>
  <dcterms:modified xsi:type="dcterms:W3CDTF">2023-04-26T12:28:00Z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0x010100AA089E7B106348E9AA8DCAFF4F9BABF6003666F6781B736B45818AD67D9FA3EFDB</vt:lpwstr>
  </property>
  <property fmtid="{D5CDD505-2E9C-101B-9397-08002B2CF9AE}" pid="7" name="UniForm">
    <vt:lpwstr>UniForm</vt:lpwstr>
  </property>
  <property fmtid="{D5CDD505-2E9C-101B-9397-08002B2CF9AE}" pid="8" name="_dlc_DocIdItemGuid">
    <vt:lpwstr>9973c3e4-fec7-4d10-9cb0-d51202adc451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TaxKeyword">
    <vt:lpwstr/>
  </property>
  <property fmtid="{D5CDD505-2E9C-101B-9397-08002B2CF9AE}" pid="13" name="TsInformationResponsible">
    <vt:lpwstr>1;#Väg och järnväg|aa38f9ea-ef68-4609-9de5-ace9c8c2754e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7;#Föreskriftsförslag|1548000a-ed43-4b2b-9855-bb61466a1547</vt:lpwstr>
  </property>
  <property fmtid="{D5CDD505-2E9C-101B-9397-08002B2CF9AE}" pid="29" name="TsRecordType">
    <vt:lpwstr>7;#Föreskriftsförslag|1548000a-ed43-4b2b-9855-bb61466a1547</vt:lpwstr>
  </property>
  <property fmtid="{D5CDD505-2E9C-101B-9397-08002B2CF9AE}" pid="30" name="o1d83652d8fa403ebb0220341cc000bc">
    <vt:lpwstr/>
  </property>
  <property fmtid="{D5CDD505-2E9C-101B-9397-08002B2CF9AE}" pid="31" name="TsClassification">
    <vt:lpwstr>4;#03.01.01 Ta fram föreskrifter|ea16fb87-9d96-4667-9b7a-20118f8a3684</vt:lpwstr>
  </property>
  <property fmtid="{D5CDD505-2E9C-101B-9397-08002B2CF9AE}" pid="32" name="SharedWithUsers">
    <vt:lpwstr>40;#Skoglund Elsy</vt:lpwstr>
  </property>
  <property fmtid="{D5CDD505-2E9C-101B-9397-08002B2CF9AE}" pid="33" name="ab4de3bb49544f9da1f873313fa4383f">
    <vt:lpwstr/>
  </property>
  <property fmtid="{D5CDD505-2E9C-101B-9397-08002B2CF9AE}" pid="34" name="TsBusinessDevelopmentRecordType">
    <vt:lpwstr/>
  </property>
  <property fmtid="{D5CDD505-2E9C-101B-9397-08002B2CF9AE}" pid="35" name="TsAdministrativeRecordType">
    <vt:lpwstr/>
  </property>
  <property fmtid="{D5CDD505-2E9C-101B-9397-08002B2CF9AE}" pid="36" name="TsTestRecordType">
    <vt:lpwstr/>
  </property>
  <property fmtid="{D5CDD505-2E9C-101B-9397-08002B2CF9AE}" pid="37" name="TsRequirementsRecordType">
    <vt:lpwstr/>
  </property>
  <property fmtid="{D5CDD505-2E9C-101B-9397-08002B2CF9AE}" pid="38" name="TsArchitectureRecordType">
    <vt:lpwstr/>
  </property>
  <property fmtid="{D5CDD505-2E9C-101B-9397-08002B2CF9AE}" pid="39" name="TSProductArea">
    <vt:lpwstr/>
  </property>
  <property fmtid="{D5CDD505-2E9C-101B-9397-08002B2CF9AE}" pid="40" name="TsProjectRecordType">
    <vt:lpwstr/>
  </property>
  <property fmtid="{D5CDD505-2E9C-101B-9397-08002B2CF9AE}" pid="41" name="TsMeetingRecordType">
    <vt:lpwstr/>
  </property>
  <property fmtid="{D5CDD505-2E9C-101B-9397-08002B2CF9AE}" pid="42" name="TsExternalRecordType">
    <vt:lpwstr/>
  </property>
  <property fmtid="{D5CDD505-2E9C-101B-9397-08002B2CF9AE}" pid="43" name="TsEconomyRecordType">
    <vt:lpwstr/>
  </property>
  <property fmtid="{D5CDD505-2E9C-101B-9397-08002B2CF9AE}" pid="44" name="TsInvestmentPropertyRecordType">
    <vt:lpwstr/>
  </property>
  <property fmtid="{D5CDD505-2E9C-101B-9397-08002B2CF9AE}" pid="45" name="TsInvestmentProperty">
    <vt:lpwstr/>
  </property>
  <property fmtid="{D5CDD505-2E9C-101B-9397-08002B2CF9AE}" pid="46" name="TsOperationRecordType">
    <vt:lpwstr/>
  </property>
  <property fmtid="{D5CDD505-2E9C-101B-9397-08002B2CF9AE}" pid="47" name="TsDevelopmentRecordType">
    <vt:lpwstr/>
  </property>
  <property fmtid="{D5CDD505-2E9C-101B-9397-08002B2CF9AE}" pid="48" name="TsProject">
    <vt:lpwstr/>
  </property>
</Properties>
</file>