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3EAE78" w14:textId="776B8299" w:rsidR="0056336D" w:rsidRDefault="0056336D"/>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A0611F" w:rsidRPr="00C16AC7" w14:paraId="779E3D90" w14:textId="77777777" w:rsidTr="00E86B51">
        <w:trPr>
          <w:cantSplit/>
        </w:trPr>
        <w:tc>
          <w:tcPr>
            <w:tcW w:w="3982" w:type="dxa"/>
            <w:gridSpan w:val="3"/>
            <w:shd w:val="clear" w:color="auto" w:fill="auto"/>
          </w:tcPr>
          <w:p w14:paraId="7AD279F9" w14:textId="542C7984" w:rsidR="00A0611F" w:rsidRPr="00C16AC7" w:rsidRDefault="00A0611F" w:rsidP="00E86B51">
            <w:pPr>
              <w:pStyle w:val="SNREPUBLIQUE"/>
            </w:pPr>
            <w:r>
              <w:t xml:space="preserve">REPUBLIKA FRANCUSKA</w:t>
            </w:r>
          </w:p>
        </w:tc>
      </w:tr>
      <w:tr w:rsidR="00A0611F" w:rsidRPr="00C16AC7" w14:paraId="7DEA0AE9" w14:textId="77777777" w:rsidTr="00E86B51">
        <w:trPr>
          <w:cantSplit/>
          <w:trHeight w:hRule="exact" w:val="113"/>
        </w:trPr>
        <w:tc>
          <w:tcPr>
            <w:tcW w:w="1527" w:type="dxa"/>
            <w:shd w:val="clear" w:color="auto" w:fill="auto"/>
          </w:tcPr>
          <w:p w14:paraId="0CACC41D" w14:textId="77777777" w:rsidR="00A0611F" w:rsidRPr="00C16AC7" w:rsidRDefault="00A0611F" w:rsidP="00E86B51">
            <w:pPr>
              <w:snapToGrid w:val="0"/>
              <w:rPr>
                <w:rFonts w:cs="Tahoma"/>
              </w:rPr>
            </w:pPr>
          </w:p>
        </w:tc>
        <w:tc>
          <w:tcPr>
            <w:tcW w:w="968" w:type="dxa"/>
            <w:shd w:val="clear" w:color="auto" w:fill="auto"/>
          </w:tcPr>
          <w:p w14:paraId="5AEC3751" w14:textId="77777777" w:rsidR="00A0611F" w:rsidRPr="00C16AC7" w:rsidRDefault="00A0611F" w:rsidP="00E86B51">
            <w:pPr>
              <w:snapToGrid w:val="0"/>
              <w:rPr>
                <w:rFonts w:cs="Tahoma"/>
              </w:rPr>
            </w:pPr>
          </w:p>
        </w:tc>
        <w:tc>
          <w:tcPr>
            <w:tcW w:w="1487" w:type="dxa"/>
            <w:shd w:val="clear" w:color="auto" w:fill="auto"/>
          </w:tcPr>
          <w:p w14:paraId="331313C4" w14:textId="77777777" w:rsidR="00A0611F" w:rsidRPr="00C16AC7" w:rsidRDefault="00A0611F" w:rsidP="00E86B51">
            <w:pPr>
              <w:snapToGrid w:val="0"/>
              <w:rPr>
                <w:rFonts w:cs="Tahoma"/>
              </w:rPr>
            </w:pPr>
          </w:p>
        </w:tc>
      </w:tr>
      <w:tr w:rsidR="00A0611F" w:rsidRPr="00C16AC7" w14:paraId="7FC91AA2" w14:textId="77777777" w:rsidTr="00E86B51">
        <w:trPr>
          <w:cantSplit/>
        </w:trPr>
        <w:tc>
          <w:tcPr>
            <w:tcW w:w="3982" w:type="dxa"/>
            <w:gridSpan w:val="3"/>
            <w:shd w:val="clear" w:color="auto" w:fill="auto"/>
          </w:tcPr>
          <w:p w14:paraId="16B17C24" w14:textId="77777777" w:rsidR="00A0611F" w:rsidRPr="00C16AC7" w:rsidRDefault="00A0611F" w:rsidP="00E86B51">
            <w:pPr>
              <w:pStyle w:val="SNTimbre"/>
            </w:pPr>
            <w:r>
              <w:t xml:space="preserve">Ministerstwo Transformacji Ekologicznej</w:t>
            </w:r>
          </w:p>
          <w:p w14:paraId="31F42F58" w14:textId="77777777" w:rsidR="00A0611F" w:rsidRPr="00C16AC7" w:rsidRDefault="00A0611F" w:rsidP="00E86B51">
            <w:pPr>
              <w:pStyle w:val="SNTimbre"/>
            </w:pPr>
          </w:p>
        </w:tc>
      </w:tr>
      <w:tr w:rsidR="00A0611F" w:rsidRPr="00C16AC7" w14:paraId="758A20E1" w14:textId="77777777" w:rsidTr="00E86B51">
        <w:trPr>
          <w:cantSplit/>
          <w:trHeight w:hRule="exact" w:val="227"/>
        </w:trPr>
        <w:tc>
          <w:tcPr>
            <w:tcW w:w="1527" w:type="dxa"/>
            <w:shd w:val="clear" w:color="auto" w:fill="auto"/>
          </w:tcPr>
          <w:p w14:paraId="610FA69F" w14:textId="77777777" w:rsidR="00A0611F" w:rsidRPr="00C16AC7" w:rsidRDefault="00A0611F" w:rsidP="00E86B51">
            <w:pPr>
              <w:snapToGrid w:val="0"/>
            </w:pPr>
          </w:p>
        </w:tc>
        <w:tc>
          <w:tcPr>
            <w:tcW w:w="968" w:type="dxa"/>
            <w:shd w:val="clear" w:color="auto" w:fill="auto"/>
          </w:tcPr>
          <w:p w14:paraId="3077FFA6" w14:textId="77777777" w:rsidR="00A0611F" w:rsidRPr="00C16AC7" w:rsidRDefault="00A0611F" w:rsidP="00E86B51">
            <w:pPr>
              <w:snapToGrid w:val="0"/>
            </w:pPr>
          </w:p>
        </w:tc>
        <w:tc>
          <w:tcPr>
            <w:tcW w:w="1487" w:type="dxa"/>
            <w:shd w:val="clear" w:color="auto" w:fill="auto"/>
          </w:tcPr>
          <w:p w14:paraId="06974DA3" w14:textId="77777777" w:rsidR="00A0611F" w:rsidRPr="00C16AC7" w:rsidRDefault="00A0611F" w:rsidP="00E86B51">
            <w:pPr>
              <w:snapToGrid w:val="0"/>
            </w:pPr>
          </w:p>
        </w:tc>
      </w:tr>
      <w:tr w:rsidR="00A0611F" w:rsidRPr="00C16AC7" w14:paraId="25E71669" w14:textId="77777777" w:rsidTr="00E86B51">
        <w:trPr>
          <w:cantSplit/>
          <w:trHeight w:hRule="exact" w:val="227"/>
        </w:trPr>
        <w:tc>
          <w:tcPr>
            <w:tcW w:w="1527" w:type="dxa"/>
            <w:shd w:val="clear" w:color="auto" w:fill="auto"/>
          </w:tcPr>
          <w:p w14:paraId="4F1C608F" w14:textId="77777777" w:rsidR="00A0611F" w:rsidRPr="00C16AC7" w:rsidRDefault="00A0611F" w:rsidP="00E86B51">
            <w:pPr>
              <w:snapToGrid w:val="0"/>
            </w:pPr>
          </w:p>
        </w:tc>
        <w:tc>
          <w:tcPr>
            <w:tcW w:w="968" w:type="dxa"/>
            <w:shd w:val="clear" w:color="auto" w:fill="auto"/>
          </w:tcPr>
          <w:p w14:paraId="0EB11B81" w14:textId="77777777" w:rsidR="00A0611F" w:rsidRPr="00C16AC7" w:rsidRDefault="00A0611F" w:rsidP="00E86B51">
            <w:pPr>
              <w:snapToGrid w:val="0"/>
            </w:pPr>
          </w:p>
        </w:tc>
        <w:tc>
          <w:tcPr>
            <w:tcW w:w="1487" w:type="dxa"/>
            <w:shd w:val="clear" w:color="auto" w:fill="auto"/>
          </w:tcPr>
          <w:p w14:paraId="3B78D744" w14:textId="77777777" w:rsidR="00A0611F" w:rsidRPr="00C16AC7" w:rsidRDefault="00A0611F" w:rsidP="00E86B51">
            <w:pPr>
              <w:snapToGrid w:val="0"/>
            </w:pPr>
          </w:p>
        </w:tc>
      </w:tr>
    </w:tbl>
    <w:p w14:paraId="2D53714B" w14:textId="02565373" w:rsidR="00A0611F" w:rsidRPr="00C16AC7" w:rsidRDefault="00A0611F" w:rsidP="00A0611F">
      <w:pPr>
        <w:pStyle w:val="SNNature"/>
      </w:pPr>
      <w:r>
        <w:t xml:space="preserve">Rozporządzenie nr</w:t>
      </w:r>
      <w:r>
        <w:br/>
      </w:r>
      <w:r>
        <w:t xml:space="preserve">w sprawie informowania konsumentów o właściwościach i cechach środowiskowych produktów generujących odpady</w:t>
      </w:r>
      <w:r>
        <w:t xml:space="preserve">  </w:t>
      </w:r>
    </w:p>
    <w:p w14:paraId="752E1818" w14:textId="77777777" w:rsidR="00A0611F" w:rsidRPr="00C16AC7" w:rsidRDefault="00A0611F" w:rsidP="00A0611F">
      <w:pPr>
        <w:pStyle w:val="SNNORCentr"/>
        <w:rPr>
          <w:i/>
        </w:rPr>
      </w:pPr>
      <w:r>
        <w:t xml:space="preserve">Nr NOR:</w:t>
      </w:r>
      <w:r>
        <w:t xml:space="preserve"> </w:t>
      </w:r>
    </w:p>
    <w:p w14:paraId="045F465C" w14:textId="598F1059" w:rsidR="00A0611F" w:rsidRDefault="00A0611F" w:rsidP="00D51CEF">
      <w:pPr>
        <w:pStyle w:val="SNAutorit"/>
        <w:ind w:firstLine="709"/>
        <w:jc w:val="both"/>
        <w:rPr>
          <w:b w:val="0"/>
          <w:i/>
        </w:rPr>
      </w:pPr>
      <w:r>
        <w:rPr>
          <w:i/>
        </w:rPr>
        <w:t xml:space="preserve"> </w:t>
      </w:r>
      <w:r>
        <w:rPr>
          <w:i/>
        </w:rPr>
        <w:t xml:space="preserve">Zainteresowana społeczność: </w:t>
      </w:r>
      <w:r>
        <w:rPr>
          <w:i/>
          <w:b w:val="0"/>
        </w:rPr>
        <w:t xml:space="preserve">producenci, importerzy, dystrybutorzy lub inne podmioty wprowadzające do obrotu produkty konsumpcyjne generujące odpady, w tym osoby korzystające ze strony internetowej, platformy lub innej sieci dystrybucji w ramach swojej działalności handlowej we Francji, oraz konsumenci takich produktów.</w:t>
      </w:r>
    </w:p>
    <w:p w14:paraId="561AF1CA" w14:textId="77777777" w:rsidR="00A0611F" w:rsidRPr="00C16AC7" w:rsidRDefault="00A0611F" w:rsidP="00A0611F">
      <w:pPr>
        <w:pStyle w:val="SNAutorit"/>
        <w:spacing w:before="120"/>
        <w:jc w:val="both"/>
        <w:rPr>
          <w:i/>
        </w:rPr>
      </w:pPr>
      <w:r>
        <w:rPr>
          <w:i/>
        </w:rPr>
        <w:t xml:space="preserve">Przedmiot: </w:t>
      </w:r>
      <w:r>
        <w:rPr>
          <w:i/>
          <w:b w:val="0"/>
        </w:rPr>
        <w:t xml:space="preserve">wykonanie obowiązku określonego w art. L. 541-9-1 kodeksu ochrony środowiska w odniesieniu do informacji dla konsumentów</w:t>
      </w:r>
      <w:r>
        <w:rPr>
          <w:i/>
        </w:rPr>
        <w:t xml:space="preserve"> </w:t>
      </w:r>
      <w:r>
        <w:rPr>
          <w:i/>
          <w:b w:val="0"/>
        </w:rPr>
        <w:t xml:space="preserve">w sprawie właściwości i cech środowiskowych</w:t>
      </w:r>
      <w:r>
        <w:rPr>
          <w:i/>
        </w:rPr>
        <w:t xml:space="preserve"> </w:t>
      </w:r>
      <w:r>
        <w:rPr>
          <w:i/>
          <w:b w:val="0"/>
        </w:rPr>
        <w:t xml:space="preserve">produktów generujących odpady.</w:t>
      </w:r>
      <w:r>
        <w:rPr>
          <w:i/>
          <w:b w:val="0"/>
        </w:rPr>
        <w:t xml:space="preserve"> </w:t>
      </w:r>
    </w:p>
    <w:p w14:paraId="62BABF54" w14:textId="77777777" w:rsidR="00A0611F" w:rsidRPr="00C16AC7" w:rsidRDefault="00A0611F" w:rsidP="00A0611F">
      <w:pPr>
        <w:pStyle w:val="SNAutorit"/>
        <w:spacing w:before="120"/>
        <w:rPr>
          <w:i/>
        </w:rPr>
      </w:pPr>
      <w:r>
        <w:rPr>
          <w:i/>
        </w:rPr>
        <w:t xml:space="preserve">Wejście w życie: </w:t>
      </w:r>
      <w:r>
        <w:rPr>
          <w:i/>
          <w:b w:val="0"/>
        </w:rPr>
        <w:t xml:space="preserve">tekst wchodzi w życie z dniem 1 stycznia 2022 r.</w:t>
      </w:r>
    </w:p>
    <w:p w14:paraId="314AD767" w14:textId="5FEC2270" w:rsidR="00A0611F" w:rsidRPr="000A37F2" w:rsidRDefault="00A0611F" w:rsidP="00A0611F">
      <w:pPr>
        <w:pStyle w:val="SNAutorit"/>
        <w:spacing w:before="120"/>
        <w:jc w:val="both"/>
        <w:rPr>
          <w:b w:val="0"/>
        </w:rPr>
      </w:pPr>
      <w:r>
        <w:t xml:space="preserve">Uwaga: </w:t>
      </w:r>
      <w:r>
        <w:rPr>
          <w:b w:val="0"/>
        </w:rPr>
        <w:t xml:space="preserve">rozporządzenie określa szczegółowe zasady stosowania art. L. 541-9-1 kodeksu ochrony środowiska, dostarcza konsumentom właściwych informacji od producentów i importerów o właściwościach i cechach środowiskowych produktów generujących odpady – pojęciach zdefiniowanych w tym tekście.</w:t>
      </w:r>
      <w:r>
        <w:rPr>
          <w:b w:val="0"/>
        </w:rPr>
        <w:t xml:space="preserve"> </w:t>
      </w:r>
      <w:r>
        <w:rPr>
          <w:b w:val="0"/>
        </w:rPr>
        <w:t xml:space="preserve">Informacje te są udostępniane w formie elektronicznej oraz, w stosownych przypadkach, zgodnie z określonymi procedurami w zamówieniu, prezentacji, na etykiecie lub innym czytelnym i zrozumiałym środku przekazu w momencie zakupu.</w:t>
      </w:r>
      <w:r>
        <w:rPr>
          <w:b w:val="0"/>
        </w:rPr>
        <w:t xml:space="preserve"> </w:t>
      </w:r>
      <w:r>
        <w:rPr>
          <w:b w:val="0"/>
        </w:rPr>
        <w:t xml:space="preserve">Takie właściwości i cechy środowiskowe obejmują, w zależności od kategorii produktów, zastosowanie materiału pochodzącego z recyklingu, wykorzystanie zasobów odnawialnych, zrównoważony charakter, kompostowalność, naprawialność, możliwość ponownego użycia, zdolność do recyklingu, obecność substancji niebezpiecznych, metali szlachetnych lub metali ziem rzadkich, identyfikowalność i obecność mikrowłókien z tworzyw sztucznych.</w:t>
      </w:r>
      <w:r>
        <w:rPr>
          <w:b w:val="0"/>
        </w:rPr>
        <w:t xml:space="preserve"> </w:t>
      </w:r>
      <w:r>
        <w:rPr>
          <w:b w:val="0"/>
        </w:rPr>
        <w:t xml:space="preserve">Format udostępniania konsumentom danych na temat tych właściwości i cech środowiskowych musi być łatwy do ponownego użycia i nadający się do wykorzystania przez system zautomatyzowanego przetwarzania w formie zagregowanej.</w:t>
      </w:r>
      <w:r>
        <w:rPr>
          <w:b w:val="0"/>
        </w:rPr>
        <w:t xml:space="preserve"> </w:t>
      </w:r>
    </w:p>
    <w:p w14:paraId="1F3654C0" w14:textId="77777777" w:rsidR="00A0611F" w:rsidRPr="00C16AC7" w:rsidRDefault="00A0611F" w:rsidP="00A0611F">
      <w:pPr>
        <w:pStyle w:val="SNAutorit"/>
        <w:spacing w:before="120"/>
        <w:jc w:val="both"/>
      </w:pPr>
      <w:r>
        <w:rPr>
          <w:i/>
        </w:rPr>
        <w:t xml:space="preserve">Odniesienia: </w:t>
      </w:r>
      <w:r>
        <w:rPr>
          <w:i/>
          <w:b w:val="0"/>
        </w:rPr>
        <w:t xml:space="preserve">niniejsze rozporządzenie jest dostępne na stronie internetowej Légifrance (</w:t>
      </w:r>
      <w:hyperlink r:id="rId8">
        <w:r>
          <w:rPr>
            <w:rStyle w:val="LienInternet"/>
            <w:b w:val="0"/>
            <w:i/>
            <w:color w:val="auto"/>
          </w:rPr>
          <w:t xml:space="preserve">http://www.legifrance.gouv.fr</w:t>
        </w:r>
      </w:hyperlink>
      <w:r>
        <w:rPr>
          <w:b w:val="0"/>
          <w:i/>
        </w:rPr>
        <w:t xml:space="preserve">).]</w:t>
      </w:r>
    </w:p>
    <w:p w14:paraId="025E046C" w14:textId="77777777" w:rsidR="00A0611F" w:rsidRPr="00C16AC7" w:rsidRDefault="00A0611F" w:rsidP="00A0611F">
      <w:pPr>
        <w:pStyle w:val="SNAutorit"/>
        <w:spacing w:before="120"/>
        <w:jc w:val="both"/>
      </w:pPr>
      <w:r>
        <w:br w:type="page"/>
      </w:r>
      <w:r>
        <w:t xml:space="preserve">Premier,</w:t>
      </w:r>
    </w:p>
    <w:p w14:paraId="6BDC5F53" w14:textId="77777777" w:rsidR="00A0611F" w:rsidRDefault="00A0611F" w:rsidP="00A0611F">
      <w:pPr>
        <w:pStyle w:val="SNConsultation"/>
      </w:pPr>
      <w:r>
        <w:t xml:space="preserve">w sprawie sprawozdania Ministra ds. Transformacji Ekologicznej oraz Ministra Gospodarki, Finansów i Odbudowy;</w:t>
      </w:r>
    </w:p>
    <w:p w14:paraId="0041E6EC" w14:textId="5BE41CC7" w:rsidR="00A0611F" w:rsidRDefault="00A0611F" w:rsidP="00A0611F">
      <w:pPr>
        <w:pStyle w:val="SNConsultation"/>
      </w:pPr>
      <w:r>
        <w:t xml:space="preserve">uwzględniając rozporządzenie (WE) nr 1907/2006 Parlamentu Europejskiego i Rady z dnia 18 grudnia 2006 r. w sprawie rejestracji, oceny, udzielania zezwoleń i stosowanych ograniczeń w zakresie chemikaliów (REACH) i utworzenia Europejskiej Agencji Chemikaliów, zmieniające dyrektywę 1999/45/WE oraz uchylające rozporządzenie Rady (EWG) nr 793/93 i rozporządzenie Komisji (WE) nr 1488/94, jak również dyrektywę Rady 76/769/EWG i dyrektywy Komisji 91/155/EWG, 93/67/EWG, 93/105/WE i 2000/21/WE;</w:t>
      </w:r>
    </w:p>
    <w:p w14:paraId="5930E205" w14:textId="701290A8" w:rsidR="00A761D3" w:rsidRPr="00C16AC7" w:rsidRDefault="00A761D3" w:rsidP="00A0611F">
      <w:pPr>
        <w:pStyle w:val="SNConsultation"/>
      </w:pPr>
      <w:r>
        <w:t xml:space="preserve">uwzględniając zmienioną dyrektywę 94/62/WE Parlamentu Europejskiego i Rady z dnia 20 grudnia 1994 r. w sprawie opakowań i odpadów opakowaniowych;</w:t>
      </w:r>
    </w:p>
    <w:p w14:paraId="7B44A833" w14:textId="7A5E5858" w:rsidR="00A0611F" w:rsidRPr="00C16AC7" w:rsidRDefault="00A0611F" w:rsidP="00A0611F">
      <w:pPr>
        <w:pStyle w:val="SNConsultation"/>
      </w:pPr>
      <w:r>
        <w:t xml:space="preserve">uwzględniając dyrektywę Parlamentu Europejskiego i Rady (UE) 2018/851 z dnia 30 maja 2018 r. zmieniającą dyrektywę 2008/98/WE w sprawie odpadów;</w:t>
      </w:r>
    </w:p>
    <w:p w14:paraId="13F59CC6" w14:textId="3A902BF1" w:rsidR="00A0611F" w:rsidRDefault="00A0611F" w:rsidP="00A0611F">
      <w:pPr>
        <w:pStyle w:val="SNConsultation"/>
      </w:pPr>
      <w:r>
        <w:t xml:space="preserve">uwzględniając dyrektywę Parlamentu Europejskiego i Rady (UE) 2015/1535 z dnia 9 września 2015 r. ustanawiającą procedurę udzielania informacji w dziedzinie przepisów technicznych oraz zasad dotyczących usług społeczeństwa informacyjnego;</w:t>
      </w:r>
    </w:p>
    <w:p w14:paraId="47F284B5" w14:textId="5839C8F9" w:rsidR="008B2B99" w:rsidRDefault="008B2B99" w:rsidP="00A0611F">
      <w:pPr>
        <w:pStyle w:val="SNConsultation"/>
      </w:pPr>
      <w:r>
        <w:t xml:space="preserve">uwzględniając kodeks konsumencki, w szczególności jego artykuł wprowadzający;</w:t>
      </w:r>
    </w:p>
    <w:p w14:paraId="508C1D8A" w14:textId="512931AA" w:rsidR="00A0611F" w:rsidRPr="00C16AC7" w:rsidRDefault="00A0611F" w:rsidP="00A0611F">
      <w:pPr>
        <w:pStyle w:val="SNConsultation"/>
      </w:pPr>
      <w:r>
        <w:t xml:space="preserve">uwzględniając kodeks budowlany i mieszkaniowy, w szczególności jego art. L. 111-9-2;</w:t>
      </w:r>
    </w:p>
    <w:p w14:paraId="2A560728" w14:textId="77777777" w:rsidR="00A0611F" w:rsidRDefault="00A0611F" w:rsidP="00A0611F">
      <w:pPr>
        <w:pStyle w:val="SNConsultation"/>
      </w:pPr>
      <w:r>
        <w:t xml:space="preserve">uwzględniając kodeks ochrony środowiska;</w:t>
      </w:r>
    </w:p>
    <w:p w14:paraId="415D6312" w14:textId="385EEBF1" w:rsidR="00A0611F" w:rsidRDefault="00A0611F" w:rsidP="00A0611F">
      <w:pPr>
        <w:pStyle w:val="SNConsultation"/>
      </w:pPr>
      <w:r>
        <w:t xml:space="preserve">uwzględniając opinię z [X] wydaną przez Radę Gubernatorów Budownictwa i Efektywności Energetycznej;</w:t>
      </w:r>
    </w:p>
    <w:p w14:paraId="36AE85B4" w14:textId="77777777" w:rsidR="00A0611F" w:rsidRPr="00C16AC7" w:rsidRDefault="00A0611F" w:rsidP="00A0611F">
      <w:pPr>
        <w:pStyle w:val="SNConsultation"/>
      </w:pPr>
      <w:r>
        <w:t xml:space="preserve">uwzględniając uwagi poczynione podczas konsultacji społecznych przeprowadzonych między XX a XX, zgodnie z art. L123-19-1 kodeksu ochrony środowiska;</w:t>
      </w:r>
    </w:p>
    <w:p w14:paraId="604C0DE6" w14:textId="43974623" w:rsidR="00A0611F" w:rsidRPr="00C16AC7" w:rsidRDefault="00A0611F" w:rsidP="00A0611F">
      <w:pPr>
        <w:pStyle w:val="SNConsultation"/>
      </w:pPr>
      <w:r>
        <w:t xml:space="preserve">uwzględniając powiadomienie wysłane dnia XX do Komisji Europejskiej zgodnie z dyrektywą (UE) 2015/1535 i dyrektywą (UE) 94/62/WE;</w:t>
      </w:r>
    </w:p>
    <w:p w14:paraId="60BE23A5" w14:textId="77777777" w:rsidR="00A0611F" w:rsidRDefault="00A0611F" w:rsidP="00A0611F">
      <w:pPr>
        <w:pStyle w:val="SNConsultation"/>
      </w:pPr>
      <w:r>
        <w:t xml:space="preserve">po wysłuchaniu Rady Stanu (Sekcja ds. Robót Publicznych),</w:t>
      </w:r>
    </w:p>
    <w:p w14:paraId="56B6EC0E" w14:textId="77777777" w:rsidR="00A0611F" w:rsidRDefault="00A0611F" w:rsidP="00A0611F">
      <w:pPr>
        <w:pStyle w:val="Corpsdetexte"/>
        <w:keepNext/>
        <w:keepLines/>
        <w:jc w:val="center"/>
        <w:rPr>
          <w:b/>
        </w:rPr>
      </w:pPr>
      <w:r>
        <w:rPr>
          <w:b/>
        </w:rPr>
        <w:t xml:space="preserve">niniejszym rozporządza, co następuje:</w:t>
      </w:r>
    </w:p>
    <w:p w14:paraId="428AB153" w14:textId="77777777" w:rsidR="00A0611F" w:rsidRDefault="00A0611F" w:rsidP="00A0611F">
      <w:pPr>
        <w:pStyle w:val="Corpsdetexte"/>
        <w:keepNext/>
        <w:keepLines/>
        <w:jc w:val="center"/>
        <w:rPr>
          <w:b/>
        </w:rPr>
      </w:pPr>
      <w:r>
        <w:rPr>
          <w:b/>
        </w:rPr>
        <w:t xml:space="preserve">Artykuł 1</w:t>
      </w:r>
    </w:p>
    <w:p w14:paraId="5DC187A1" w14:textId="313CD2F5"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W sekcji 9 rozdziału I tytułu IV księgi V części regulacyjnej kodeksu ochrony środowiska dodaje się punkt 3 w brzmieniu:</w:t>
      </w:r>
    </w:p>
    <w:p w14:paraId="647D1A75" w14:textId="254D6A26"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 </w:t>
      </w:r>
      <w:r>
        <w:rPr>
          <w:color w:val="000000"/>
        </w:rPr>
        <w:t xml:space="preserve">„Punkt 3</w:t>
      </w:r>
    </w:p>
    <w:p w14:paraId="2E6CD4B8" w14:textId="23850E9E"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Informacje dla konsumenta o właściwościach i cechach środowiskowych produktów generujących odpady”.</w:t>
      </w:r>
    </w:p>
    <w:p w14:paraId="202964FF" w14:textId="77777777" w:rsidR="00A0611F" w:rsidRDefault="00A0611F" w:rsidP="00A0611F">
      <w:pPr>
        <w:keepNext/>
        <w:keepLines/>
        <w:pBdr>
          <w:top w:val="nil"/>
          <w:left w:val="nil"/>
          <w:bottom w:val="nil"/>
          <w:right w:val="nil"/>
          <w:between w:val="nil"/>
        </w:pBdr>
        <w:spacing w:after="120"/>
        <w:jc w:val="both"/>
        <w:rPr>
          <w:color w:val="000000"/>
        </w:rPr>
      </w:pPr>
    </w:p>
    <w:p w14:paraId="6F144F6B" w14:textId="2DFFB193" w:rsidR="00A0611F" w:rsidRDefault="00A0611F" w:rsidP="00A0611F">
      <w:pPr>
        <w:pStyle w:val="Corpsdetexte"/>
        <w:keepNext/>
        <w:keepLines/>
      </w:pPr>
      <w:bookmarkStart w:id="1" w:name="_heading=h.gjdgxs"/>
      <w:bookmarkEnd w:id="1"/>
      <w:r>
        <w:t xml:space="preserve">„Art. R. 541-220. – Właściwości i cechy środowiskowe produktów generujących odpady należy rozumieć jako mające na celu poinformowanie konsumenta o warunkach odnoszących się do lepszego zapobiegania powstawaniu odpadów i gospodarowania nimi.</w:t>
      </w:r>
      <w:r>
        <w:t xml:space="preserve"> </w:t>
      </w:r>
    </w:p>
    <w:p w14:paraId="5F88AAEC" w14:textId="396A898B" w:rsidR="000C090F" w:rsidRDefault="000C090F" w:rsidP="000C090F">
      <w:pPr>
        <w:pStyle w:val="Corpsdetexte"/>
        <w:keepNext/>
        <w:keepLines/>
      </w:pPr>
      <w:r>
        <w:t xml:space="preserve">Produkty wprowadzane do obrotu, o których mowa w art. R. 541-221, przeznaczone dla konsumenta, wchodzą w zakres informacji o właściwościach i cechach środowiskowych określonych w niniejszym punkcie”.</w:t>
      </w:r>
      <w:r>
        <w:t xml:space="preserve"> </w:t>
      </w:r>
    </w:p>
    <w:p w14:paraId="286C1C3E" w14:textId="77777777" w:rsidR="000C090F" w:rsidRDefault="000C090F" w:rsidP="000C090F">
      <w:pPr>
        <w:pStyle w:val="Corpsdetexte"/>
        <w:keepNext/>
        <w:keepLines/>
      </w:pPr>
    </w:p>
    <w:p w14:paraId="68C14776" w14:textId="124BA328" w:rsidR="00A0611F" w:rsidRPr="00246797" w:rsidRDefault="00A0611F" w:rsidP="00A0611F">
      <w:pPr>
        <w:pStyle w:val="Corpsdetexte"/>
        <w:keepNext/>
        <w:keepLines/>
      </w:pPr>
      <w:r>
        <w:t xml:space="preserve">„Art. R. 541-221. – I. Urządzenia elektryczne lub elektroniczne, do których stosuje się indeks naprawialności i indeks trwałości określony zgodnie z art. L. 541-9-2, wchodzą w zakres informacji dla konsumentów na temat</w:t>
      </w:r>
      <w:r>
        <w:rPr>
          <w:b/>
        </w:rPr>
        <w:t xml:space="preserve"> naprawialności</w:t>
      </w:r>
      <w:r>
        <w:t xml:space="preserve"> oraz </w:t>
      </w:r>
      <w:r>
        <w:rPr>
          <w:b/>
        </w:rPr>
        <w:t xml:space="preserve">trwałości</w:t>
      </w:r>
      <w:r>
        <w:t xml:space="preserve">.</w:t>
      </w:r>
    </w:p>
    <w:p w14:paraId="59DF58F3" w14:textId="60685F35" w:rsidR="00A0611F" w:rsidRDefault="00A0611F" w:rsidP="00A0611F">
      <w:pPr>
        <w:pStyle w:val="Corpsdetexte"/>
        <w:keepNext/>
        <w:keepLines/>
      </w:pPr>
      <w:r>
        <w:t xml:space="preserve">Informacja ta jest wyrażona w formie prezentacji indeksu naprawialności oraz, od dnia 1 stycznia 2024 r., indeksu wytrzymałości”.</w:t>
      </w:r>
    </w:p>
    <w:p w14:paraId="68644F5F" w14:textId="43B22F85" w:rsidR="00A0611F" w:rsidRPr="00613C5F" w:rsidRDefault="00A0611F" w:rsidP="00A0611F">
      <w:pPr>
        <w:pStyle w:val="Corpsdetexte"/>
        <w:keepNext/>
        <w:keepLines/>
        <w:rPr>
          <w:color w:val="000000" w:themeColor="text1"/>
        </w:rPr>
      </w:pPr>
      <w:r>
        <w:t xml:space="preserve">„II. – </w:t>
      </w:r>
      <w:r>
        <w:rPr>
          <w:color w:val="000000" w:themeColor="text1"/>
        </w:rPr>
        <w:t xml:space="preserve">Rodzaje i kategorie opakowań kompostowalnych w rozumieniu art. R. 543-226 ust. 4, jak określono w zarządzeniu XX wymieniającym opakowania nadające się do kompostowania, metanalizacji i biodegradacji, które mogą być zbierane razem z bioodpadami, które zostały posortowane u źródła,</w:t>
      </w:r>
      <w:r>
        <w:t xml:space="preserve"> wchodzą w zakres informacji dla konsumentów na temat </w:t>
      </w:r>
      <w:r>
        <w:rPr>
          <w:b/>
          <w:bCs/>
        </w:rPr>
        <w:t xml:space="preserve">kompostowalności</w:t>
      </w:r>
      <w:r>
        <w:t xml:space="preserve">.</w:t>
      </w:r>
    </w:p>
    <w:p w14:paraId="6B45DB55" w14:textId="0F71581A" w:rsidR="00A0611F" w:rsidRDefault="00A0611F" w:rsidP="00A0611F">
      <w:pPr>
        <w:pStyle w:val="Corpsdetexte"/>
        <w:keepNext/>
        <w:keepLines/>
        <w:rPr>
          <w:color w:val="000000" w:themeColor="text1"/>
        </w:rPr>
      </w:pPr>
      <w:r>
        <w:rPr>
          <w:color w:val="000000" w:themeColor="text1"/>
        </w:rPr>
        <w:t xml:space="preserve">Informację tę wyraża się poprzez odniesienie do terminu »opakowanie kompostowalne«.</w:t>
      </w:r>
    </w:p>
    <w:p w14:paraId="61E2D05B" w14:textId="651D147C" w:rsidR="008B2B99" w:rsidRPr="00A92A15" w:rsidRDefault="008B2B99" w:rsidP="00A0611F">
      <w:pPr>
        <w:pStyle w:val="Corpsdetexte"/>
        <w:keepNext/>
        <w:keepLines/>
        <w:rPr>
          <w:color w:val="000000" w:themeColor="text1"/>
        </w:rPr>
      </w:pPr>
      <w:r>
        <w:t xml:space="preserve">Produkty i opakowania z tworzyw sztucznych, których kompostowalność można osiągnąć jedynie w jednostce przemysłowej, nie mogą być oznakowane jako »kompostowalne«.</w:t>
      </w:r>
      <w:r>
        <w:t xml:space="preserve"> </w:t>
      </w:r>
      <w:r>
        <w:t xml:space="preserve">Te, które nadają się do kompostowania na rynku krajowym lub przemysłowym, opatrzone są słowami »Nie wyrzucać do środowiska naturalnego«”.</w:t>
      </w:r>
    </w:p>
    <w:p w14:paraId="71FC3454" w14:textId="010DA849" w:rsidR="00A0611F" w:rsidRPr="00613C5F" w:rsidRDefault="00A0611F" w:rsidP="00A0611F">
      <w:pPr>
        <w:pStyle w:val="SNConsultation"/>
        <w:ind w:firstLine="0"/>
        <w:rPr>
          <w:color w:val="000000" w:themeColor="text1"/>
        </w:rPr>
      </w:pPr>
      <w:r>
        <w:rPr>
          <w:color w:val="000000" w:themeColor="text1"/>
        </w:rPr>
        <w:t xml:space="preserve">„III. – </w:t>
      </w:r>
      <w:r>
        <w:rPr>
          <w:color w:val="000000" w:themeColor="text1"/>
          <w:b/>
        </w:rPr>
        <w:t xml:space="preserve">Zastosowanie materiału pochodzącego z recyklingu</w:t>
      </w:r>
      <w:r>
        <w:rPr>
          <w:color w:val="000000" w:themeColor="text1"/>
        </w:rPr>
        <w:t xml:space="preserve"> jest mierzone jako całkowity udział masy materiałów pochodzących z recyklingu w rozumieniu art. L. 541-1-1.</w:t>
      </w:r>
    </w:p>
    <w:p w14:paraId="73705C72" w14:textId="19067C16" w:rsidR="00A0611F" w:rsidRDefault="00A0611F" w:rsidP="00A0611F">
      <w:pPr>
        <w:pStyle w:val="SNConsultation"/>
        <w:ind w:firstLine="0"/>
        <w:rPr>
          <w:highlight w:val="yellow"/>
        </w:rPr>
      </w:pPr>
      <w:r>
        <w:t xml:space="preserve">Kategorie produktów wymienionych w art. L. 541-10-1 ust. 3 [papier zadrukowany, z wyjątkiem książek i papieru do celów graficznych], ust. 5 [</w:t>
      </w:r>
      <w:r>
        <w:rPr>
          <w:rFonts w:ascii="Times New Roman ,serif" w:hAnsi="Times New Roman ,serif"/>
        </w:rPr>
        <w:t xml:space="preserve">urządzenia</w:t>
      </w:r>
      <w:r>
        <w:t xml:space="preserve"> elektryczne i elektroniczne], ust. 6 [baterie i akumulatory], ust. 7 [pojemniki i zawartość produktów chemicznych], ust.10 [części wyposażenia], ust. 11 [wyroby włókiennicze], z wyjątkiem artykułów skórzanych, ust. 13 [artykuły sportowe i rekreacyjne], ust. 14 [artykuły budowlane i ogrodowe] i ust. 15 [pojazdy] objęte są zakresem informacji dla konsumentów dotyczących zastosowania materiałów pochodzących z recyklingu.</w:t>
      </w:r>
    </w:p>
    <w:p w14:paraId="7A9EF18F" w14:textId="22DE6F1B" w:rsidR="008F2569" w:rsidRDefault="00A0611F" w:rsidP="00A0611F">
      <w:pPr>
        <w:pStyle w:val="SNConsultation"/>
        <w:ind w:firstLine="0"/>
      </w:pPr>
      <w:r>
        <w:t xml:space="preserve">Informacje te podaje się w odniesieniu do tych produktów poprzez odniesienie do terminu »produkt zawierający co najmniej [%] materiałów pochodzących z recyklingu«.</w:t>
      </w:r>
    </w:p>
    <w:p w14:paraId="058FC329" w14:textId="104883FB" w:rsidR="00BD4A74" w:rsidRDefault="00BD4A74" w:rsidP="00A0611F">
      <w:pPr>
        <w:pStyle w:val="SNConsultation"/>
        <w:ind w:firstLine="0"/>
      </w:pPr>
      <w:r>
        <w:t xml:space="preserve">Opakowania, o których mowa w art. L. 541-10-1, ust. 1 [opakowania wykorzystywane do sprzedaży produktów spożywanych lub używanych przez gospodarstwa domowe, w tym produktów konsumowanych poza domem] wchodzą w zakres informacji dla konsumentów dotyczących zastosowania materiału pochodzącego z recyklingu.</w:t>
      </w:r>
      <w:r>
        <w:t xml:space="preserve"> </w:t>
      </w:r>
      <w:r>
        <w:t xml:space="preserve">Informacje te podaje się w odniesieniu do tych produktów poprzez odniesienie do terminu »opakowanie zawierające co najmniej [%] materiałów pochodzących z recyklingu«”.</w:t>
      </w:r>
    </w:p>
    <w:p w14:paraId="20E447D6" w14:textId="3CD4EEA1" w:rsidR="00D76667" w:rsidRDefault="00A0611F" w:rsidP="00A0611F">
      <w:pPr>
        <w:pStyle w:val="SNConsultation"/>
        <w:ind w:firstLine="0"/>
      </w:pPr>
      <w:r>
        <w:rPr>
          <w:b/>
        </w:rPr>
        <w:t xml:space="preserve">„</w:t>
      </w:r>
      <w:r>
        <w:t xml:space="preserve">IV.</w:t>
      </w:r>
      <w:r>
        <w:rPr>
          <w:b/>
        </w:rPr>
        <w:t xml:space="preserve"> – </w:t>
      </w:r>
      <w:r>
        <w:t xml:space="preserve">Materiały budowlane, o których mowa w art. L. 541-10-1 ust. 4 i z zastrzeżeniem dobrowolnej prezentacji określonej w art. L. 111-9-2 ust. 5 kodeksu budowlanego i mieszkaniowego, wchodzą w zakres informacji dla konsumentów na temat </w:t>
      </w:r>
      <w:r>
        <w:rPr>
          <w:b/>
          <w:bCs/>
        </w:rPr>
        <w:t xml:space="preserve">wykorzystania zasobów odnawialnych.</w:t>
      </w:r>
      <w:r>
        <w:t xml:space="preserve"> </w:t>
      </w:r>
    </w:p>
    <w:p w14:paraId="23EA8376" w14:textId="431C9F30" w:rsidR="00A0611F" w:rsidRPr="00A92A15" w:rsidRDefault="00A0611F" w:rsidP="00A0611F">
      <w:pPr>
        <w:pStyle w:val="SNConsultation"/>
        <w:ind w:firstLine="0"/>
      </w:pPr>
      <w:r>
        <w:t xml:space="preserve">Informacje te podaje się na warunkach określonych w art. L. 111-9-2 ust. 5 kodeksu budowlanego i mieszkaniowego”.</w:t>
      </w:r>
      <w:r>
        <w:t xml:space="preserve"> </w:t>
      </w:r>
    </w:p>
    <w:p w14:paraId="76C21909" w14:textId="7AF3A523" w:rsidR="00A0611F" w:rsidRPr="00CE42FD" w:rsidRDefault="00A0611F" w:rsidP="00A0611F">
      <w:pPr>
        <w:pStyle w:val="SNConsultation"/>
        <w:ind w:firstLine="0"/>
      </w:pPr>
      <w:r>
        <w:t xml:space="preserve">„V. –</w:t>
      </w:r>
      <w:r>
        <w:rPr>
          <w:b/>
        </w:rPr>
        <w:t xml:space="preserve"> Możliwość ponownego użycia </w:t>
      </w:r>
      <w:r>
        <w:t xml:space="preserve">oznacza możliwość zaprojektowania, stworzenia i wprowadzenia na rynek produktu w celu jego ponownego użycia do użytku identycznego z tym, do którego został zaprojektowany, bez uzyskania statusu odpadu, zgodnie z postanowieniami art. L. 541-1-1.</w:t>
      </w:r>
    </w:p>
    <w:p w14:paraId="0F475FF0" w14:textId="548885AC" w:rsidR="00A0611F" w:rsidRPr="00CE42FD" w:rsidRDefault="00A0611F" w:rsidP="00A0611F">
      <w:pPr>
        <w:pStyle w:val="SNConsultation"/>
        <w:ind w:firstLine="0"/>
      </w:pPr>
      <w:r>
        <w:t xml:space="preserve">Opakowania, o których mowa w art. L.541-10-1 ust. 1 [opakowania wykorzystywane do sprzedaży produktów spożywanych lub używanych przez gospodarstwa domowe, w tym produktów konsumowanych poza domem], wchodzą w zakres informacji dla konsumentów na temat możliwości ponownego użycia.</w:t>
      </w:r>
    </w:p>
    <w:p w14:paraId="403842CB" w14:textId="50DC367E" w:rsidR="00A0611F" w:rsidRPr="00CE42FD" w:rsidRDefault="00A0611F" w:rsidP="00A0611F">
      <w:pPr>
        <w:pStyle w:val="SNConsultation"/>
        <w:ind w:firstLine="0"/>
      </w:pPr>
      <w:r>
        <w:t xml:space="preserve">Informację tę wyraża się poprzez odniesienie do terminu »opakowanie wielokrotnego użytku« lub »opakowanie do ponownego napełnienia«”.</w:t>
      </w:r>
    </w:p>
    <w:p w14:paraId="35CCA859" w14:textId="77777777" w:rsidR="00FE3AAB" w:rsidRPr="00217E2F" w:rsidRDefault="00FE3AAB" w:rsidP="00FE3AAB">
      <w:pPr>
        <w:pStyle w:val="SNConsultation"/>
        <w:ind w:firstLine="0"/>
      </w:pPr>
      <w:r>
        <w:t xml:space="preserve">„VI. –</w:t>
      </w:r>
      <w:r>
        <w:rPr>
          <w:b/>
        </w:rPr>
        <w:t xml:space="preserve"> Zdolność do recyklingu </w:t>
      </w:r>
      <w:r>
        <w:t xml:space="preserve">oznacza skuteczną zdolność do recyklingu odpadów pochodzących z identycznych lub podobnych produktów.</w:t>
      </w:r>
      <w:r>
        <w:t xml:space="preserve"> </w:t>
      </w:r>
      <w:r>
        <w:t xml:space="preserve">Zdolność do recyklingu tych odpadów charakteryzuje się:</w:t>
      </w:r>
    </w:p>
    <w:p w14:paraId="07633EFE" w14:textId="77777777" w:rsidR="00FE3AAB" w:rsidRPr="00217E2F" w:rsidRDefault="00FE3AAB" w:rsidP="00FE3AAB">
      <w:pPr>
        <w:pStyle w:val="SNConsultation"/>
        <w:ind w:firstLine="0"/>
      </w:pPr>
      <w:r>
        <w:t xml:space="preserve">(1) możliwością efektywnego zbierania odpadów lokalnie poprzez dostęp ludności do lokalnych punktów zbiórki;</w:t>
      </w:r>
    </w:p>
    <w:p w14:paraId="057455E4" w14:textId="48F09CE3" w:rsidR="00FE3AAB" w:rsidRPr="00217E2F" w:rsidRDefault="00FE3AAB" w:rsidP="00FE3AAB">
      <w:pPr>
        <w:pStyle w:val="SNConsultation"/>
        <w:ind w:firstLine="0"/>
      </w:pPr>
      <w:r>
        <w:t xml:space="preserve">(2) możliwością sortowania, tj. skierowania do niektórych kanałów recyklingu w celu poddania ich recyklingowi;</w:t>
      </w:r>
    </w:p>
    <w:p w14:paraId="5B0FC778" w14:textId="77777777" w:rsidR="00FE3AAB" w:rsidRPr="00217E2F" w:rsidRDefault="00FE3AAB" w:rsidP="00FE3AAB">
      <w:pPr>
        <w:pStyle w:val="SNConsultation"/>
        <w:ind w:firstLine="0"/>
      </w:pPr>
      <w:r>
        <w:t xml:space="preserve">(3) brakiem pierwiastków lub substancji, które zakłóciłyby sortowanie, recykling lub ograniczyłyby wykorzystanie materiału pochodzącego z recyklingu;</w:t>
      </w:r>
    </w:p>
    <w:p w14:paraId="076436EA" w14:textId="77777777" w:rsidR="00FE3AAB" w:rsidRPr="00217E2F" w:rsidRDefault="00FE3AAB" w:rsidP="00FE3AAB">
      <w:pPr>
        <w:pStyle w:val="SNConsultation"/>
        <w:ind w:firstLine="0"/>
      </w:pPr>
      <w:r>
        <w:t xml:space="preserve">(4) stopień, w jakim materiał poddany recyklingowi, powstały w wyniku zastosowanych procesów recyklingu, stanowi ponad 50 % masy zebranych odpadów;</w:t>
      </w:r>
    </w:p>
    <w:p w14:paraId="2A9B6D33" w14:textId="77777777" w:rsidR="00FE3AAB" w:rsidRPr="00217E2F" w:rsidRDefault="00FE3AAB" w:rsidP="00FE3AAB">
      <w:pPr>
        <w:pStyle w:val="SNConsultation"/>
        <w:ind w:firstLine="0"/>
      </w:pPr>
      <w:r>
        <w:t xml:space="preserve">(5) możliwość recyklingu na skalę przemysłową i w praktyce, w szczególności poprzez gwarancję, że jakość uzyskanego materiału pochodzącego z recyklingu jest wystarczająca, aby zagwarantować zrównoważony charakter rynków zbytu, oraz że łańcuch recyklingu może wykazać się wystarczającą zdolnością do przejęcia odpowiedzialności za produkty, które mogą zostać do niego włączone.</w:t>
      </w:r>
      <w:r>
        <w:t xml:space="preserve"> </w:t>
      </w:r>
    </w:p>
    <w:p w14:paraId="27B90E3A" w14:textId="589EF154" w:rsidR="00FE3AAB" w:rsidRPr="00217E2F" w:rsidRDefault="00FE3AAB" w:rsidP="00FE3AAB">
      <w:pPr>
        <w:pStyle w:val="SNConsultation"/>
        <w:ind w:firstLine="0"/>
      </w:pPr>
      <w:r>
        <w:t xml:space="preserve">Informacje na temat zdolności do recyklingu są udostępniane konsumentowi przy użyciu słów »produkt nadający się do recyklingu« lub »opakowanie nadające się do recyklingu«, jeżeli spełnionych jest te pięć kryteriów.</w:t>
      </w:r>
      <w:r>
        <w:t xml:space="preserve"> </w:t>
      </w:r>
      <w:r>
        <w:t xml:space="preserve">Jeżeli materiał pochodzący z recyklingu wytworzony w procesie recyklingu stanowi ponad 95 % większości zebranych odpadów, można umieścić napis »produkt w pełni nadający się do recyklingu«.</w:t>
      </w:r>
    </w:p>
    <w:p w14:paraId="0163929A" w14:textId="262CE4D1" w:rsidR="00FE3AAB" w:rsidRPr="00217E2F" w:rsidRDefault="00FE3AAB" w:rsidP="00FE3AAB">
      <w:pPr>
        <w:pStyle w:val="SNConsultation"/>
        <w:ind w:firstLine="0"/>
      </w:pPr>
      <w:r>
        <w:t xml:space="preserve">Informacja ta jest przekazywana producentowi przez organizację ekologiczną, na którą przeniósł on obowiązek rozszerzonej odpowiedzialności na mocy art. L. 541-10.</w:t>
      </w:r>
      <w:r>
        <w:t xml:space="preserve"> </w:t>
      </w:r>
      <w:r>
        <w:t xml:space="preserve">W przypadku gdy producent ustanowił indywidualny system rozszerzonej odpowiedzialności, określa on informacje, za które odpowiada.</w:t>
      </w:r>
    </w:p>
    <w:p w14:paraId="63FBD504" w14:textId="77777777" w:rsidR="00FE3AAB" w:rsidRPr="00217E2F" w:rsidRDefault="00FE3AAB" w:rsidP="00FE3AAB">
      <w:pPr>
        <w:pStyle w:val="SNConsultation"/>
        <w:ind w:firstLine="0"/>
      </w:pPr>
      <w:r>
        <w:t xml:space="preserve">Jeśli zdolność do recyklingu odpowiada recyklingowi materiałów w przeważającej mierze ponownie włączonych do produktów o równoważnym charakterze, które mają takie samo zastosowanie i przeznaczenie bez funkcjonalnej utraty materiału, producent może uzupełnić informację o zdolności do recyklingu słowami »produkt nadający się do recyklingu w obiegu zamkniętym« lub »opakowanie nadające się do recyklingu w obiegu zamkniętym«.</w:t>
      </w:r>
    </w:p>
    <w:p w14:paraId="7E934972" w14:textId="3D73E894" w:rsidR="00BD4A74" w:rsidRPr="00FE3AAB" w:rsidRDefault="00FE3AAB" w:rsidP="00A0611F">
      <w:pPr>
        <w:pStyle w:val="SNConsultation"/>
        <w:ind w:firstLine="0"/>
      </w:pPr>
      <w:r>
        <w:t xml:space="preserve">Kategorie produktów, o których mowa w ust. 1 [opakowania wykorzystywane do sprzedaży produktów spożywanych lub używanych przez gospodarstwa domowe, w tym produktów konsumowanych poza domem], ust. 3 [papier zadrukowany, z wyjątkiem książek i papieru do celów graficznych], ust. 4 [wyroby lub materiały budowlane], ust. 5 [urządzenia elektryczne i elektroniczne], ust. 6 [baterie i akumulatory], ust. 7 w odniesieniu do pojemników [pojemniki na substancje chemiczne], ust. 10 [elementy wyposażenia], ust. 11 [wyroby włókiennicze], ust. 12 [zabawki inne niż objęte zasadą rozszerzonej odpowiedzialności producenta w ramach innej kategorii], ust. 13 [artykuły sportowe i rekreacyjne], ust. 14 [artykuły budowlane i ogrodnicze] oraz (15) [pojazdy] określone w art. L. 541-10-1 objęte są zakresem informacji dla konsumentów dotyczących zdolności do recyklingu”.</w:t>
      </w:r>
    </w:p>
    <w:p w14:paraId="0718C702" w14:textId="77777777" w:rsidR="00A0611F" w:rsidRDefault="00A0611F" w:rsidP="00A0611F">
      <w:pPr>
        <w:pStyle w:val="SNConsultation"/>
        <w:ind w:firstLine="0"/>
      </w:pPr>
      <w:r>
        <w:t xml:space="preserve">„VII. –</w:t>
      </w:r>
      <w:r>
        <w:rPr>
          <w:b/>
        </w:rPr>
        <w:t xml:space="preserve"> </w:t>
      </w:r>
      <w:r>
        <w:t xml:space="preserve">Następujące metale: złoto, srebro, platyna i pallad wchodzą w zakres informacji dla konsumentów na temat </w:t>
      </w:r>
      <w:r>
        <w:rPr>
          <w:b/>
          <w:bCs/>
        </w:rPr>
        <w:t xml:space="preserve">obecności metali szlachetnych</w:t>
      </w:r>
      <w:r>
        <w:t xml:space="preserve">.</w:t>
      </w:r>
      <w:r>
        <w:t xml:space="preserve">  </w:t>
      </w:r>
    </w:p>
    <w:p w14:paraId="5C974967" w14:textId="67EF72F5" w:rsidR="00A0611F" w:rsidRPr="00501103" w:rsidRDefault="00A0611F" w:rsidP="00A0611F">
      <w:pPr>
        <w:pStyle w:val="SNConsultation"/>
        <w:ind w:firstLine="0"/>
        <w:rPr>
          <w:b/>
        </w:rPr>
      </w:pPr>
      <w:r>
        <w:t xml:space="preserve">Informacje na temat metali szlachetnych, ze względu na ich wysoką wartość dla środowiska, są udostępniane dla kategorii produktów wymienionych w art. L. 541-10-1 ust. 5 [</w:t>
      </w:r>
      <w:r>
        <w:rPr>
          <w:rFonts w:ascii="Times New Roman ,serif" w:hAnsi="Times New Roman ,serif"/>
        </w:rPr>
        <w:t xml:space="preserve">urządzenia</w:t>
      </w:r>
      <w:r>
        <w:t xml:space="preserve"> elektryczne i elektroniczne] i ust. 15 [pojazdy].</w:t>
      </w:r>
    </w:p>
    <w:p w14:paraId="32E7DEAB" w14:textId="05780FDA" w:rsidR="00A0611F" w:rsidRDefault="00A0611F" w:rsidP="00A0611F">
      <w:pPr>
        <w:pStyle w:val="SNConsultation"/>
        <w:ind w:firstLine="0"/>
      </w:pPr>
      <w:r>
        <w:t xml:space="preserve">Informacje te wyraża się w masie, pod warunkiem że jest większa niż 1 miligram, słowami »zawiera co najmniej [X miligramów] metali szlachetnych«”.</w:t>
      </w:r>
    </w:p>
    <w:p w14:paraId="04560F54" w14:textId="77777777" w:rsidR="00A0611F" w:rsidRPr="003C2E20" w:rsidRDefault="00A0611F" w:rsidP="00A0611F">
      <w:pPr>
        <w:pStyle w:val="SNConsultation"/>
        <w:ind w:firstLine="0"/>
      </w:pPr>
      <w:r>
        <w:t xml:space="preserve">„VIII. –</w:t>
      </w:r>
      <w:r>
        <w:rPr>
          <w:b/>
        </w:rPr>
        <w:t xml:space="preserve"> </w:t>
      </w:r>
      <w:r>
        <w:t xml:space="preserve">Następujące pierwiastki: skand, itr, lantan, cer, prazeodym, neodym, promet, samar, europ, gadolin, terb, dysproz, holm, erb, tul, iterb, lutet, wchodzą w zakres informacji konsumentów na temat</w:t>
      </w:r>
      <w:r>
        <w:rPr>
          <w:b/>
        </w:rPr>
        <w:t xml:space="preserve"> obecności metali ziem rzadkich</w:t>
      </w:r>
      <w:r>
        <w:t xml:space="preserve">.</w:t>
      </w:r>
      <w:r>
        <w:t xml:space="preserve"> </w:t>
      </w:r>
    </w:p>
    <w:p w14:paraId="7496CEBF" w14:textId="4C8FEA67" w:rsidR="00A0611F" w:rsidRDefault="00A0611F" w:rsidP="00A0611F">
      <w:pPr>
        <w:pStyle w:val="SNConsultation"/>
        <w:ind w:firstLine="0"/>
      </w:pPr>
      <w:r>
        <w:t xml:space="preserve">Informacje na temat metali ziem rzadkich, ze względu na ich wysoką wartość dla środowiska, są udostępniane dla kategorii produktów wymienionych w art. L. 541-10-1 ust. 5 [</w:t>
      </w:r>
      <w:r>
        <w:rPr>
          <w:rFonts w:ascii="Times New Roman ,serif" w:hAnsi="Times New Roman ,serif"/>
        </w:rPr>
        <w:t xml:space="preserve">urządzenia</w:t>
      </w:r>
      <w:r>
        <w:t xml:space="preserve"> elektryczne i elektroniczne] i ust. 15 [pojazdy].</w:t>
      </w:r>
      <w:r>
        <w:t xml:space="preserve"> </w:t>
      </w:r>
    </w:p>
    <w:p w14:paraId="58866F4B" w14:textId="33E3BCAF" w:rsidR="00A0611F" w:rsidRDefault="00A0611F" w:rsidP="00A0611F">
      <w:pPr>
        <w:pStyle w:val="SNConsultation"/>
        <w:ind w:firstLine="0"/>
      </w:pPr>
      <w:r>
        <w:t xml:space="preserve">Informacje te wyraża się w masie, pod warunkiem że jest większa niż 1 miligram, słowami »zawiera co najmniej [X miligramów] metali ziem rzadkich«”.</w:t>
      </w:r>
      <w:r>
        <w:t xml:space="preserve">   </w:t>
      </w:r>
    </w:p>
    <w:p w14:paraId="38687E77" w14:textId="77777777" w:rsidR="00A0611F" w:rsidRPr="00A9381C" w:rsidRDefault="00A0611F" w:rsidP="00A0611F">
      <w:pPr>
        <w:pStyle w:val="SNConsultation"/>
        <w:ind w:firstLine="0"/>
      </w:pPr>
      <w:r>
        <w:t xml:space="preserve">„IX. –</w:t>
      </w:r>
      <w:r>
        <w:rPr>
          <w:b/>
        </w:rPr>
        <w:t xml:space="preserve"> </w:t>
      </w:r>
      <w:r>
        <w:t xml:space="preserve">Informacje dla konsumentów dotyczące obecności </w:t>
      </w:r>
      <w:r>
        <w:rPr>
          <w:b/>
          <w:bCs/>
        </w:rPr>
        <w:t xml:space="preserve">substancji niebezpiecznej </w:t>
      </w:r>
      <w:r>
        <w:t xml:space="preserve">mają zastosowanie, jeżeli występują w stężeniu większym niż 0,1 % (m/m) w substancji, mieszaninie lub wyrobie w rozumieniu art. 3 pkt 1, 2 i 3 rozporządzenia (WE) nr 1907/2006 Parlamentu Europejskiego i Rady z dnia 18 grudnia 2006 r. (REACH), z wyjątkiem produktów leczniczych.</w:t>
      </w:r>
      <w:r>
        <w:t xml:space="preserve"> </w:t>
      </w:r>
    </w:p>
    <w:p w14:paraId="1BC87C7D" w14:textId="48203F58" w:rsidR="00A0611F" w:rsidRDefault="00A0611F" w:rsidP="00A0611F">
      <w:pPr>
        <w:pStyle w:val="SNConsultation"/>
        <w:ind w:firstLine="0"/>
      </w:pPr>
      <w:r>
        <w:t xml:space="preserve">W poprzednim ustępie »substancja niebezpieczna« oznacza każdą substancję zidentyfikowaną w rozporządzeniu wydanym na podstawie art. L. 541-9-1 ust. 1 w sprawie identyfikacji substancji niebezpiecznych w produktach generujących odpady.</w:t>
      </w:r>
    </w:p>
    <w:p w14:paraId="6AA4D2A5" w14:textId="77777777" w:rsidR="00BE6889" w:rsidRDefault="00EC0018" w:rsidP="00A0611F">
      <w:pPr>
        <w:pStyle w:val="SNConsultation"/>
        <w:ind w:firstLine="0"/>
      </w:pPr>
      <w:r>
        <w:t xml:space="preserve">Informację tę wyraża się słowami »zawiera substancję niebezpieczną« lub, w przypadku gdy substancją niebezpieczną jest substancja, o której mowa w art. R. 541-219 ust. 1, słowami »zawiera substancję wzbudzającą szczególnie duże obawy«.</w:t>
      </w:r>
      <w:r>
        <w:t xml:space="preserve"> </w:t>
      </w:r>
      <w:r>
        <w:t xml:space="preserve">Informacje uzupełnia się nazwą każdej substancji niebezpiecznej.</w:t>
      </w:r>
      <w:r>
        <w:t xml:space="preserve"> </w:t>
      </w:r>
      <w:r>
        <w:t xml:space="preserve">Ten sposób udostępniania informacji nie ma zastosowania do:</w:t>
      </w:r>
    </w:p>
    <w:p w14:paraId="21E4639B" w14:textId="0CCB4572" w:rsidR="00C666A2" w:rsidRDefault="00C666A2" w:rsidP="00A0611F">
      <w:pPr>
        <w:pStyle w:val="SNConsultation"/>
        <w:ind w:firstLine="0"/>
      </w:pPr>
      <w:r>
        <w:t xml:space="preserve">(1) obecnych substancji, które znajdują się również w wykazie substancji o udowodnionych i domniemanych właściwościach zaburzających funkcjonowanie układu hormonalnego, określonym w rozporządzeniu, o którym mowa w art. R. 5232-19 kodeksu zdrowia publicznego, dla których stosuje się informacje, o których mowa w art. R. 5232-20 kodeksu zdrowia publicznego;</w:t>
      </w:r>
    </w:p>
    <w:p w14:paraId="580BC810" w14:textId="47201403" w:rsidR="00C666A2" w:rsidRDefault="00C666A2" w:rsidP="00A0611F">
      <w:pPr>
        <w:pStyle w:val="SNConsultation"/>
        <w:ind w:firstLine="0"/>
      </w:pPr>
      <w:r>
        <w:t xml:space="preserve">(2) obecnych substancji, które znajdują się również w wykazie substancji o podejrzewanych właściwościach zaburzających funkcjonowanie układu hormonalnego, o których mowa w art. R. 5232-19 II kodeksu zdrowia publicznego, do których stosuje się informacje, o których mowa w art. R. 5232-20 kodeksu zdrowia publicznego.</w:t>
      </w:r>
    </w:p>
    <w:p w14:paraId="7C4FB52E" w14:textId="3386A922" w:rsidR="00A0611F" w:rsidRDefault="00A0611F" w:rsidP="00A0611F">
      <w:pPr>
        <w:pStyle w:val="SNConsultation"/>
        <w:ind w:firstLine="0"/>
      </w:pPr>
      <w:r>
        <w:t xml:space="preserve">Informacje udostępnia się nie później niż 18 miesięcy po zidentyfikowaniu substancji jako substancji niebezpiecznej”.</w:t>
      </w:r>
    </w:p>
    <w:p w14:paraId="5791E55D" w14:textId="5013510C" w:rsidR="00CB77AD" w:rsidRDefault="00A0611F" w:rsidP="00A0611F">
      <w:pPr>
        <w:pStyle w:val="SNConsultation"/>
        <w:ind w:firstLine="0"/>
      </w:pPr>
      <w:r>
        <w:t xml:space="preserve">„X. – Informacje dla konsumentów odnoszące się do </w:t>
      </w:r>
      <w:r>
        <w:rPr>
          <w:b/>
          <w:bCs/>
        </w:rPr>
        <w:t xml:space="preserve">identyfikowalności</w:t>
      </w:r>
      <w:r>
        <w:t xml:space="preserve"> produktów, o których mowa w art. L. 541-10-1 (11) [wyroby włókiennicze] oznaczają oznaczenie geograficzne kraju, w którym wykonuje się głównie każdą z następujących czynności:</w:t>
      </w:r>
      <w:r>
        <w:t xml:space="preserve"> </w:t>
      </w:r>
    </w:p>
    <w:p w14:paraId="76495063" w14:textId="10190F15" w:rsidR="00CB77AD" w:rsidRDefault="00CB77AD" w:rsidP="00A0611F">
      <w:pPr>
        <w:pStyle w:val="SNConsultation"/>
        <w:ind w:firstLine="0"/>
      </w:pPr>
      <w:r>
        <w:t xml:space="preserve">(1) uprawę lub produkcję włókna lub surowca;</w:t>
      </w:r>
    </w:p>
    <w:p w14:paraId="4FF5616A" w14:textId="1D9D86EF" w:rsidR="00CB77AD" w:rsidRDefault="00CB77AD" w:rsidP="00A0611F">
      <w:pPr>
        <w:pStyle w:val="SNConsultation"/>
        <w:ind w:firstLine="0"/>
      </w:pPr>
      <w:r>
        <w:t xml:space="preserve">(2) przędzenie i tkanie;</w:t>
      </w:r>
      <w:r>
        <w:t xml:space="preserve"> </w:t>
      </w:r>
    </w:p>
    <w:p w14:paraId="49D85F28" w14:textId="2432ECDC" w:rsidR="00CB77AD" w:rsidRDefault="00CB77AD" w:rsidP="00A0611F">
      <w:pPr>
        <w:pStyle w:val="SNConsultation"/>
        <w:ind w:firstLine="0"/>
      </w:pPr>
      <w:r>
        <w:t xml:space="preserve">(3) barwienie i drukowanie;</w:t>
      </w:r>
      <w:r>
        <w:t xml:space="preserve"> </w:t>
      </w:r>
    </w:p>
    <w:p w14:paraId="52C3722D" w14:textId="77777777" w:rsidR="00814529" w:rsidRDefault="00CB77AD" w:rsidP="00A0611F">
      <w:pPr>
        <w:pStyle w:val="SNConsultation"/>
        <w:ind w:firstLine="0"/>
      </w:pPr>
      <w:r>
        <w:t xml:space="preserve">(4) produkcję.</w:t>
      </w:r>
      <w:r>
        <w:t xml:space="preserve"> </w:t>
      </w:r>
    </w:p>
    <w:p w14:paraId="7CF39C3B" w14:textId="205DCF5E" w:rsidR="00CD3824" w:rsidRDefault="00F851F6" w:rsidP="00A0611F">
      <w:pPr>
        <w:pStyle w:val="SNConsultation"/>
        <w:ind w:firstLine="0"/>
      </w:pPr>
      <w:r>
        <w:t xml:space="preserve"> </w:t>
      </w:r>
      <w:r>
        <w:t xml:space="preserve">W przypadku obuwia określonego w art. L. 541-10-1 (11) [wyroby włókiennicze] czynności te są następujące:</w:t>
      </w:r>
    </w:p>
    <w:p w14:paraId="77FBC51D" w14:textId="49E90FBB" w:rsidR="00CD3824" w:rsidRDefault="00CD3824" w:rsidP="00A0611F">
      <w:pPr>
        <w:pStyle w:val="SNConsultation"/>
        <w:ind w:firstLine="0"/>
      </w:pPr>
      <w:r>
        <w:t xml:space="preserve">(1) produkcja surowca;</w:t>
      </w:r>
      <w:r>
        <w:t xml:space="preserve"> </w:t>
      </w:r>
    </w:p>
    <w:p w14:paraId="0BEF1ADE" w14:textId="0D0D56D2" w:rsidR="00CD3824" w:rsidRDefault="00CD3824" w:rsidP="00A0611F">
      <w:pPr>
        <w:pStyle w:val="SNConsultation"/>
        <w:ind w:firstLine="0"/>
      </w:pPr>
      <w:r>
        <w:t xml:space="preserve">(2) cięcie;</w:t>
      </w:r>
      <w:r>
        <w:t xml:space="preserve"> </w:t>
      </w:r>
    </w:p>
    <w:p w14:paraId="2953264B" w14:textId="53C8809E" w:rsidR="00CD3824" w:rsidRDefault="00CD3824" w:rsidP="00A0611F">
      <w:pPr>
        <w:pStyle w:val="SNConsultation"/>
        <w:ind w:firstLine="0"/>
      </w:pPr>
      <w:r>
        <w:t xml:space="preserve">(3) szycie;</w:t>
      </w:r>
      <w:r>
        <w:t xml:space="preserve"> </w:t>
      </w:r>
    </w:p>
    <w:p w14:paraId="7C244636" w14:textId="3365746B" w:rsidR="00CD3824" w:rsidRDefault="00CD3824" w:rsidP="00A0611F">
      <w:pPr>
        <w:pStyle w:val="SNConsultation"/>
        <w:ind w:firstLine="0"/>
      </w:pPr>
      <w:r>
        <w:t xml:space="preserve">(4) złożenie;</w:t>
      </w:r>
    </w:p>
    <w:p w14:paraId="61219F8D" w14:textId="562FFA45" w:rsidR="00CD3824" w:rsidRPr="00517BD3" w:rsidRDefault="00CD3824" w:rsidP="00A0611F">
      <w:pPr>
        <w:pStyle w:val="SNConsultation"/>
        <w:ind w:firstLine="0"/>
      </w:pPr>
      <w:r>
        <w:t xml:space="preserve">(5) wykończenie.</w:t>
      </w:r>
    </w:p>
    <w:p w14:paraId="618969FF" w14:textId="09A11B43" w:rsidR="00A0611F" w:rsidRPr="00517BD3" w:rsidRDefault="00F851F6" w:rsidP="00A0611F">
      <w:pPr>
        <w:pStyle w:val="snconsultation0"/>
        <w:spacing w:before="120" w:beforeAutospacing="0" w:after="120" w:afterAutospacing="0"/>
        <w:jc w:val="both"/>
        <w:rPr>
          <w:rFonts w:eastAsia="Lucida Sans Unicode"/>
        </w:rPr>
      </w:pPr>
      <w:r>
        <w:t xml:space="preserve">Informacja ta jest wyrażona w formie odniesienia, dla każdego etapu, do kraju, w którym czynności zostały przeprowadzone”.</w:t>
      </w:r>
    </w:p>
    <w:p w14:paraId="6FB44E46" w14:textId="4024711A" w:rsidR="00A0611F" w:rsidRDefault="00A0611F" w:rsidP="00A0611F">
      <w:pPr>
        <w:pStyle w:val="snconsultation0"/>
        <w:spacing w:before="120" w:beforeAutospacing="0" w:after="120" w:afterAutospacing="0"/>
        <w:jc w:val="both"/>
        <w:rPr>
          <w:rFonts w:eastAsia="Lucida Sans Unicode"/>
        </w:rPr>
      </w:pPr>
      <w:r>
        <w:t xml:space="preserve">„XI. – Informacje dla konsumentów odnoszące się do </w:t>
      </w:r>
      <w:r>
        <w:rPr>
          <w:b/>
        </w:rPr>
        <w:t xml:space="preserve">obecności</w:t>
      </w:r>
      <w:r>
        <w:t xml:space="preserve"> </w:t>
      </w:r>
      <w:r>
        <w:rPr>
          <w:b/>
        </w:rPr>
        <w:t xml:space="preserve">mikrofibry z tworzyw sztucznych</w:t>
      </w:r>
      <w:r>
        <w:t xml:space="preserve"> w produktach wymienionych w art. L. 541-10-1 (11) [wyroby włókiennicze] należy rozumieć jako proporcjonalną masę włókien syntetycznych w produkcie.</w:t>
      </w:r>
      <w:r>
        <w:t xml:space="preserve"> </w:t>
      </w:r>
      <w:r>
        <w:t xml:space="preserve">Informacje te udostępnia się w przypadku, gdy udział włókien syntetycznych przekracza 50 %.</w:t>
      </w:r>
    </w:p>
    <w:p w14:paraId="732BD02F" w14:textId="77777777" w:rsidR="00A0611F" w:rsidRDefault="00A0611F" w:rsidP="00A0611F">
      <w:pPr>
        <w:pStyle w:val="snconsultation0"/>
        <w:spacing w:before="120" w:beforeAutospacing="0" w:after="120" w:afterAutospacing="0"/>
        <w:jc w:val="both"/>
        <w:rPr>
          <w:rFonts w:eastAsia="Lucida Sans Unicode"/>
        </w:rPr>
      </w:pPr>
      <w:r>
        <w:t xml:space="preserve">Wyraża się to słowami »uwalnianie mikrowłókien z tworzyw sztucznych do środowiska podczas prania«”.</w:t>
      </w:r>
    </w:p>
    <w:p w14:paraId="72DE858B" w14:textId="77777777" w:rsidR="00A0611F" w:rsidRDefault="00A0611F" w:rsidP="00A0611F">
      <w:pPr>
        <w:pStyle w:val="snconsultation0"/>
        <w:spacing w:before="120" w:beforeAutospacing="0" w:after="120" w:afterAutospacing="0"/>
        <w:jc w:val="both"/>
        <w:rPr>
          <w:rFonts w:eastAsia="Lucida Sans Unicode"/>
          <w:lang w:eastAsia="zh-CN"/>
        </w:rPr>
      </w:pPr>
    </w:p>
    <w:p w14:paraId="5DB62A0B" w14:textId="07051B30" w:rsidR="00A0611F" w:rsidRDefault="00D75CCE" w:rsidP="00A0611F">
      <w:pPr>
        <w:pStyle w:val="SNConsultation"/>
        <w:ind w:firstLine="0"/>
      </w:pPr>
      <w:r>
        <w:t xml:space="preserve">„Art. R. 541-222. – Producent, importer lub inna strona wprowadzająca do obrotu produkty, o których mowa w art. R. 541-221, udostępnia informacje na temat właściwości i cech środowiskowych tych produktów lub kategorii produktów oraz informacje na temat premii i kar, o których mowa w art. L. 541-10-3, zapłaconych przez producenta na podstawie kryteriów efektywności środowiskowej.</w:t>
      </w:r>
      <w:r>
        <w:t xml:space="preserve"> </w:t>
      </w:r>
      <w:r>
        <w:t xml:space="preserve">Informacje te udostępnia się w formie elektronicznej, są one dostępne bezpłatnie w momencie zakupu i nadają się do ponownego wykorzystania w sposób umożliwiający ich agregację.</w:t>
      </w:r>
      <w:r>
        <w:t xml:space="preserve"> </w:t>
      </w:r>
      <w:r>
        <w:t xml:space="preserve">W tym celu producent lub importer udostępnia informacje na specjalnej stronie internetowej z interfejsem programowania aplikacji.</w:t>
      </w:r>
      <w:r>
        <w:t xml:space="preserve"> </w:t>
      </w:r>
    </w:p>
    <w:p w14:paraId="1621FB5C" w14:textId="235E6D7F" w:rsidR="00531CE4" w:rsidRDefault="00D6632A" w:rsidP="00A0611F">
      <w:pPr>
        <w:pStyle w:val="SNConsultation"/>
        <w:ind w:firstLine="0"/>
      </w:pPr>
      <w:r>
        <w:t xml:space="preserve">W przypadku substancji, o których mowa w art. IX art. R. 541-221, takie przekazanie informacji może być dokonane alternatywnie w postaci aplikacji wskazanej zarządzeniem Ministra Środowiska.</w:t>
      </w:r>
      <w:r>
        <w:t xml:space="preserve"> </w:t>
      </w:r>
      <w:r>
        <w:t xml:space="preserve">W przypadku gdy informacje są udostępniane za pomocą takiej aplikacji, jeżeli ma zostać stworzona specjalna strona internetowa dla co najmniej jednej innej cechy lub właściwości środowiskowej, ta ostatnia powinna zawierać informację, że informacje o substancjach niebezpiecznych mogą być uzyskane za pośrednictwem aplikacji.</w:t>
      </w:r>
      <w:r>
        <w:t xml:space="preserve"> </w:t>
      </w:r>
      <w:r>
        <w:t xml:space="preserve">Bezpośredni link do aplikacji powinien pojawić się na specjalnej stronie internetowej.</w:t>
      </w:r>
      <w:r>
        <w:t xml:space="preserve"> </w:t>
      </w:r>
      <w:r>
        <w:t xml:space="preserve">Dodatkowe środki prezentacji, zarówno fizyczne, jak i papierowe, widoczne w momencie zakupu, mogą być określone na mocy rozporządzenia ministra właściwego do spraw środowiska, z jednej strony, w zależności od cech i właściwości środowiskowych, z jednej strony, oraz produktów i kategorii produktów, o których mowa w art. R. 541-221, z drugiej strony, jak również informacji o premiach i karach, o których mowa w art. L. 541-10-3.</w:t>
      </w:r>
      <w:r>
        <w:t xml:space="preserve"> </w:t>
      </w:r>
      <w:r>
        <w:t xml:space="preserve">W takim przypadku producent lub importer nieodpłatnie przekazuje sprzedawcy informacje niezbędne do takiej prezentacji.</w:t>
      </w:r>
      <w:r>
        <w:t xml:space="preserve"> </w:t>
      </w:r>
    </w:p>
    <w:p w14:paraId="3FB9FCF6" w14:textId="549CAE16" w:rsidR="00D6632A" w:rsidRDefault="00D6632A" w:rsidP="00D6632A">
      <w:pPr>
        <w:pStyle w:val="SNConsultation"/>
        <w:ind w:firstLine="0"/>
      </w:pPr>
      <w:r>
        <w:t xml:space="preserve">Informacje te udostępnia się do dwóch lat po wprowadzeniu do obrotu ostatniej sztuki danego produktu.</w:t>
      </w:r>
      <w:r>
        <w:t xml:space="preserve"> </w:t>
      </w:r>
    </w:p>
    <w:p w14:paraId="7F312AF1" w14:textId="5365C9F9" w:rsidR="00A0611F" w:rsidRDefault="00A0611F" w:rsidP="00A0611F">
      <w:pPr>
        <w:pStyle w:val="SNConsultation"/>
        <w:ind w:firstLine="0"/>
      </w:pPr>
      <w:r>
        <w:t xml:space="preserve">Każda dobrowolna prezentacja fizyczna odnosząca się do tych właściwości i cech środowiskowych musi być zgodna z definicjami zawartymi w at. R. 541-221.</w:t>
      </w:r>
      <w:r>
        <w:t xml:space="preserve"> </w:t>
      </w:r>
    </w:p>
    <w:p w14:paraId="1C4965C0" w14:textId="432B6E2B" w:rsidR="00A0611F" w:rsidRDefault="00A0611F" w:rsidP="00A0611F">
      <w:pPr>
        <w:pStyle w:val="SNConsultation"/>
        <w:ind w:firstLine="0"/>
      </w:pPr>
      <w:r>
        <w:t xml:space="preserve">Ustalenia dotyczące informacji określone w niniejszym artykule nie mają zastosowania do właściwości i cech środowiskowych określonych w art. R. 541-221 I i IV”.</w:t>
      </w:r>
    </w:p>
    <w:p w14:paraId="46D13684" w14:textId="77777777" w:rsidR="00A0611F" w:rsidRDefault="00A0611F" w:rsidP="00A0611F">
      <w:pPr>
        <w:pStyle w:val="SNConsultation"/>
        <w:ind w:firstLine="0"/>
      </w:pPr>
    </w:p>
    <w:p w14:paraId="6922BEF3" w14:textId="6308F134" w:rsidR="00350FE8" w:rsidRDefault="00D75CCE" w:rsidP="00A0611F">
      <w:pPr>
        <w:pStyle w:val="Corpsdetexte"/>
        <w:keepNext/>
        <w:keepLines/>
      </w:pPr>
      <w:r>
        <w:t xml:space="preserve">„Art. R. 541-223. – Obowiązki informowania konsumentów określone w art. R. 541-221 i R. 541-222 mają zastosowanie do producentów i importerów, którzy deklarują roczny obrót w wysokości ponad 50 mln EUR w odniesieniu do produktów, o których mowa w art. R. 541-221, wprowadzanych przez nich na rynek krajowy.</w:t>
      </w:r>
    </w:p>
    <w:p w14:paraId="46A735A9" w14:textId="43A51871" w:rsidR="00350FE8" w:rsidRDefault="00350FE8" w:rsidP="00350FE8">
      <w:pPr>
        <w:pStyle w:val="Corpsdetexte"/>
        <w:keepNext/>
      </w:pPr>
      <w:r>
        <w:t xml:space="preserve">Od dnia 1 stycznia 2024 r. obowiązki w zakresie informowania konsumentów określone w art. R. 541-221 i R. 541-222 stosuje się do producentów i importerów, którzy deklarują roczny obrót w wysokości ponad 20 mln EUR w odniesieniu do produktów, o których mowa w art. R. 541-221, wprowadzanych przez nich na rynek krajowy”.</w:t>
      </w:r>
    </w:p>
    <w:p w14:paraId="750470DA" w14:textId="77777777" w:rsidR="00350FE8" w:rsidRDefault="00350FE8" w:rsidP="00A0611F">
      <w:pPr>
        <w:pStyle w:val="Corpsdetexte"/>
        <w:keepNext/>
        <w:keepLines/>
        <w:rPr>
          <w:lang w:val="fr-FR"/>
        </w:rPr>
      </w:pPr>
    </w:p>
    <w:p w14:paraId="606FF564" w14:textId="53BBF7C4" w:rsidR="00C15919" w:rsidRPr="00130204" w:rsidRDefault="00D75CCE" w:rsidP="00A0611F">
      <w:pPr>
        <w:pStyle w:val="Corpsdetexte"/>
        <w:keepNext/>
        <w:keepLines/>
        <w:rPr>
          <w:rFonts w:eastAsia="Lucida Sans Unicode"/>
        </w:rPr>
      </w:pPr>
      <w:r>
        <w:t xml:space="preserve">„Art. R. 541-224. – Zabrania się umieszczania na produkcie lub opakowaniu słów »biodegradowalny«, »przyjazny dla środowiska« lub jakiegokolwiek innego odpowiednika”.</w:t>
      </w:r>
      <w:r>
        <w:t xml:space="preserve">  </w:t>
      </w:r>
    </w:p>
    <w:p w14:paraId="249D5C7C" w14:textId="77777777" w:rsidR="00A0611F" w:rsidRDefault="00A0611F" w:rsidP="00A0611F">
      <w:pPr>
        <w:pStyle w:val="Corpsdetexte"/>
        <w:keepNext/>
        <w:keepLines/>
        <w:rPr>
          <w:lang w:val="fr-FR"/>
        </w:rPr>
      </w:pPr>
    </w:p>
    <w:p w14:paraId="43F1BFFD" w14:textId="77777777" w:rsidR="00A0611F" w:rsidRPr="00C16AC7" w:rsidRDefault="00A0611F" w:rsidP="00A0611F">
      <w:pPr>
        <w:pStyle w:val="Corpsdetexte"/>
        <w:keepNext/>
        <w:keepLines/>
        <w:jc w:val="center"/>
        <w:rPr>
          <w:b/>
        </w:rPr>
      </w:pPr>
      <w:r>
        <w:rPr>
          <w:b/>
        </w:rPr>
        <w:t xml:space="preserve">Artykuł 2. Wejście w życie</w:t>
      </w:r>
    </w:p>
    <w:p w14:paraId="2C5F1691" w14:textId="4F965230" w:rsidR="00A0611F" w:rsidRDefault="00A0611F" w:rsidP="00A0611F">
      <w:pPr>
        <w:pStyle w:val="Corpsdetexte"/>
        <w:keepNext/>
        <w:keepLines/>
      </w:pPr>
      <w:r>
        <w:t xml:space="preserve">Przepisy niniejszego rozporządzenia wchodzą w życie z dniem 1 stycznia 2022 r.</w:t>
      </w:r>
    </w:p>
    <w:p w14:paraId="09FC613F" w14:textId="77777777" w:rsidR="00A0611F" w:rsidRPr="00D52AA5" w:rsidRDefault="00A0611F" w:rsidP="00A0611F">
      <w:pPr>
        <w:pStyle w:val="Corpsdetexte"/>
        <w:keepNext/>
        <w:keepLines/>
        <w:rPr>
          <w:lang w:val="fr-FR"/>
        </w:rPr>
      </w:pPr>
    </w:p>
    <w:p w14:paraId="322B518E" w14:textId="77777777" w:rsidR="00A0611F" w:rsidRPr="00C16AC7" w:rsidRDefault="00A0611F" w:rsidP="00A0611F">
      <w:pPr>
        <w:pStyle w:val="SNArticle"/>
        <w:spacing w:before="240"/>
        <w:rPr>
          <w:bCs w:val="0"/>
        </w:rPr>
      </w:pPr>
      <w:r>
        <w:t xml:space="preserve">Artykuł 3 – Wdrożenie</w:t>
      </w:r>
    </w:p>
    <w:p w14:paraId="42E479BF" w14:textId="77777777" w:rsidR="00A0611F" w:rsidRDefault="00A0611F" w:rsidP="00A0611F">
      <w:pPr>
        <w:pStyle w:val="SNArticle"/>
        <w:spacing w:before="240"/>
        <w:jc w:val="both"/>
        <w:rPr>
          <w:b w:val="0"/>
        </w:rPr>
      </w:pPr>
      <w:r>
        <w:rPr>
          <w:b w:val="0"/>
        </w:rPr>
        <w:t xml:space="preserve">Za wdrożenie niniejszego rozporządzenia, które zostanie opublikowane w </w:t>
      </w:r>
      <w:r>
        <w:rPr>
          <w:b w:val="0"/>
          <w:i/>
          <w:iCs/>
        </w:rPr>
        <w:t xml:space="preserve">Dzienniku Urzędowym</w:t>
      </w:r>
      <w:r>
        <w:rPr>
          <w:b w:val="0"/>
        </w:rPr>
        <w:t xml:space="preserve"> Republiki Francuskiej, odpowiadają w zakresie swoich kompetencji Minister ds. Transformacji Ekologicznej oraz Minister Gospodarki, Finansów i Odbudowy.</w:t>
      </w:r>
      <w:r>
        <w:rPr>
          <w:b w:val="0"/>
        </w:rPr>
        <w:t xml:space="preserve"> </w:t>
      </w:r>
    </w:p>
    <w:p w14:paraId="521F60F6" w14:textId="77777777" w:rsidR="00A0611F" w:rsidRDefault="00A0611F" w:rsidP="00A0611F">
      <w:pPr>
        <w:pStyle w:val="SNArticle"/>
        <w:spacing w:before="240"/>
        <w:jc w:val="both"/>
        <w:rPr>
          <w:b w:val="0"/>
        </w:rPr>
      </w:pPr>
    </w:p>
    <w:p w14:paraId="49C8F301" w14:textId="72015A28" w:rsidR="009A124C" w:rsidRDefault="00F6536A" w:rsidP="00F834A5">
      <w:pPr>
        <w:suppressAutoHyphens w:val="0"/>
      </w:pPr>
      <w:r>
        <w:br w:type="page"/>
      </w:r>
      <w:r>
        <w:t xml:space="preserve">Podpisano dnia [data] r.</w:t>
      </w:r>
    </w:p>
    <w:p w14:paraId="7A812575" w14:textId="77777777" w:rsidR="003B3353" w:rsidRPr="00C16AC7" w:rsidRDefault="003B3353" w:rsidP="003B3353">
      <w:pPr>
        <w:pStyle w:val="SNDate"/>
        <w:spacing w:before="0" w:after="0"/>
        <w:ind w:firstLine="0"/>
      </w:pPr>
    </w:p>
    <w:p w14:paraId="274CBA4C" w14:textId="77777777" w:rsidR="003B3353" w:rsidRDefault="005A5DF2" w:rsidP="003B3353">
      <w:pPr>
        <w:pStyle w:val="SNDate"/>
        <w:spacing w:before="0" w:after="0"/>
        <w:ind w:firstLine="0"/>
        <w:jc w:val="left"/>
      </w:pPr>
      <w:r>
        <w:t xml:space="preserve">Premier:</w:t>
      </w:r>
    </w:p>
    <w:p w14:paraId="2A6EC749" w14:textId="5F63F38B" w:rsidR="003B3353" w:rsidRDefault="003B3353" w:rsidP="003B3353">
      <w:pPr>
        <w:pStyle w:val="SNDate"/>
        <w:spacing w:before="0" w:after="0"/>
        <w:ind w:firstLine="0"/>
        <w:jc w:val="left"/>
      </w:pPr>
      <w:r>
        <w:t xml:space="preserve">Jean Castex</w:t>
      </w:r>
      <w:r>
        <w:br/>
      </w:r>
      <w:r>
        <w:br/>
      </w:r>
      <w:r>
        <w:t xml:space="preserve">Minister ds. Transformacji Ekologicznej,</w:t>
      </w:r>
      <w:r>
        <w:br/>
      </w:r>
      <w:r>
        <w:t xml:space="preserve">Barbara POMPILI</w:t>
      </w:r>
    </w:p>
    <w:p w14:paraId="3BC92D43" w14:textId="77777777" w:rsidR="00D52AA5" w:rsidRDefault="004A0F51" w:rsidP="003B3353">
      <w:pPr>
        <w:pStyle w:val="SNDate"/>
        <w:spacing w:before="0" w:after="0"/>
        <w:ind w:firstLine="0"/>
        <w:jc w:val="right"/>
      </w:pPr>
      <w:r>
        <w:t xml:space="preserve">Minister Gospodarki, Finansów i Odbudowy</w:t>
      </w:r>
    </w:p>
    <w:p w14:paraId="2766AF55" w14:textId="7002707B" w:rsidR="00FF3312" w:rsidRDefault="00F35D14" w:rsidP="003B3353">
      <w:pPr>
        <w:pStyle w:val="SNDate"/>
        <w:spacing w:before="0" w:after="0"/>
        <w:ind w:firstLine="0"/>
        <w:jc w:val="right"/>
      </w:pPr>
      <w:r>
        <w:t xml:space="preserve">Bruno LE MAIRE</w:t>
      </w:r>
    </w:p>
    <w:p w14:paraId="6E0D18CA" w14:textId="77777777" w:rsidR="00F6272E" w:rsidRDefault="00F6272E" w:rsidP="003B3353">
      <w:pPr>
        <w:suppressAutoHyphens w:val="0"/>
      </w:pPr>
    </w:p>
    <w:p w14:paraId="2AA9E840" w14:textId="03816832" w:rsidR="000D0435" w:rsidRDefault="000D0435">
      <w:pPr>
        <w:suppressAutoHyphens w:val="0"/>
      </w:pPr>
    </w:p>
    <w:sectPr w:rsidR="000D0435" w:rsidSect="003B3353">
      <w:footerReference w:type="default" r:id="rId9"/>
      <w:pgSz w:w="11906" w:h="16838"/>
      <w:pgMar w:top="1440" w:right="1080" w:bottom="1440" w:left="1080"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45FB" w14:textId="77777777" w:rsidR="0002121C" w:rsidRDefault="0002121C">
      <w:r>
        <w:separator/>
      </w:r>
    </w:p>
  </w:endnote>
  <w:endnote w:type="continuationSeparator" w:id="0">
    <w:p w14:paraId="6C19FFB8" w14:textId="77777777" w:rsidR="0002121C" w:rsidRDefault="000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LT Std">
    <w:altName w:val="Times LT St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231255"/>
      <w:docPartObj>
        <w:docPartGallery w:val="Page Numbers (Bottom of Page)"/>
        <w:docPartUnique/>
      </w:docPartObj>
    </w:sdtPr>
    <w:sdtEndPr/>
    <w:sdtContent>
      <w:p w14:paraId="309B78E2" w14:textId="4152C99E" w:rsidR="00A6698F" w:rsidRDefault="00A6698F">
        <w:pPr>
          <w:pStyle w:val="Pieddepage"/>
          <w:jc w:val="right"/>
        </w:pPr>
        <w:r>
          <w:fldChar w:fldCharType="begin"/>
        </w:r>
        <w:r>
          <w:instrText>PAGE   \* MERGEFORMAT</w:instrText>
        </w:r>
        <w:r>
          <w:fldChar w:fldCharType="separate"/>
        </w:r>
        <w:r w:rsidR="004902C5" w:rsidRPr="004902C5">
          <w:t>8</w:t>
        </w:r>
        <w:r>
          <w:fldChar w:fldCharType="end"/>
        </w:r>
      </w:p>
    </w:sdtContent>
  </w:sdt>
  <w:p w14:paraId="14D5D221" w14:textId="17EE6B6A" w:rsidR="00D13111" w:rsidRDefault="00D1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6F68" w14:textId="77777777" w:rsidR="0002121C" w:rsidRDefault="0002121C">
      <w:r>
        <w:separator/>
      </w:r>
    </w:p>
  </w:footnote>
  <w:footnote w:type="continuationSeparator" w:id="0">
    <w:p w14:paraId="352A95D0" w14:textId="77777777" w:rsidR="0002121C" w:rsidRDefault="00021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633B"/>
    <w:multiLevelType w:val="hybridMultilevel"/>
    <w:tmpl w:val="1DE05C5C"/>
    <w:lvl w:ilvl="0" w:tplc="97D095D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11A89"/>
    <w:multiLevelType w:val="hybridMultilevel"/>
    <w:tmpl w:val="4F943A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A484F"/>
    <w:multiLevelType w:val="hybridMultilevel"/>
    <w:tmpl w:val="0FE8B6C4"/>
    <w:lvl w:ilvl="0" w:tplc="30B01BF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6E179F"/>
    <w:multiLevelType w:val="hybridMultilevel"/>
    <w:tmpl w:val="66E25180"/>
    <w:lvl w:ilvl="0" w:tplc="250A52BC">
      <w:start w:val="1"/>
      <w:numFmt w:val="upperRoman"/>
      <w:lvlText w:val="%1."/>
      <w:lvlJc w:val="left"/>
      <w:pPr>
        <w:ind w:left="770" w:hanging="720"/>
      </w:pPr>
      <w:rPr>
        <w:rFonts w:cs="Times LT Std"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4" w15:restartNumberingAfterBreak="0">
    <w:nsid w:val="12335244"/>
    <w:multiLevelType w:val="hybridMultilevel"/>
    <w:tmpl w:val="5A5833F2"/>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EA0409"/>
    <w:multiLevelType w:val="hybridMultilevel"/>
    <w:tmpl w:val="D34EEAB0"/>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3C5F94"/>
    <w:multiLevelType w:val="multilevel"/>
    <w:tmpl w:val="07CA34D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165576E"/>
    <w:multiLevelType w:val="hybridMultilevel"/>
    <w:tmpl w:val="A4724692"/>
    <w:lvl w:ilvl="0" w:tplc="15C22576">
      <w:numFmt w:val="bullet"/>
      <w:lvlText w:val="-"/>
      <w:lvlJc w:val="left"/>
      <w:pPr>
        <w:ind w:left="1069" w:hanging="360"/>
      </w:pPr>
      <w:rPr>
        <w:rFonts w:ascii="Times New Roman" w:eastAsia="Lucida Sans Unicode"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229604D9"/>
    <w:multiLevelType w:val="hybridMultilevel"/>
    <w:tmpl w:val="5C965D80"/>
    <w:lvl w:ilvl="0" w:tplc="530EA7F0">
      <w:start w:val="3"/>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047BC"/>
    <w:multiLevelType w:val="hybridMultilevel"/>
    <w:tmpl w:val="40D6B79E"/>
    <w:lvl w:ilvl="0" w:tplc="530EA7F0">
      <w:start w:val="3"/>
      <w:numFmt w:val="bullet"/>
      <w:lvlText w:val="-"/>
      <w:lvlJc w:val="left"/>
      <w:pPr>
        <w:ind w:left="360" w:firstLine="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6E70B4"/>
    <w:multiLevelType w:val="hybridMultilevel"/>
    <w:tmpl w:val="14EA9A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474A5C"/>
    <w:multiLevelType w:val="hybridMultilevel"/>
    <w:tmpl w:val="980EB580"/>
    <w:lvl w:ilvl="0" w:tplc="FFB2E3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9A21BE"/>
    <w:multiLevelType w:val="multilevel"/>
    <w:tmpl w:val="6A96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582044"/>
    <w:multiLevelType w:val="multilevel"/>
    <w:tmpl w:val="335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92E3D"/>
    <w:multiLevelType w:val="hybridMultilevel"/>
    <w:tmpl w:val="23D88FFE"/>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FC1E84"/>
    <w:multiLevelType w:val="hybridMultilevel"/>
    <w:tmpl w:val="E9BA39CC"/>
    <w:lvl w:ilvl="0" w:tplc="55D2BF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D208A1"/>
    <w:multiLevelType w:val="hybridMultilevel"/>
    <w:tmpl w:val="9B164052"/>
    <w:lvl w:ilvl="0" w:tplc="C52E1C42">
      <w:start w:val="3"/>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AA768D"/>
    <w:multiLevelType w:val="hybridMultilevel"/>
    <w:tmpl w:val="FAF2B910"/>
    <w:lvl w:ilvl="0" w:tplc="747C5A3A">
      <w:start w:val="178"/>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22CF2"/>
    <w:multiLevelType w:val="hybridMultilevel"/>
    <w:tmpl w:val="651C43C4"/>
    <w:lvl w:ilvl="0" w:tplc="3CE20EA0">
      <w:start w:val="3"/>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D91AE6"/>
    <w:multiLevelType w:val="multilevel"/>
    <w:tmpl w:val="3D2A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21C6E"/>
    <w:multiLevelType w:val="hybridMultilevel"/>
    <w:tmpl w:val="47946C42"/>
    <w:lvl w:ilvl="0" w:tplc="83BAE1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948DB"/>
    <w:multiLevelType w:val="hybridMultilevel"/>
    <w:tmpl w:val="37F89ACE"/>
    <w:lvl w:ilvl="0" w:tplc="4CEC6AB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E232A7"/>
    <w:multiLevelType w:val="hybridMultilevel"/>
    <w:tmpl w:val="DD98A3F6"/>
    <w:lvl w:ilvl="0" w:tplc="D5FCD206">
      <w:numFmt w:val="bullet"/>
      <w:lvlText w:val="-"/>
      <w:lvlJc w:val="left"/>
      <w:pPr>
        <w:ind w:left="720" w:hanging="360"/>
      </w:pPr>
      <w:rPr>
        <w:rFonts w:ascii="Times New Roman" w:eastAsia="Lucida Sans Unicode"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3C5E8D"/>
    <w:multiLevelType w:val="hybridMultilevel"/>
    <w:tmpl w:val="391EA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C66A59"/>
    <w:multiLevelType w:val="hybridMultilevel"/>
    <w:tmpl w:val="14E86500"/>
    <w:lvl w:ilvl="0" w:tplc="EEE2199E">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6" w15:restartNumberingAfterBreak="0">
    <w:nsid w:val="627A3492"/>
    <w:multiLevelType w:val="hybridMultilevel"/>
    <w:tmpl w:val="1C125838"/>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75203C"/>
    <w:multiLevelType w:val="multilevel"/>
    <w:tmpl w:val="AD201516"/>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5803C24"/>
    <w:multiLevelType w:val="hybridMultilevel"/>
    <w:tmpl w:val="E20C7D8C"/>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CD3E1A"/>
    <w:multiLevelType w:val="hybridMultilevel"/>
    <w:tmpl w:val="59AEF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925AE9"/>
    <w:multiLevelType w:val="hybridMultilevel"/>
    <w:tmpl w:val="0A76965C"/>
    <w:lvl w:ilvl="0" w:tplc="20E8BF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B91383"/>
    <w:multiLevelType w:val="hybridMultilevel"/>
    <w:tmpl w:val="5F6E8F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613D26"/>
    <w:multiLevelType w:val="multilevel"/>
    <w:tmpl w:val="5CA8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6"/>
  </w:num>
  <w:num w:numId="3">
    <w:abstractNumId w:val="0"/>
  </w:num>
  <w:num w:numId="4">
    <w:abstractNumId w:val="3"/>
  </w:num>
  <w:num w:numId="5">
    <w:abstractNumId w:val="7"/>
  </w:num>
  <w:num w:numId="6">
    <w:abstractNumId w:val="32"/>
  </w:num>
  <w:num w:numId="7">
    <w:abstractNumId w:val="24"/>
  </w:num>
  <w:num w:numId="8">
    <w:abstractNumId w:val="22"/>
  </w:num>
  <w:num w:numId="9">
    <w:abstractNumId w:val="16"/>
  </w:num>
  <w:num w:numId="10">
    <w:abstractNumId w:val="4"/>
  </w:num>
  <w:num w:numId="11">
    <w:abstractNumId w:val="12"/>
  </w:num>
  <w:num w:numId="12">
    <w:abstractNumId w:val="18"/>
  </w:num>
  <w:num w:numId="13">
    <w:abstractNumId w:val="9"/>
  </w:num>
  <w:num w:numId="14">
    <w:abstractNumId w:val="8"/>
  </w:num>
  <w:num w:numId="15">
    <w:abstractNumId w:val="26"/>
  </w:num>
  <w:num w:numId="16">
    <w:abstractNumId w:val="5"/>
  </w:num>
  <w:num w:numId="17">
    <w:abstractNumId w:val="28"/>
  </w:num>
  <w:num w:numId="18">
    <w:abstractNumId w:val="23"/>
  </w:num>
  <w:num w:numId="19">
    <w:abstractNumId w:val="29"/>
  </w:num>
  <w:num w:numId="20">
    <w:abstractNumId w:val="14"/>
  </w:num>
  <w:num w:numId="21">
    <w:abstractNumId w:val="1"/>
  </w:num>
  <w:num w:numId="22">
    <w:abstractNumId w:val="17"/>
  </w:num>
  <w:num w:numId="23">
    <w:abstractNumId w:val="13"/>
  </w:num>
  <w:num w:numId="24">
    <w:abstractNumId w:val="19"/>
  </w:num>
  <w:num w:numId="25">
    <w:abstractNumId w:val="31"/>
  </w:num>
  <w:num w:numId="26">
    <w:abstractNumId w:val="25"/>
  </w:num>
  <w:num w:numId="27">
    <w:abstractNumId w:val="20"/>
  </w:num>
  <w:num w:numId="28">
    <w:abstractNumId w:val="11"/>
  </w:num>
  <w:num w:numId="29">
    <w:abstractNumId w:val="10"/>
  </w:num>
  <w:num w:numId="30">
    <w:abstractNumId w:val="15"/>
  </w:num>
  <w:num w:numId="31">
    <w:abstractNumId w:val="21"/>
  </w:num>
  <w:num w:numId="32">
    <w:abstractNumId w:val="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dirty" w:grammar="dirty"/>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4C"/>
    <w:rsid w:val="000000B8"/>
    <w:rsid w:val="000029F1"/>
    <w:rsid w:val="0000467E"/>
    <w:rsid w:val="00006763"/>
    <w:rsid w:val="0001208B"/>
    <w:rsid w:val="00012B2A"/>
    <w:rsid w:val="00014570"/>
    <w:rsid w:val="00014DD9"/>
    <w:rsid w:val="00014E0B"/>
    <w:rsid w:val="00017815"/>
    <w:rsid w:val="0002121C"/>
    <w:rsid w:val="000214ED"/>
    <w:rsid w:val="00021518"/>
    <w:rsid w:val="000244A4"/>
    <w:rsid w:val="00031601"/>
    <w:rsid w:val="00034021"/>
    <w:rsid w:val="000366AF"/>
    <w:rsid w:val="00040974"/>
    <w:rsid w:val="00040D14"/>
    <w:rsid w:val="00042A22"/>
    <w:rsid w:val="0004418F"/>
    <w:rsid w:val="00044BD2"/>
    <w:rsid w:val="000452EB"/>
    <w:rsid w:val="000455D7"/>
    <w:rsid w:val="00047B30"/>
    <w:rsid w:val="000511DD"/>
    <w:rsid w:val="00052E67"/>
    <w:rsid w:val="00056BA9"/>
    <w:rsid w:val="00064339"/>
    <w:rsid w:val="00065814"/>
    <w:rsid w:val="00067CF1"/>
    <w:rsid w:val="00070B3B"/>
    <w:rsid w:val="00073188"/>
    <w:rsid w:val="0007383E"/>
    <w:rsid w:val="00074679"/>
    <w:rsid w:val="0007715C"/>
    <w:rsid w:val="00083E60"/>
    <w:rsid w:val="000845C2"/>
    <w:rsid w:val="00090D07"/>
    <w:rsid w:val="00093C6B"/>
    <w:rsid w:val="000A26C0"/>
    <w:rsid w:val="000A37F2"/>
    <w:rsid w:val="000A405A"/>
    <w:rsid w:val="000A5EE2"/>
    <w:rsid w:val="000B1542"/>
    <w:rsid w:val="000B16AD"/>
    <w:rsid w:val="000B281E"/>
    <w:rsid w:val="000B29C9"/>
    <w:rsid w:val="000B740A"/>
    <w:rsid w:val="000C090F"/>
    <w:rsid w:val="000C0D91"/>
    <w:rsid w:val="000C399B"/>
    <w:rsid w:val="000C70C2"/>
    <w:rsid w:val="000D0435"/>
    <w:rsid w:val="000D3FA8"/>
    <w:rsid w:val="000D4577"/>
    <w:rsid w:val="000E02EB"/>
    <w:rsid w:val="000E3122"/>
    <w:rsid w:val="000F0888"/>
    <w:rsid w:val="000F120D"/>
    <w:rsid w:val="000F22BE"/>
    <w:rsid w:val="000F4F0F"/>
    <w:rsid w:val="000F502F"/>
    <w:rsid w:val="001017E4"/>
    <w:rsid w:val="00101AEB"/>
    <w:rsid w:val="0010308D"/>
    <w:rsid w:val="00103CF6"/>
    <w:rsid w:val="0010592D"/>
    <w:rsid w:val="00105CA6"/>
    <w:rsid w:val="001140D5"/>
    <w:rsid w:val="001148F1"/>
    <w:rsid w:val="00120E3F"/>
    <w:rsid w:val="001223B5"/>
    <w:rsid w:val="00126E15"/>
    <w:rsid w:val="00130204"/>
    <w:rsid w:val="0013146B"/>
    <w:rsid w:val="00134E29"/>
    <w:rsid w:val="00140866"/>
    <w:rsid w:val="00141BB3"/>
    <w:rsid w:val="0014431A"/>
    <w:rsid w:val="0014539B"/>
    <w:rsid w:val="001517BD"/>
    <w:rsid w:val="0015356C"/>
    <w:rsid w:val="001549C3"/>
    <w:rsid w:val="001570C9"/>
    <w:rsid w:val="001605B3"/>
    <w:rsid w:val="001610D5"/>
    <w:rsid w:val="00161495"/>
    <w:rsid w:val="00163010"/>
    <w:rsid w:val="00167095"/>
    <w:rsid w:val="0017591E"/>
    <w:rsid w:val="00180301"/>
    <w:rsid w:val="00181E54"/>
    <w:rsid w:val="00182A3A"/>
    <w:rsid w:val="001839C8"/>
    <w:rsid w:val="00184383"/>
    <w:rsid w:val="00186299"/>
    <w:rsid w:val="0018777F"/>
    <w:rsid w:val="00193D65"/>
    <w:rsid w:val="00194ABF"/>
    <w:rsid w:val="001A261E"/>
    <w:rsid w:val="001A72DA"/>
    <w:rsid w:val="001B1359"/>
    <w:rsid w:val="001B55C3"/>
    <w:rsid w:val="001B5BAE"/>
    <w:rsid w:val="001B5CBF"/>
    <w:rsid w:val="001B75FC"/>
    <w:rsid w:val="001C3A24"/>
    <w:rsid w:val="001C40F2"/>
    <w:rsid w:val="001C5BEE"/>
    <w:rsid w:val="001D5FB4"/>
    <w:rsid w:val="001D61CF"/>
    <w:rsid w:val="001E2532"/>
    <w:rsid w:val="001E2A72"/>
    <w:rsid w:val="001E335E"/>
    <w:rsid w:val="001E4715"/>
    <w:rsid w:val="001F0053"/>
    <w:rsid w:val="001F1200"/>
    <w:rsid w:val="001F2519"/>
    <w:rsid w:val="001F5614"/>
    <w:rsid w:val="00201787"/>
    <w:rsid w:val="00203E46"/>
    <w:rsid w:val="002067EC"/>
    <w:rsid w:val="002073DA"/>
    <w:rsid w:val="002079C7"/>
    <w:rsid w:val="00215482"/>
    <w:rsid w:val="002170E6"/>
    <w:rsid w:val="00217E2F"/>
    <w:rsid w:val="002220DE"/>
    <w:rsid w:val="00223E09"/>
    <w:rsid w:val="0022492F"/>
    <w:rsid w:val="00224A9A"/>
    <w:rsid w:val="002260AC"/>
    <w:rsid w:val="00227BC9"/>
    <w:rsid w:val="00230831"/>
    <w:rsid w:val="00231C47"/>
    <w:rsid w:val="0023700E"/>
    <w:rsid w:val="00237535"/>
    <w:rsid w:val="002430D3"/>
    <w:rsid w:val="002460F9"/>
    <w:rsid w:val="00246797"/>
    <w:rsid w:val="002535B7"/>
    <w:rsid w:val="00256747"/>
    <w:rsid w:val="00271C17"/>
    <w:rsid w:val="00272DC3"/>
    <w:rsid w:val="002731A9"/>
    <w:rsid w:val="002731EF"/>
    <w:rsid w:val="00275404"/>
    <w:rsid w:val="00275B56"/>
    <w:rsid w:val="00282EAE"/>
    <w:rsid w:val="002871A7"/>
    <w:rsid w:val="002903D5"/>
    <w:rsid w:val="002915F2"/>
    <w:rsid w:val="00291A0B"/>
    <w:rsid w:val="00295D03"/>
    <w:rsid w:val="00296852"/>
    <w:rsid w:val="002A1D87"/>
    <w:rsid w:val="002A3561"/>
    <w:rsid w:val="002A3909"/>
    <w:rsid w:val="002A4DAB"/>
    <w:rsid w:val="002B330D"/>
    <w:rsid w:val="002B363C"/>
    <w:rsid w:val="002B6530"/>
    <w:rsid w:val="002B66D8"/>
    <w:rsid w:val="002C0C41"/>
    <w:rsid w:val="002C1EEE"/>
    <w:rsid w:val="002C1F33"/>
    <w:rsid w:val="002C7C36"/>
    <w:rsid w:val="002D6B74"/>
    <w:rsid w:val="002E09DD"/>
    <w:rsid w:val="002E1D14"/>
    <w:rsid w:val="002E2946"/>
    <w:rsid w:val="002E39DA"/>
    <w:rsid w:val="002E51D9"/>
    <w:rsid w:val="002E55AF"/>
    <w:rsid w:val="002E57B2"/>
    <w:rsid w:val="002E7128"/>
    <w:rsid w:val="002F2FA7"/>
    <w:rsid w:val="002F4E83"/>
    <w:rsid w:val="002F580A"/>
    <w:rsid w:val="003075B5"/>
    <w:rsid w:val="00310081"/>
    <w:rsid w:val="00310B80"/>
    <w:rsid w:val="00311180"/>
    <w:rsid w:val="00311C97"/>
    <w:rsid w:val="00311EB6"/>
    <w:rsid w:val="00312D09"/>
    <w:rsid w:val="00312E95"/>
    <w:rsid w:val="00314946"/>
    <w:rsid w:val="003212CF"/>
    <w:rsid w:val="003214F2"/>
    <w:rsid w:val="00322858"/>
    <w:rsid w:val="00323A3F"/>
    <w:rsid w:val="00325082"/>
    <w:rsid w:val="003256D3"/>
    <w:rsid w:val="00330D1C"/>
    <w:rsid w:val="00333C9A"/>
    <w:rsid w:val="00333CC4"/>
    <w:rsid w:val="003344FD"/>
    <w:rsid w:val="00334870"/>
    <w:rsid w:val="00334F16"/>
    <w:rsid w:val="003367BD"/>
    <w:rsid w:val="003410B1"/>
    <w:rsid w:val="003474CD"/>
    <w:rsid w:val="003503E2"/>
    <w:rsid w:val="00350FE8"/>
    <w:rsid w:val="00354B47"/>
    <w:rsid w:val="003571C3"/>
    <w:rsid w:val="00365128"/>
    <w:rsid w:val="003717E3"/>
    <w:rsid w:val="003719E8"/>
    <w:rsid w:val="003726DA"/>
    <w:rsid w:val="0037436B"/>
    <w:rsid w:val="003756E4"/>
    <w:rsid w:val="00376681"/>
    <w:rsid w:val="003803EE"/>
    <w:rsid w:val="003812D3"/>
    <w:rsid w:val="003903ED"/>
    <w:rsid w:val="0039122E"/>
    <w:rsid w:val="003A1E4F"/>
    <w:rsid w:val="003A4931"/>
    <w:rsid w:val="003A4FDB"/>
    <w:rsid w:val="003A6282"/>
    <w:rsid w:val="003B3353"/>
    <w:rsid w:val="003B4AAD"/>
    <w:rsid w:val="003B51A4"/>
    <w:rsid w:val="003B5E3E"/>
    <w:rsid w:val="003C1315"/>
    <w:rsid w:val="003C1B21"/>
    <w:rsid w:val="003C1E05"/>
    <w:rsid w:val="003C2E20"/>
    <w:rsid w:val="003C3740"/>
    <w:rsid w:val="003D09E5"/>
    <w:rsid w:val="003D327E"/>
    <w:rsid w:val="003D34F5"/>
    <w:rsid w:val="003D46AC"/>
    <w:rsid w:val="003D4EE8"/>
    <w:rsid w:val="003D6CAC"/>
    <w:rsid w:val="003E5023"/>
    <w:rsid w:val="003F00B8"/>
    <w:rsid w:val="003F093C"/>
    <w:rsid w:val="003F138C"/>
    <w:rsid w:val="003F7B2A"/>
    <w:rsid w:val="003F7E34"/>
    <w:rsid w:val="004030E9"/>
    <w:rsid w:val="00403736"/>
    <w:rsid w:val="00406976"/>
    <w:rsid w:val="004079B1"/>
    <w:rsid w:val="0041062E"/>
    <w:rsid w:val="00410AF3"/>
    <w:rsid w:val="00412CF8"/>
    <w:rsid w:val="00415238"/>
    <w:rsid w:val="00417BE0"/>
    <w:rsid w:val="004217F3"/>
    <w:rsid w:val="00423886"/>
    <w:rsid w:val="004249EE"/>
    <w:rsid w:val="00425012"/>
    <w:rsid w:val="00426148"/>
    <w:rsid w:val="00426439"/>
    <w:rsid w:val="00427BE9"/>
    <w:rsid w:val="00432896"/>
    <w:rsid w:val="00433207"/>
    <w:rsid w:val="00433B33"/>
    <w:rsid w:val="00441FEC"/>
    <w:rsid w:val="00444515"/>
    <w:rsid w:val="0044526B"/>
    <w:rsid w:val="00454872"/>
    <w:rsid w:val="00454C45"/>
    <w:rsid w:val="00464C0D"/>
    <w:rsid w:val="00467E8A"/>
    <w:rsid w:val="00480306"/>
    <w:rsid w:val="004902C5"/>
    <w:rsid w:val="00490E31"/>
    <w:rsid w:val="00492727"/>
    <w:rsid w:val="004972D7"/>
    <w:rsid w:val="00497820"/>
    <w:rsid w:val="004A0F51"/>
    <w:rsid w:val="004B071C"/>
    <w:rsid w:val="004B0AAA"/>
    <w:rsid w:val="004B0B51"/>
    <w:rsid w:val="004B3D39"/>
    <w:rsid w:val="004B7335"/>
    <w:rsid w:val="004C2787"/>
    <w:rsid w:val="004C4235"/>
    <w:rsid w:val="004D012A"/>
    <w:rsid w:val="004D2865"/>
    <w:rsid w:val="004D4113"/>
    <w:rsid w:val="004D461F"/>
    <w:rsid w:val="004D5172"/>
    <w:rsid w:val="004D75F4"/>
    <w:rsid w:val="004E28B3"/>
    <w:rsid w:val="004E33CF"/>
    <w:rsid w:val="004E383B"/>
    <w:rsid w:val="004F0556"/>
    <w:rsid w:val="004F1523"/>
    <w:rsid w:val="004F1DDA"/>
    <w:rsid w:val="004F466A"/>
    <w:rsid w:val="004F603F"/>
    <w:rsid w:val="00501103"/>
    <w:rsid w:val="00504089"/>
    <w:rsid w:val="0050673D"/>
    <w:rsid w:val="00506997"/>
    <w:rsid w:val="00510B00"/>
    <w:rsid w:val="00512432"/>
    <w:rsid w:val="0051574D"/>
    <w:rsid w:val="00515C4A"/>
    <w:rsid w:val="00517BD3"/>
    <w:rsid w:val="00517D96"/>
    <w:rsid w:val="00520FCE"/>
    <w:rsid w:val="00522CB0"/>
    <w:rsid w:val="005242A7"/>
    <w:rsid w:val="00524AC1"/>
    <w:rsid w:val="00531CE4"/>
    <w:rsid w:val="00535809"/>
    <w:rsid w:val="0053597D"/>
    <w:rsid w:val="005365E3"/>
    <w:rsid w:val="00536FC6"/>
    <w:rsid w:val="005372ED"/>
    <w:rsid w:val="00540943"/>
    <w:rsid w:val="005437E3"/>
    <w:rsid w:val="005445F5"/>
    <w:rsid w:val="005478EC"/>
    <w:rsid w:val="0055037D"/>
    <w:rsid w:val="00550811"/>
    <w:rsid w:val="00552112"/>
    <w:rsid w:val="0055374F"/>
    <w:rsid w:val="00555A1B"/>
    <w:rsid w:val="00561E3E"/>
    <w:rsid w:val="0056336D"/>
    <w:rsid w:val="00563D13"/>
    <w:rsid w:val="0057270C"/>
    <w:rsid w:val="00573F4F"/>
    <w:rsid w:val="00581241"/>
    <w:rsid w:val="00582840"/>
    <w:rsid w:val="00583438"/>
    <w:rsid w:val="005906F1"/>
    <w:rsid w:val="00593728"/>
    <w:rsid w:val="00593E59"/>
    <w:rsid w:val="005943FE"/>
    <w:rsid w:val="005A2457"/>
    <w:rsid w:val="005A3198"/>
    <w:rsid w:val="005A5DF2"/>
    <w:rsid w:val="005A68A6"/>
    <w:rsid w:val="005B4F6E"/>
    <w:rsid w:val="005B5DF0"/>
    <w:rsid w:val="005B6F77"/>
    <w:rsid w:val="005C004F"/>
    <w:rsid w:val="005C5E92"/>
    <w:rsid w:val="005D02B0"/>
    <w:rsid w:val="005D0F58"/>
    <w:rsid w:val="005D1FFD"/>
    <w:rsid w:val="005D3ABB"/>
    <w:rsid w:val="005D492E"/>
    <w:rsid w:val="005D49A0"/>
    <w:rsid w:val="005D5494"/>
    <w:rsid w:val="005D6F2F"/>
    <w:rsid w:val="005E3BA9"/>
    <w:rsid w:val="005E4AF1"/>
    <w:rsid w:val="005E4BEC"/>
    <w:rsid w:val="005E5532"/>
    <w:rsid w:val="005E7AA1"/>
    <w:rsid w:val="005F6702"/>
    <w:rsid w:val="0060308F"/>
    <w:rsid w:val="00603810"/>
    <w:rsid w:val="00604680"/>
    <w:rsid w:val="006058C2"/>
    <w:rsid w:val="00612621"/>
    <w:rsid w:val="00613C5F"/>
    <w:rsid w:val="00617683"/>
    <w:rsid w:val="00621280"/>
    <w:rsid w:val="00627D9A"/>
    <w:rsid w:val="006317EB"/>
    <w:rsid w:val="00632CB6"/>
    <w:rsid w:val="00633FAC"/>
    <w:rsid w:val="00646700"/>
    <w:rsid w:val="00646EE2"/>
    <w:rsid w:val="00650C04"/>
    <w:rsid w:val="00651C6B"/>
    <w:rsid w:val="00652440"/>
    <w:rsid w:val="006543F2"/>
    <w:rsid w:val="00655F02"/>
    <w:rsid w:val="0065721E"/>
    <w:rsid w:val="006601B7"/>
    <w:rsid w:val="0066237A"/>
    <w:rsid w:val="00663704"/>
    <w:rsid w:val="00664921"/>
    <w:rsid w:val="0066492E"/>
    <w:rsid w:val="00665988"/>
    <w:rsid w:val="006676CC"/>
    <w:rsid w:val="006707D9"/>
    <w:rsid w:val="00676242"/>
    <w:rsid w:val="006765FA"/>
    <w:rsid w:val="00677E40"/>
    <w:rsid w:val="0068278F"/>
    <w:rsid w:val="006858EC"/>
    <w:rsid w:val="006859A8"/>
    <w:rsid w:val="0068765D"/>
    <w:rsid w:val="00690902"/>
    <w:rsid w:val="00690BD3"/>
    <w:rsid w:val="006948E7"/>
    <w:rsid w:val="00697095"/>
    <w:rsid w:val="006A0266"/>
    <w:rsid w:val="006A10A1"/>
    <w:rsid w:val="006A190D"/>
    <w:rsid w:val="006A246C"/>
    <w:rsid w:val="006A368F"/>
    <w:rsid w:val="006A4E12"/>
    <w:rsid w:val="006A63CA"/>
    <w:rsid w:val="006A687C"/>
    <w:rsid w:val="006B0E3B"/>
    <w:rsid w:val="006B6AEF"/>
    <w:rsid w:val="006B6BE3"/>
    <w:rsid w:val="006B7EC9"/>
    <w:rsid w:val="006C3BF5"/>
    <w:rsid w:val="006D50A1"/>
    <w:rsid w:val="006D5156"/>
    <w:rsid w:val="006D5379"/>
    <w:rsid w:val="006D634E"/>
    <w:rsid w:val="006E29B7"/>
    <w:rsid w:val="006E3B6D"/>
    <w:rsid w:val="006E54CE"/>
    <w:rsid w:val="006F2B33"/>
    <w:rsid w:val="006F368A"/>
    <w:rsid w:val="006F7A16"/>
    <w:rsid w:val="006F7A19"/>
    <w:rsid w:val="00700040"/>
    <w:rsid w:val="0070073A"/>
    <w:rsid w:val="00701EAE"/>
    <w:rsid w:val="00703093"/>
    <w:rsid w:val="00704CC6"/>
    <w:rsid w:val="007064D1"/>
    <w:rsid w:val="00706F0D"/>
    <w:rsid w:val="0071196E"/>
    <w:rsid w:val="00714120"/>
    <w:rsid w:val="007142D1"/>
    <w:rsid w:val="00717452"/>
    <w:rsid w:val="00717FB9"/>
    <w:rsid w:val="00723891"/>
    <w:rsid w:val="00726E7E"/>
    <w:rsid w:val="00730780"/>
    <w:rsid w:val="0073125E"/>
    <w:rsid w:val="00731493"/>
    <w:rsid w:val="007316B1"/>
    <w:rsid w:val="007326D5"/>
    <w:rsid w:val="00732C8E"/>
    <w:rsid w:val="007336AE"/>
    <w:rsid w:val="00733822"/>
    <w:rsid w:val="00737A13"/>
    <w:rsid w:val="00741B83"/>
    <w:rsid w:val="007421E3"/>
    <w:rsid w:val="007449C3"/>
    <w:rsid w:val="00746071"/>
    <w:rsid w:val="0074629E"/>
    <w:rsid w:val="00746796"/>
    <w:rsid w:val="00747838"/>
    <w:rsid w:val="00753C79"/>
    <w:rsid w:val="007556C0"/>
    <w:rsid w:val="00756303"/>
    <w:rsid w:val="00757BDF"/>
    <w:rsid w:val="007604BE"/>
    <w:rsid w:val="00762D07"/>
    <w:rsid w:val="00763E18"/>
    <w:rsid w:val="00765601"/>
    <w:rsid w:val="00767947"/>
    <w:rsid w:val="00770008"/>
    <w:rsid w:val="00772B17"/>
    <w:rsid w:val="00773D27"/>
    <w:rsid w:val="00775028"/>
    <w:rsid w:val="007750BF"/>
    <w:rsid w:val="00777E2C"/>
    <w:rsid w:val="007839B6"/>
    <w:rsid w:val="007854ED"/>
    <w:rsid w:val="007875B7"/>
    <w:rsid w:val="007929C5"/>
    <w:rsid w:val="00793864"/>
    <w:rsid w:val="007956AB"/>
    <w:rsid w:val="0079648B"/>
    <w:rsid w:val="007B2245"/>
    <w:rsid w:val="007B27ED"/>
    <w:rsid w:val="007B4ED5"/>
    <w:rsid w:val="007B59B5"/>
    <w:rsid w:val="007B5B2C"/>
    <w:rsid w:val="007B5D03"/>
    <w:rsid w:val="007C14CD"/>
    <w:rsid w:val="007C4093"/>
    <w:rsid w:val="007C5D74"/>
    <w:rsid w:val="007C6D81"/>
    <w:rsid w:val="007D09FC"/>
    <w:rsid w:val="007D20D6"/>
    <w:rsid w:val="007D3ADF"/>
    <w:rsid w:val="007D5C6A"/>
    <w:rsid w:val="007E0128"/>
    <w:rsid w:val="007E1168"/>
    <w:rsid w:val="007E11E0"/>
    <w:rsid w:val="007E4E30"/>
    <w:rsid w:val="007E565F"/>
    <w:rsid w:val="007E5770"/>
    <w:rsid w:val="007E5C52"/>
    <w:rsid w:val="007F531E"/>
    <w:rsid w:val="007F5E88"/>
    <w:rsid w:val="007F7DB6"/>
    <w:rsid w:val="00807D0F"/>
    <w:rsid w:val="00814529"/>
    <w:rsid w:val="00822FDA"/>
    <w:rsid w:val="00824E4E"/>
    <w:rsid w:val="008270A9"/>
    <w:rsid w:val="00832CAE"/>
    <w:rsid w:val="00833D0E"/>
    <w:rsid w:val="008355C0"/>
    <w:rsid w:val="00837C62"/>
    <w:rsid w:val="0084095E"/>
    <w:rsid w:val="00844574"/>
    <w:rsid w:val="0084702B"/>
    <w:rsid w:val="00847EEF"/>
    <w:rsid w:val="008527EA"/>
    <w:rsid w:val="008533F9"/>
    <w:rsid w:val="00857AD6"/>
    <w:rsid w:val="008627B3"/>
    <w:rsid w:val="008656BF"/>
    <w:rsid w:val="00865DC6"/>
    <w:rsid w:val="008730B6"/>
    <w:rsid w:val="00874AD8"/>
    <w:rsid w:val="00875056"/>
    <w:rsid w:val="00875201"/>
    <w:rsid w:val="00876224"/>
    <w:rsid w:val="0088130A"/>
    <w:rsid w:val="008815B2"/>
    <w:rsid w:val="00882C15"/>
    <w:rsid w:val="00883C8A"/>
    <w:rsid w:val="008866D5"/>
    <w:rsid w:val="00886D25"/>
    <w:rsid w:val="008956BD"/>
    <w:rsid w:val="0089579C"/>
    <w:rsid w:val="00896B2B"/>
    <w:rsid w:val="008A2329"/>
    <w:rsid w:val="008A3881"/>
    <w:rsid w:val="008A3DB7"/>
    <w:rsid w:val="008A459D"/>
    <w:rsid w:val="008A6FF3"/>
    <w:rsid w:val="008B09F2"/>
    <w:rsid w:val="008B2ADF"/>
    <w:rsid w:val="008B2B99"/>
    <w:rsid w:val="008B6D21"/>
    <w:rsid w:val="008B7B94"/>
    <w:rsid w:val="008C0291"/>
    <w:rsid w:val="008C575D"/>
    <w:rsid w:val="008D0331"/>
    <w:rsid w:val="008D18A8"/>
    <w:rsid w:val="008D2015"/>
    <w:rsid w:val="008D26A8"/>
    <w:rsid w:val="008D516E"/>
    <w:rsid w:val="008E1F77"/>
    <w:rsid w:val="008E4334"/>
    <w:rsid w:val="008E4DDA"/>
    <w:rsid w:val="008F2569"/>
    <w:rsid w:val="008F7598"/>
    <w:rsid w:val="00901301"/>
    <w:rsid w:val="00901FBA"/>
    <w:rsid w:val="00902FFD"/>
    <w:rsid w:val="00905425"/>
    <w:rsid w:val="00906567"/>
    <w:rsid w:val="00913CB3"/>
    <w:rsid w:val="0091484E"/>
    <w:rsid w:val="00921907"/>
    <w:rsid w:val="00924CEB"/>
    <w:rsid w:val="00924E0A"/>
    <w:rsid w:val="00931025"/>
    <w:rsid w:val="00931271"/>
    <w:rsid w:val="0093385A"/>
    <w:rsid w:val="009407A2"/>
    <w:rsid w:val="009504E1"/>
    <w:rsid w:val="00950F19"/>
    <w:rsid w:val="00955026"/>
    <w:rsid w:val="00961D0B"/>
    <w:rsid w:val="00964A4F"/>
    <w:rsid w:val="00966D04"/>
    <w:rsid w:val="00967ADC"/>
    <w:rsid w:val="0097129D"/>
    <w:rsid w:val="00972633"/>
    <w:rsid w:val="0097732B"/>
    <w:rsid w:val="00980712"/>
    <w:rsid w:val="00981584"/>
    <w:rsid w:val="00985902"/>
    <w:rsid w:val="00990EAB"/>
    <w:rsid w:val="009919AE"/>
    <w:rsid w:val="00996D63"/>
    <w:rsid w:val="009A0249"/>
    <w:rsid w:val="009A04AC"/>
    <w:rsid w:val="009A124C"/>
    <w:rsid w:val="009A2136"/>
    <w:rsid w:val="009A4E68"/>
    <w:rsid w:val="009A5CC3"/>
    <w:rsid w:val="009B3309"/>
    <w:rsid w:val="009C624B"/>
    <w:rsid w:val="009D2F8E"/>
    <w:rsid w:val="009D644B"/>
    <w:rsid w:val="009E115F"/>
    <w:rsid w:val="009E2CCE"/>
    <w:rsid w:val="009E4F34"/>
    <w:rsid w:val="009E5205"/>
    <w:rsid w:val="009F032C"/>
    <w:rsid w:val="009F181E"/>
    <w:rsid w:val="009F3EB1"/>
    <w:rsid w:val="009F7450"/>
    <w:rsid w:val="00A013DA"/>
    <w:rsid w:val="00A02922"/>
    <w:rsid w:val="00A02B0D"/>
    <w:rsid w:val="00A03E4E"/>
    <w:rsid w:val="00A0611F"/>
    <w:rsid w:val="00A07E9B"/>
    <w:rsid w:val="00A1133C"/>
    <w:rsid w:val="00A12F93"/>
    <w:rsid w:val="00A13D53"/>
    <w:rsid w:val="00A14365"/>
    <w:rsid w:val="00A214AB"/>
    <w:rsid w:val="00A215FF"/>
    <w:rsid w:val="00A22C24"/>
    <w:rsid w:val="00A2359B"/>
    <w:rsid w:val="00A248C8"/>
    <w:rsid w:val="00A270A5"/>
    <w:rsid w:val="00A33D44"/>
    <w:rsid w:val="00A41772"/>
    <w:rsid w:val="00A424A9"/>
    <w:rsid w:val="00A46876"/>
    <w:rsid w:val="00A4690E"/>
    <w:rsid w:val="00A47F2D"/>
    <w:rsid w:val="00A5401B"/>
    <w:rsid w:val="00A5473E"/>
    <w:rsid w:val="00A5496C"/>
    <w:rsid w:val="00A56182"/>
    <w:rsid w:val="00A64571"/>
    <w:rsid w:val="00A6638C"/>
    <w:rsid w:val="00A6698F"/>
    <w:rsid w:val="00A7588B"/>
    <w:rsid w:val="00A761D3"/>
    <w:rsid w:val="00A76B4C"/>
    <w:rsid w:val="00A80B02"/>
    <w:rsid w:val="00A8648D"/>
    <w:rsid w:val="00A86D7B"/>
    <w:rsid w:val="00A87BDC"/>
    <w:rsid w:val="00A9381C"/>
    <w:rsid w:val="00AA19AE"/>
    <w:rsid w:val="00AA1B8E"/>
    <w:rsid w:val="00AA2F1D"/>
    <w:rsid w:val="00AA564A"/>
    <w:rsid w:val="00AA6F71"/>
    <w:rsid w:val="00AB13CE"/>
    <w:rsid w:val="00AB1DDA"/>
    <w:rsid w:val="00AB56BD"/>
    <w:rsid w:val="00AB61D9"/>
    <w:rsid w:val="00AB6336"/>
    <w:rsid w:val="00AB71AA"/>
    <w:rsid w:val="00AC2A3E"/>
    <w:rsid w:val="00AC30B0"/>
    <w:rsid w:val="00AC4234"/>
    <w:rsid w:val="00AD0AD2"/>
    <w:rsid w:val="00AD33E9"/>
    <w:rsid w:val="00AD3AD6"/>
    <w:rsid w:val="00AD4F7B"/>
    <w:rsid w:val="00AD7B88"/>
    <w:rsid w:val="00AE2599"/>
    <w:rsid w:val="00AE29C6"/>
    <w:rsid w:val="00AE45AF"/>
    <w:rsid w:val="00AE572A"/>
    <w:rsid w:val="00AF2EEE"/>
    <w:rsid w:val="00B0755A"/>
    <w:rsid w:val="00B1144A"/>
    <w:rsid w:val="00B13D27"/>
    <w:rsid w:val="00B14A40"/>
    <w:rsid w:val="00B159B9"/>
    <w:rsid w:val="00B212C7"/>
    <w:rsid w:val="00B301EA"/>
    <w:rsid w:val="00B32B36"/>
    <w:rsid w:val="00B361CB"/>
    <w:rsid w:val="00B36811"/>
    <w:rsid w:val="00B43FA2"/>
    <w:rsid w:val="00B44993"/>
    <w:rsid w:val="00B45948"/>
    <w:rsid w:val="00B47B4E"/>
    <w:rsid w:val="00B501E3"/>
    <w:rsid w:val="00B504E7"/>
    <w:rsid w:val="00B52A51"/>
    <w:rsid w:val="00B53166"/>
    <w:rsid w:val="00B54C40"/>
    <w:rsid w:val="00B55322"/>
    <w:rsid w:val="00B55440"/>
    <w:rsid w:val="00B55B63"/>
    <w:rsid w:val="00B5669B"/>
    <w:rsid w:val="00B62CEB"/>
    <w:rsid w:val="00B63DD9"/>
    <w:rsid w:val="00B63FA8"/>
    <w:rsid w:val="00B7102B"/>
    <w:rsid w:val="00B71DFA"/>
    <w:rsid w:val="00B72598"/>
    <w:rsid w:val="00B72D88"/>
    <w:rsid w:val="00B73372"/>
    <w:rsid w:val="00B759ED"/>
    <w:rsid w:val="00B82A54"/>
    <w:rsid w:val="00B83416"/>
    <w:rsid w:val="00B83783"/>
    <w:rsid w:val="00B83808"/>
    <w:rsid w:val="00B92316"/>
    <w:rsid w:val="00B950A8"/>
    <w:rsid w:val="00B968F1"/>
    <w:rsid w:val="00B96ED1"/>
    <w:rsid w:val="00BA1465"/>
    <w:rsid w:val="00BA6100"/>
    <w:rsid w:val="00BA6A82"/>
    <w:rsid w:val="00BB0E27"/>
    <w:rsid w:val="00BB30E5"/>
    <w:rsid w:val="00BB5A98"/>
    <w:rsid w:val="00BC09D5"/>
    <w:rsid w:val="00BC1F94"/>
    <w:rsid w:val="00BC28CC"/>
    <w:rsid w:val="00BC3F85"/>
    <w:rsid w:val="00BC64DA"/>
    <w:rsid w:val="00BC7ED9"/>
    <w:rsid w:val="00BD057C"/>
    <w:rsid w:val="00BD2926"/>
    <w:rsid w:val="00BD2EC9"/>
    <w:rsid w:val="00BD4A74"/>
    <w:rsid w:val="00BD58F8"/>
    <w:rsid w:val="00BE0037"/>
    <w:rsid w:val="00BE56BD"/>
    <w:rsid w:val="00BE6889"/>
    <w:rsid w:val="00BF0177"/>
    <w:rsid w:val="00BF26E6"/>
    <w:rsid w:val="00BF3CAD"/>
    <w:rsid w:val="00BF6073"/>
    <w:rsid w:val="00C00249"/>
    <w:rsid w:val="00C0367C"/>
    <w:rsid w:val="00C10326"/>
    <w:rsid w:val="00C115F8"/>
    <w:rsid w:val="00C11905"/>
    <w:rsid w:val="00C137BB"/>
    <w:rsid w:val="00C146CB"/>
    <w:rsid w:val="00C15919"/>
    <w:rsid w:val="00C16AC7"/>
    <w:rsid w:val="00C16B4B"/>
    <w:rsid w:val="00C224BD"/>
    <w:rsid w:val="00C2272B"/>
    <w:rsid w:val="00C2579B"/>
    <w:rsid w:val="00C26397"/>
    <w:rsid w:val="00C26A26"/>
    <w:rsid w:val="00C31410"/>
    <w:rsid w:val="00C31CF7"/>
    <w:rsid w:val="00C326CD"/>
    <w:rsid w:val="00C33289"/>
    <w:rsid w:val="00C42297"/>
    <w:rsid w:val="00C441FC"/>
    <w:rsid w:val="00C52011"/>
    <w:rsid w:val="00C533C4"/>
    <w:rsid w:val="00C54A5C"/>
    <w:rsid w:val="00C5655C"/>
    <w:rsid w:val="00C56C54"/>
    <w:rsid w:val="00C578B8"/>
    <w:rsid w:val="00C60A70"/>
    <w:rsid w:val="00C63411"/>
    <w:rsid w:val="00C666A2"/>
    <w:rsid w:val="00C66A34"/>
    <w:rsid w:val="00C67C3E"/>
    <w:rsid w:val="00C81BAE"/>
    <w:rsid w:val="00C831E1"/>
    <w:rsid w:val="00C84051"/>
    <w:rsid w:val="00C852C7"/>
    <w:rsid w:val="00C85F7D"/>
    <w:rsid w:val="00C9038B"/>
    <w:rsid w:val="00C952B9"/>
    <w:rsid w:val="00CA195E"/>
    <w:rsid w:val="00CA3FE6"/>
    <w:rsid w:val="00CA5118"/>
    <w:rsid w:val="00CA536B"/>
    <w:rsid w:val="00CA5D9A"/>
    <w:rsid w:val="00CA7794"/>
    <w:rsid w:val="00CB3E63"/>
    <w:rsid w:val="00CB54BC"/>
    <w:rsid w:val="00CB77AD"/>
    <w:rsid w:val="00CC3388"/>
    <w:rsid w:val="00CC6F7E"/>
    <w:rsid w:val="00CC7908"/>
    <w:rsid w:val="00CD299F"/>
    <w:rsid w:val="00CD3824"/>
    <w:rsid w:val="00CD388F"/>
    <w:rsid w:val="00CE3FE6"/>
    <w:rsid w:val="00CE42FD"/>
    <w:rsid w:val="00CE7A31"/>
    <w:rsid w:val="00CF1D9A"/>
    <w:rsid w:val="00CF2B2F"/>
    <w:rsid w:val="00CF4C3D"/>
    <w:rsid w:val="00D022E5"/>
    <w:rsid w:val="00D04E30"/>
    <w:rsid w:val="00D13111"/>
    <w:rsid w:val="00D174F1"/>
    <w:rsid w:val="00D225F1"/>
    <w:rsid w:val="00D2294E"/>
    <w:rsid w:val="00D22B55"/>
    <w:rsid w:val="00D240BE"/>
    <w:rsid w:val="00D258DB"/>
    <w:rsid w:val="00D27621"/>
    <w:rsid w:val="00D27C7C"/>
    <w:rsid w:val="00D27D18"/>
    <w:rsid w:val="00D316EE"/>
    <w:rsid w:val="00D32960"/>
    <w:rsid w:val="00D32A97"/>
    <w:rsid w:val="00D33290"/>
    <w:rsid w:val="00D37D2E"/>
    <w:rsid w:val="00D474BF"/>
    <w:rsid w:val="00D504CE"/>
    <w:rsid w:val="00D51CEF"/>
    <w:rsid w:val="00D52AA5"/>
    <w:rsid w:val="00D55CFC"/>
    <w:rsid w:val="00D57007"/>
    <w:rsid w:val="00D57F0F"/>
    <w:rsid w:val="00D60561"/>
    <w:rsid w:val="00D61153"/>
    <w:rsid w:val="00D6325C"/>
    <w:rsid w:val="00D63AE4"/>
    <w:rsid w:val="00D64128"/>
    <w:rsid w:val="00D65E99"/>
    <w:rsid w:val="00D6632A"/>
    <w:rsid w:val="00D667D2"/>
    <w:rsid w:val="00D66F17"/>
    <w:rsid w:val="00D700F5"/>
    <w:rsid w:val="00D726C9"/>
    <w:rsid w:val="00D75CCE"/>
    <w:rsid w:val="00D76667"/>
    <w:rsid w:val="00D80081"/>
    <w:rsid w:val="00D82FA7"/>
    <w:rsid w:val="00D86436"/>
    <w:rsid w:val="00D870C8"/>
    <w:rsid w:val="00D90FF4"/>
    <w:rsid w:val="00D9173E"/>
    <w:rsid w:val="00D9205E"/>
    <w:rsid w:val="00D92208"/>
    <w:rsid w:val="00D94B56"/>
    <w:rsid w:val="00D973A3"/>
    <w:rsid w:val="00DA7668"/>
    <w:rsid w:val="00DB0AE0"/>
    <w:rsid w:val="00DB7CEA"/>
    <w:rsid w:val="00DC00BE"/>
    <w:rsid w:val="00DC0EAD"/>
    <w:rsid w:val="00DC1928"/>
    <w:rsid w:val="00DC37D8"/>
    <w:rsid w:val="00DC4095"/>
    <w:rsid w:val="00DC4876"/>
    <w:rsid w:val="00DC529C"/>
    <w:rsid w:val="00DD0ADA"/>
    <w:rsid w:val="00DD29AD"/>
    <w:rsid w:val="00DD3266"/>
    <w:rsid w:val="00DD38A6"/>
    <w:rsid w:val="00DD3F13"/>
    <w:rsid w:val="00DD4472"/>
    <w:rsid w:val="00DD6CDE"/>
    <w:rsid w:val="00DE0050"/>
    <w:rsid w:val="00DE2F76"/>
    <w:rsid w:val="00DE3065"/>
    <w:rsid w:val="00DE63F6"/>
    <w:rsid w:val="00DF00BA"/>
    <w:rsid w:val="00DF50B1"/>
    <w:rsid w:val="00E052C6"/>
    <w:rsid w:val="00E1267F"/>
    <w:rsid w:val="00E16E11"/>
    <w:rsid w:val="00E203C6"/>
    <w:rsid w:val="00E21079"/>
    <w:rsid w:val="00E22BC3"/>
    <w:rsid w:val="00E2377F"/>
    <w:rsid w:val="00E246B0"/>
    <w:rsid w:val="00E252B0"/>
    <w:rsid w:val="00E25AFD"/>
    <w:rsid w:val="00E31778"/>
    <w:rsid w:val="00E4448D"/>
    <w:rsid w:val="00E5016D"/>
    <w:rsid w:val="00E536D5"/>
    <w:rsid w:val="00E54E86"/>
    <w:rsid w:val="00E60A87"/>
    <w:rsid w:val="00E64AE0"/>
    <w:rsid w:val="00E72CF1"/>
    <w:rsid w:val="00E751D6"/>
    <w:rsid w:val="00E75BF4"/>
    <w:rsid w:val="00E76E3D"/>
    <w:rsid w:val="00E817F2"/>
    <w:rsid w:val="00E82AB6"/>
    <w:rsid w:val="00E84CFD"/>
    <w:rsid w:val="00E97859"/>
    <w:rsid w:val="00EA0A0D"/>
    <w:rsid w:val="00EA2156"/>
    <w:rsid w:val="00EA489D"/>
    <w:rsid w:val="00EA76A6"/>
    <w:rsid w:val="00EB21F9"/>
    <w:rsid w:val="00EB420B"/>
    <w:rsid w:val="00EB4AC5"/>
    <w:rsid w:val="00EB71C2"/>
    <w:rsid w:val="00EB7DC6"/>
    <w:rsid w:val="00EC0018"/>
    <w:rsid w:val="00EC0EF7"/>
    <w:rsid w:val="00EC0FD9"/>
    <w:rsid w:val="00EC54D0"/>
    <w:rsid w:val="00ED1C84"/>
    <w:rsid w:val="00ED21B1"/>
    <w:rsid w:val="00ED2552"/>
    <w:rsid w:val="00ED357B"/>
    <w:rsid w:val="00ED3A76"/>
    <w:rsid w:val="00EE525A"/>
    <w:rsid w:val="00EF0CBC"/>
    <w:rsid w:val="00EF2F5B"/>
    <w:rsid w:val="00EF398D"/>
    <w:rsid w:val="00EF728F"/>
    <w:rsid w:val="00F058F0"/>
    <w:rsid w:val="00F07A6B"/>
    <w:rsid w:val="00F11ACC"/>
    <w:rsid w:val="00F30DAA"/>
    <w:rsid w:val="00F34889"/>
    <w:rsid w:val="00F35D14"/>
    <w:rsid w:val="00F421AB"/>
    <w:rsid w:val="00F4275E"/>
    <w:rsid w:val="00F43CE0"/>
    <w:rsid w:val="00F47797"/>
    <w:rsid w:val="00F51E2C"/>
    <w:rsid w:val="00F536B1"/>
    <w:rsid w:val="00F5549E"/>
    <w:rsid w:val="00F6272E"/>
    <w:rsid w:val="00F62C4C"/>
    <w:rsid w:val="00F63F11"/>
    <w:rsid w:val="00F6510D"/>
    <w:rsid w:val="00F6536A"/>
    <w:rsid w:val="00F71252"/>
    <w:rsid w:val="00F7176F"/>
    <w:rsid w:val="00F73346"/>
    <w:rsid w:val="00F74EB8"/>
    <w:rsid w:val="00F76157"/>
    <w:rsid w:val="00F80468"/>
    <w:rsid w:val="00F834A5"/>
    <w:rsid w:val="00F836E7"/>
    <w:rsid w:val="00F851F6"/>
    <w:rsid w:val="00F90B28"/>
    <w:rsid w:val="00F90F03"/>
    <w:rsid w:val="00F91D40"/>
    <w:rsid w:val="00F94845"/>
    <w:rsid w:val="00F970AA"/>
    <w:rsid w:val="00FA254D"/>
    <w:rsid w:val="00FA2745"/>
    <w:rsid w:val="00FA35CA"/>
    <w:rsid w:val="00FA4E49"/>
    <w:rsid w:val="00FA59A1"/>
    <w:rsid w:val="00FA7EEA"/>
    <w:rsid w:val="00FB4090"/>
    <w:rsid w:val="00FB52BB"/>
    <w:rsid w:val="00FB6C80"/>
    <w:rsid w:val="00FC0042"/>
    <w:rsid w:val="00FC0FA4"/>
    <w:rsid w:val="00FC4C9B"/>
    <w:rsid w:val="00FC7E8D"/>
    <w:rsid w:val="00FD23B6"/>
    <w:rsid w:val="00FD48EF"/>
    <w:rsid w:val="00FE3AAB"/>
    <w:rsid w:val="00FE4E94"/>
    <w:rsid w:val="00FF3312"/>
    <w:rsid w:val="00FF4939"/>
    <w:rsid w:val="00FF493B"/>
    <w:rsid w:val="00FF7C3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AE78F"/>
  <w15:docId w15:val="{69D0C48B-FDBE-45B2-AC5E-18043B4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b/>
      <w:bCs/>
      <w:caps/>
      <w:lang w:val="pl-PL"/>
    </w:rPr>
  </w:style>
  <w:style w:type="paragraph" w:styleId="Titre2">
    <w:name w:val="heading 2"/>
    <w:basedOn w:val="Normal"/>
    <w:next w:val="Normal"/>
    <w:qFormat/>
    <w:pPr>
      <w:keepNext/>
      <w:numPr>
        <w:ilvl w:val="1"/>
        <w:numId w:val="1"/>
      </w:numPr>
      <w:spacing w:before="360"/>
      <w:jc w:val="center"/>
      <w:outlineLvl w:val="1"/>
    </w:pPr>
    <w:rPr>
      <w:b/>
      <w:bCs/>
      <w:iCs/>
      <w:smallCaps/>
      <w:lang w:val="pl-PL"/>
    </w:rPr>
  </w:style>
  <w:style w:type="paragraph" w:styleId="Titre3">
    <w:name w:val="heading 3"/>
    <w:basedOn w:val="Normal"/>
    <w:next w:val="Normal"/>
    <w:qFormat/>
    <w:pPr>
      <w:keepNext/>
      <w:numPr>
        <w:ilvl w:val="2"/>
        <w:numId w:val="1"/>
      </w:numPr>
      <w:spacing w:before="360"/>
      <w:jc w:val="center"/>
      <w:outlineLvl w:val="2"/>
    </w:pPr>
    <w:rPr>
      <w:b/>
      <w:szCs w:val="26"/>
      <w:lang w:val="pl-P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pl-PL" w:bidi="ar-SA"/>
    </w:rPr>
  </w:style>
  <w:style w:type="character" w:customStyle="1" w:styleId="SNDateCar">
    <w:name w:val="SNDate Car"/>
    <w:qFormat/>
    <w:rPr>
      <w:sz w:val="24"/>
      <w:szCs w:val="24"/>
      <w:lang w:val="pl-PL" w:bidi="ar-SA"/>
    </w:rPr>
  </w:style>
  <w:style w:type="character" w:customStyle="1" w:styleId="SNArticleCar">
    <w:name w:val="SNArticle Car"/>
    <w:qFormat/>
    <w:rPr>
      <w:b/>
      <w:bCs/>
      <w:sz w:val="24"/>
      <w:szCs w:val="24"/>
      <w:lang w:val="pl-PL"/>
    </w:rPr>
  </w:style>
  <w:style w:type="character" w:customStyle="1" w:styleId="SNenProjet">
    <w:name w:val="SNenProjet"/>
    <w:basedOn w:val="Policepardfaut1"/>
    <w:qFormat/>
  </w:style>
  <w:style w:type="character" w:customStyle="1" w:styleId="CarCar5">
    <w:name w:val="Car Car5"/>
    <w:qFormat/>
    <w:rPr>
      <w:b/>
      <w:sz w:val="24"/>
      <w:szCs w:val="26"/>
      <w:lang w:val="pl-PL"/>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pl-PL"/>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rPr>
      <w:color w:val="0000FF"/>
      <w:u w:val="single"/>
    </w:rPr>
  </w:style>
  <w:style w:type="character" w:customStyle="1" w:styleId="surlignage">
    <w:name w:val="surlignage"/>
    <w:qFormat/>
  </w:style>
  <w:style w:type="character" w:styleId="Lienhypertextesuivivisit">
    <w:name w:val="FollowedHyperlink"/>
    <w:qFormat/>
    <w:rPr>
      <w:color w:val="800080"/>
      <w:u w:val="single"/>
    </w:rPr>
  </w:style>
  <w:style w:type="character" w:styleId="lev">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Accentuation">
    <w:name w:val="Emphasis"/>
    <w:uiPriority w:val="20"/>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pl-PL" w:eastAsia="en-US"/>
    </w:rPr>
  </w:style>
  <w:style w:type="character" w:customStyle="1" w:styleId="TablebodyChar">
    <w:name w:val="Table body Char"/>
    <w:link w:val="Tablebody"/>
    <w:qFormat/>
    <w:rsid w:val="00C16C8D"/>
    <w:rPr>
      <w:rFonts w:ascii="Arial" w:eastAsia="Calibri" w:hAnsi="Arial"/>
      <w:szCs w:val="22"/>
      <w:lang w:val="pl-PL" w:eastAsia="en-US"/>
    </w:rPr>
  </w:style>
  <w:style w:type="character" w:customStyle="1" w:styleId="TableheaderChar">
    <w:name w:val="Table header Char"/>
    <w:link w:val="Tableheader"/>
    <w:qFormat/>
    <w:rsid w:val="00C16C8D"/>
    <w:rPr>
      <w:rFonts w:ascii="Arial" w:eastAsia="Calibri" w:hAnsi="Arial"/>
      <w:szCs w:val="22"/>
      <w:lang w:val="pl-PL" w:eastAsia="en-US"/>
    </w:rPr>
  </w:style>
  <w:style w:type="character" w:customStyle="1" w:styleId="ListLabel1">
    <w:name w:val="ListLabel 1"/>
    <w:qFormat/>
    <w:rPr>
      <w:rFonts w:cs="Liberation Sans"/>
    </w:rPr>
  </w:style>
  <w:style w:type="character" w:customStyle="1" w:styleId="ListLabel2">
    <w:name w:val="ListLabel 2"/>
    <w:qFormat/>
    <w:rPr>
      <w:rFonts w:cs="Liberation Sans"/>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jc w:val="both"/>
    </w:pPr>
    <w:rPr>
      <w:lang w:val="pl-PL"/>
    </w:r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0">
    <w:name w:val="Titre3"/>
    <w:basedOn w:val="Normal"/>
    <w:qFormat/>
    <w:pPr>
      <w:keepNext/>
      <w:spacing w:before="240" w:after="120"/>
    </w:pPr>
    <w:rPr>
      <w:rFonts w:ascii="Liberation Sans" w:eastAsia="Microsoft YaHei" w:hAnsi="Liberation Sans" w:cs="Mangal"/>
      <w:sz w:val="28"/>
      <w:szCs w:val="28"/>
    </w:rPr>
  </w:style>
  <w:style w:type="paragraph" w:customStyle="1" w:styleId="Titre20">
    <w:name w:val="Titre2"/>
    <w:basedOn w:val="Normal"/>
    <w:qFormat/>
    <w:pPr>
      <w:keepNext/>
      <w:spacing w:before="240" w:after="120"/>
    </w:pPr>
    <w:rPr>
      <w:rFonts w:ascii="Garamond" w:eastAsia="Microsoft YaHei" w:hAnsi="Garamond" w:cs="Mangal"/>
      <w:sz w:val="28"/>
      <w:szCs w:val="28"/>
    </w:rPr>
  </w:style>
  <w:style w:type="paragraph" w:customStyle="1" w:styleId="Titre10">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suppressAutoHyphens/>
      <w:jc w:val="center"/>
    </w:pPr>
    <w:rPr>
      <w:bCs/>
      <w:sz w:val="24"/>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lang w:val="pl-PL"/>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Textedebulles">
    <w:name w:val="Balloon Text"/>
    <w:basedOn w:val="Normal"/>
    <w:qFormat/>
    <w:rPr>
      <w:rFonts w:ascii="Tahoma" w:hAnsi="Tahoma" w:cs="Tahoma"/>
      <w:sz w:val="16"/>
      <w:szCs w:val="16"/>
    </w:rPr>
  </w:style>
  <w:style w:type="paragraph" w:customStyle="1" w:styleId="Titre1objet">
    <w:name w:val="Titre 1 objet"/>
    <w:basedOn w:val="Titre1"/>
    <w:qFormat/>
    <w:pPr>
      <w:numPr>
        <w:numId w:val="0"/>
      </w:numPr>
      <w:spacing w:before="0" w:after="120"/>
    </w:pPr>
    <w:rPr>
      <w:b w:val="0"/>
    </w:rPr>
  </w:style>
  <w:style w:type="paragraph" w:customStyle="1" w:styleId="Titre2objet">
    <w:name w:val="Titre 2 objet"/>
    <w:basedOn w:val="Titre2"/>
    <w:next w:val="Normal"/>
    <w:qFormat/>
    <w:pPr>
      <w:numPr>
        <w:ilvl w:val="0"/>
        <w:numId w:val="0"/>
      </w:numPr>
      <w:spacing w:before="0" w:after="120"/>
    </w:pPr>
    <w:rPr>
      <w:b w:val="0"/>
    </w:rPr>
  </w:style>
  <w:style w:type="paragraph" w:customStyle="1" w:styleId="titre3objet">
    <w:name w:val="titre 3 objet"/>
    <w:basedOn w:val="Titre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lang w:val="pl-PL"/>
    </w:rPr>
  </w:style>
  <w:style w:type="paragraph" w:styleId="En-tte">
    <w:name w:val="header"/>
    <w:basedOn w:val="Normal"/>
    <w:pPr>
      <w:tabs>
        <w:tab w:val="center" w:pos="4536"/>
        <w:tab w:val="right" w:pos="9072"/>
      </w:tabs>
    </w:pPr>
    <w:rPr>
      <w:lang w:val="pl-PL"/>
    </w:rPr>
  </w:style>
  <w:style w:type="paragraph" w:styleId="Pieddepage">
    <w:name w:val="footer"/>
    <w:basedOn w:val="Normal"/>
    <w:link w:val="PieddepageCar"/>
    <w:uiPriority w:val="99"/>
    <w:pPr>
      <w:tabs>
        <w:tab w:val="center" w:pos="4536"/>
        <w:tab w:val="right" w:pos="9072"/>
      </w:tabs>
    </w:pPr>
    <w:rPr>
      <w:lang w:val="pl-PL"/>
    </w:r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vision">
    <w:name w:val="Revision"/>
    <w:qFormat/>
    <w:pPr>
      <w:suppressAutoHyphens/>
    </w:pPr>
    <w:rPr>
      <w:sz w:val="24"/>
      <w:szCs w:val="24"/>
      <w:lang w:eastAsia="zh-CN"/>
    </w:rPr>
  </w:style>
  <w:style w:type="paragraph" w:customStyle="1" w:styleId="Default">
    <w:name w:val="Default"/>
    <w:qFormat/>
    <w:pPr>
      <w:suppressAutoHyphens/>
    </w:pPr>
    <w:rPr>
      <w:color w:val="000000"/>
      <w:sz w:val="24"/>
      <w:szCs w:val="24"/>
      <w:lang w:eastAsia="zh-CN"/>
    </w:rPr>
  </w:style>
  <w:style w:type="paragraph" w:styleId="Notedebasdepage">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uppressAutoHyphens w:val="0"/>
      <w:spacing w:before="280" w:after="119"/>
      <w:jc w:val="both"/>
    </w:pPr>
    <w:rPr>
      <w:color w:val="000000"/>
    </w:rPr>
  </w:style>
  <w:style w:type="paragraph" w:customStyle="1" w:styleId="Commentaire3">
    <w:name w:val="Commentaire3"/>
    <w:basedOn w:val="Normal"/>
    <w:qFormat/>
    <w:rPr>
      <w:sz w:val="20"/>
      <w:szCs w:val="20"/>
    </w:rPr>
  </w:style>
  <w:style w:type="paragraph" w:styleId="Paragraphedeliste">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val="pl-PL" w:eastAsia="en-US"/>
    </w:rPr>
  </w:style>
  <w:style w:type="paragraph" w:customStyle="1" w:styleId="Tablebody">
    <w:name w:val="Table body"/>
    <w:basedOn w:val="Normal"/>
    <w:link w:val="TablebodyChar"/>
    <w:qFormat/>
    <w:rsid w:val="00C16C8D"/>
    <w:pPr>
      <w:suppressAutoHyphens w:val="0"/>
      <w:spacing w:before="60" w:after="60" w:line="210" w:lineRule="atLeast"/>
    </w:pPr>
    <w:rPr>
      <w:rFonts w:ascii="Arial" w:eastAsia="Calibri" w:hAnsi="Arial"/>
      <w:sz w:val="20"/>
      <w:szCs w:val="22"/>
      <w:lang w:val="pl-PL"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pPr>
      <w:suppressAutoHyphens w:val="0"/>
    </w:pPr>
    <w:rPr>
      <w:rFonts w:ascii="EUAlbertina" w:hAnsi="EUAlbertina"/>
      <w:color w:val="00000A"/>
      <w:lang w:eastAsia="fr-FR"/>
    </w:rPr>
  </w:style>
  <w:style w:type="paragraph" w:customStyle="1" w:styleId="CM3">
    <w:name w:val="CM3"/>
    <w:basedOn w:val="Default"/>
    <w:next w:val="Default"/>
    <w:uiPriority w:val="99"/>
    <w:qFormat/>
    <w:rsid w:val="009A03FA"/>
    <w:pPr>
      <w:suppressAutoHyphens w:val="0"/>
    </w:pPr>
    <w:rPr>
      <w:rFonts w:ascii="EUAlbertina" w:hAnsi="EUAlbertina"/>
      <w:color w:val="00000A"/>
      <w:lang w:eastAsia="fr-FR"/>
    </w:rPr>
  </w:style>
  <w:style w:type="paragraph" w:customStyle="1" w:styleId="CM4">
    <w:name w:val="CM4"/>
    <w:basedOn w:val="Default"/>
    <w:next w:val="Default"/>
    <w:uiPriority w:val="99"/>
    <w:qFormat/>
    <w:rsid w:val="009A03FA"/>
    <w:pPr>
      <w:suppressAutoHyphens w:val="0"/>
    </w:pPr>
    <w:rPr>
      <w:rFonts w:ascii="EUAlbertina" w:hAnsi="EUAlbertina"/>
      <w:color w:val="00000A"/>
      <w:lang w:eastAsia="fr-FR"/>
    </w:rPr>
  </w:style>
  <w:style w:type="character" w:styleId="Marquedecommentaire">
    <w:name w:val="annotation reference"/>
    <w:basedOn w:val="Policepardfaut"/>
    <w:uiPriority w:val="99"/>
    <w:semiHidden/>
    <w:unhideWhenUsed/>
    <w:rsid w:val="00A80B02"/>
    <w:rPr>
      <w:sz w:val="16"/>
      <w:szCs w:val="16"/>
    </w:rPr>
  </w:style>
  <w:style w:type="paragraph" w:styleId="Commentaire">
    <w:name w:val="annotation text"/>
    <w:basedOn w:val="Normal"/>
    <w:link w:val="CommentaireCar1"/>
    <w:uiPriority w:val="99"/>
    <w:unhideWhenUsed/>
    <w:rsid w:val="00A80B02"/>
    <w:rPr>
      <w:sz w:val="20"/>
      <w:szCs w:val="20"/>
    </w:rPr>
  </w:style>
  <w:style w:type="character" w:customStyle="1" w:styleId="CommentaireCar1">
    <w:name w:val="Commentaire Car1"/>
    <w:basedOn w:val="Policepardfaut"/>
    <w:link w:val="Commentaire"/>
    <w:uiPriority w:val="99"/>
    <w:rsid w:val="00A80B02"/>
    <w:rPr>
      <w:lang w:eastAsia="zh-CN"/>
    </w:rPr>
  </w:style>
  <w:style w:type="character" w:customStyle="1" w:styleId="highlight">
    <w:name w:val="highlight"/>
    <w:basedOn w:val="Policepardfaut"/>
    <w:rsid w:val="00EB71C2"/>
  </w:style>
  <w:style w:type="character" w:customStyle="1" w:styleId="PieddepageCar">
    <w:name w:val="Pied de page Car"/>
    <w:basedOn w:val="Policepardfaut"/>
    <w:link w:val="Pieddepage"/>
    <w:uiPriority w:val="99"/>
    <w:rsid w:val="00A6698F"/>
    <w:rPr>
      <w:sz w:val="24"/>
      <w:szCs w:val="24"/>
      <w:lang w:val="pl-PL" w:eastAsia="zh-CN"/>
    </w:rPr>
  </w:style>
  <w:style w:type="character" w:styleId="Lienhypertexte">
    <w:name w:val="Hyperlink"/>
    <w:basedOn w:val="Policepardfaut"/>
    <w:uiPriority w:val="99"/>
    <w:semiHidden/>
    <w:unhideWhenUsed/>
    <w:rsid w:val="00D60561"/>
    <w:rPr>
      <w:color w:val="0000FF"/>
      <w:u w:val="single"/>
    </w:rPr>
  </w:style>
  <w:style w:type="character" w:customStyle="1" w:styleId="super">
    <w:name w:val="super"/>
    <w:basedOn w:val="Policepardfaut"/>
    <w:rsid w:val="00ED3A76"/>
  </w:style>
  <w:style w:type="character" w:customStyle="1" w:styleId="st">
    <w:name w:val="st"/>
    <w:basedOn w:val="Policepardfaut"/>
    <w:rsid w:val="00014DD9"/>
  </w:style>
  <w:style w:type="paragraph" w:customStyle="1" w:styleId="snconsultation0">
    <w:name w:val="snconsultation"/>
    <w:basedOn w:val="Normal"/>
    <w:rsid w:val="00D240BE"/>
    <w:pPr>
      <w:suppressAutoHyphens w:val="0"/>
      <w:spacing w:before="100" w:beforeAutospacing="1" w:after="100" w:afterAutospacing="1"/>
    </w:pPr>
    <w:rPr>
      <w:lang w:eastAsia="fr-FR"/>
    </w:rPr>
  </w:style>
  <w:style w:type="table" w:styleId="Grilledutableau">
    <w:name w:val="Table Grid"/>
    <w:basedOn w:val="TableauNormal"/>
    <w:uiPriority w:val="39"/>
    <w:rsid w:val="00B8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Policepardfaut"/>
    <w:rsid w:val="00F65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17">
      <w:bodyDiv w:val="1"/>
      <w:marLeft w:val="0"/>
      <w:marRight w:val="0"/>
      <w:marTop w:val="0"/>
      <w:marBottom w:val="0"/>
      <w:divBdr>
        <w:top w:val="none" w:sz="0" w:space="0" w:color="auto"/>
        <w:left w:val="none" w:sz="0" w:space="0" w:color="auto"/>
        <w:bottom w:val="none" w:sz="0" w:space="0" w:color="auto"/>
        <w:right w:val="none" w:sz="0" w:space="0" w:color="auto"/>
      </w:divBdr>
    </w:div>
    <w:div w:id="125708193">
      <w:bodyDiv w:val="1"/>
      <w:marLeft w:val="0"/>
      <w:marRight w:val="0"/>
      <w:marTop w:val="0"/>
      <w:marBottom w:val="0"/>
      <w:divBdr>
        <w:top w:val="none" w:sz="0" w:space="0" w:color="auto"/>
        <w:left w:val="none" w:sz="0" w:space="0" w:color="auto"/>
        <w:bottom w:val="none" w:sz="0" w:space="0" w:color="auto"/>
        <w:right w:val="none" w:sz="0" w:space="0" w:color="auto"/>
      </w:divBdr>
      <w:divsChild>
        <w:div w:id="1997300179">
          <w:marLeft w:val="0"/>
          <w:marRight w:val="0"/>
          <w:marTop w:val="0"/>
          <w:marBottom w:val="0"/>
          <w:divBdr>
            <w:top w:val="none" w:sz="0" w:space="0" w:color="auto"/>
            <w:left w:val="none" w:sz="0" w:space="0" w:color="auto"/>
            <w:bottom w:val="none" w:sz="0" w:space="0" w:color="auto"/>
            <w:right w:val="none" w:sz="0" w:space="0" w:color="auto"/>
          </w:divBdr>
        </w:div>
        <w:div w:id="1307273481">
          <w:marLeft w:val="0"/>
          <w:marRight w:val="0"/>
          <w:marTop w:val="0"/>
          <w:marBottom w:val="0"/>
          <w:divBdr>
            <w:top w:val="none" w:sz="0" w:space="0" w:color="auto"/>
            <w:left w:val="none" w:sz="0" w:space="0" w:color="auto"/>
            <w:bottom w:val="none" w:sz="0" w:space="0" w:color="auto"/>
            <w:right w:val="none" w:sz="0" w:space="0" w:color="auto"/>
          </w:divBdr>
        </w:div>
        <w:div w:id="928196914">
          <w:marLeft w:val="0"/>
          <w:marRight w:val="0"/>
          <w:marTop w:val="0"/>
          <w:marBottom w:val="0"/>
          <w:divBdr>
            <w:top w:val="none" w:sz="0" w:space="0" w:color="auto"/>
            <w:left w:val="none" w:sz="0" w:space="0" w:color="auto"/>
            <w:bottom w:val="none" w:sz="0" w:space="0" w:color="auto"/>
            <w:right w:val="none" w:sz="0" w:space="0" w:color="auto"/>
          </w:divBdr>
        </w:div>
        <w:div w:id="2145464854">
          <w:marLeft w:val="0"/>
          <w:marRight w:val="0"/>
          <w:marTop w:val="0"/>
          <w:marBottom w:val="0"/>
          <w:divBdr>
            <w:top w:val="none" w:sz="0" w:space="0" w:color="auto"/>
            <w:left w:val="none" w:sz="0" w:space="0" w:color="auto"/>
            <w:bottom w:val="none" w:sz="0" w:space="0" w:color="auto"/>
            <w:right w:val="none" w:sz="0" w:space="0" w:color="auto"/>
          </w:divBdr>
        </w:div>
      </w:divsChild>
    </w:div>
    <w:div w:id="285045538">
      <w:bodyDiv w:val="1"/>
      <w:marLeft w:val="0"/>
      <w:marRight w:val="0"/>
      <w:marTop w:val="0"/>
      <w:marBottom w:val="0"/>
      <w:divBdr>
        <w:top w:val="none" w:sz="0" w:space="0" w:color="auto"/>
        <w:left w:val="none" w:sz="0" w:space="0" w:color="auto"/>
        <w:bottom w:val="none" w:sz="0" w:space="0" w:color="auto"/>
        <w:right w:val="none" w:sz="0" w:space="0" w:color="auto"/>
      </w:divBdr>
    </w:div>
    <w:div w:id="624963779">
      <w:bodyDiv w:val="1"/>
      <w:marLeft w:val="0"/>
      <w:marRight w:val="0"/>
      <w:marTop w:val="0"/>
      <w:marBottom w:val="0"/>
      <w:divBdr>
        <w:top w:val="none" w:sz="0" w:space="0" w:color="auto"/>
        <w:left w:val="none" w:sz="0" w:space="0" w:color="auto"/>
        <w:bottom w:val="none" w:sz="0" w:space="0" w:color="auto"/>
        <w:right w:val="none" w:sz="0" w:space="0" w:color="auto"/>
      </w:divBdr>
    </w:div>
    <w:div w:id="1030030897">
      <w:bodyDiv w:val="1"/>
      <w:marLeft w:val="0"/>
      <w:marRight w:val="0"/>
      <w:marTop w:val="0"/>
      <w:marBottom w:val="0"/>
      <w:divBdr>
        <w:top w:val="none" w:sz="0" w:space="0" w:color="auto"/>
        <w:left w:val="none" w:sz="0" w:space="0" w:color="auto"/>
        <w:bottom w:val="none" w:sz="0" w:space="0" w:color="auto"/>
        <w:right w:val="none" w:sz="0" w:space="0" w:color="auto"/>
      </w:divBdr>
    </w:div>
    <w:div w:id="1089733944">
      <w:bodyDiv w:val="1"/>
      <w:marLeft w:val="0"/>
      <w:marRight w:val="0"/>
      <w:marTop w:val="0"/>
      <w:marBottom w:val="0"/>
      <w:divBdr>
        <w:top w:val="none" w:sz="0" w:space="0" w:color="auto"/>
        <w:left w:val="none" w:sz="0" w:space="0" w:color="auto"/>
        <w:bottom w:val="none" w:sz="0" w:space="0" w:color="auto"/>
        <w:right w:val="none" w:sz="0" w:space="0" w:color="auto"/>
      </w:divBdr>
    </w:div>
    <w:div w:id="1232347650">
      <w:bodyDiv w:val="1"/>
      <w:marLeft w:val="0"/>
      <w:marRight w:val="0"/>
      <w:marTop w:val="0"/>
      <w:marBottom w:val="0"/>
      <w:divBdr>
        <w:top w:val="none" w:sz="0" w:space="0" w:color="auto"/>
        <w:left w:val="none" w:sz="0" w:space="0" w:color="auto"/>
        <w:bottom w:val="none" w:sz="0" w:space="0" w:color="auto"/>
        <w:right w:val="none" w:sz="0" w:space="0" w:color="auto"/>
      </w:divBdr>
      <w:divsChild>
        <w:div w:id="1537615740">
          <w:marLeft w:val="0"/>
          <w:marRight w:val="0"/>
          <w:marTop w:val="0"/>
          <w:marBottom w:val="0"/>
          <w:divBdr>
            <w:top w:val="none" w:sz="0" w:space="0" w:color="auto"/>
            <w:left w:val="none" w:sz="0" w:space="0" w:color="auto"/>
            <w:bottom w:val="none" w:sz="0" w:space="0" w:color="auto"/>
            <w:right w:val="none" w:sz="0" w:space="0" w:color="auto"/>
          </w:divBdr>
          <w:divsChild>
            <w:div w:id="2140561835">
              <w:marLeft w:val="0"/>
              <w:marRight w:val="0"/>
              <w:marTop w:val="0"/>
              <w:marBottom w:val="0"/>
              <w:divBdr>
                <w:top w:val="none" w:sz="0" w:space="0" w:color="auto"/>
                <w:left w:val="none" w:sz="0" w:space="0" w:color="auto"/>
                <w:bottom w:val="none" w:sz="0" w:space="0" w:color="auto"/>
                <w:right w:val="none" w:sz="0" w:space="0" w:color="auto"/>
              </w:divBdr>
              <w:divsChild>
                <w:div w:id="875198423">
                  <w:marLeft w:val="0"/>
                  <w:marRight w:val="0"/>
                  <w:marTop w:val="0"/>
                  <w:marBottom w:val="0"/>
                  <w:divBdr>
                    <w:top w:val="none" w:sz="0" w:space="0" w:color="auto"/>
                    <w:left w:val="none" w:sz="0" w:space="0" w:color="auto"/>
                    <w:bottom w:val="none" w:sz="0" w:space="0" w:color="auto"/>
                    <w:right w:val="none" w:sz="0" w:space="0" w:color="auto"/>
                  </w:divBdr>
                </w:div>
                <w:div w:id="819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5999">
      <w:bodyDiv w:val="1"/>
      <w:marLeft w:val="0"/>
      <w:marRight w:val="0"/>
      <w:marTop w:val="0"/>
      <w:marBottom w:val="0"/>
      <w:divBdr>
        <w:top w:val="none" w:sz="0" w:space="0" w:color="auto"/>
        <w:left w:val="none" w:sz="0" w:space="0" w:color="auto"/>
        <w:bottom w:val="none" w:sz="0" w:space="0" w:color="auto"/>
        <w:right w:val="none" w:sz="0" w:space="0" w:color="auto"/>
      </w:divBdr>
    </w:div>
    <w:div w:id="1302425421">
      <w:bodyDiv w:val="1"/>
      <w:marLeft w:val="0"/>
      <w:marRight w:val="0"/>
      <w:marTop w:val="0"/>
      <w:marBottom w:val="0"/>
      <w:divBdr>
        <w:top w:val="none" w:sz="0" w:space="0" w:color="auto"/>
        <w:left w:val="none" w:sz="0" w:space="0" w:color="auto"/>
        <w:bottom w:val="none" w:sz="0" w:space="0" w:color="auto"/>
        <w:right w:val="none" w:sz="0" w:space="0" w:color="auto"/>
      </w:divBdr>
    </w:div>
    <w:div w:id="1480003028">
      <w:bodyDiv w:val="1"/>
      <w:marLeft w:val="0"/>
      <w:marRight w:val="0"/>
      <w:marTop w:val="0"/>
      <w:marBottom w:val="0"/>
      <w:divBdr>
        <w:top w:val="none" w:sz="0" w:space="0" w:color="auto"/>
        <w:left w:val="none" w:sz="0" w:space="0" w:color="auto"/>
        <w:bottom w:val="none" w:sz="0" w:space="0" w:color="auto"/>
        <w:right w:val="none" w:sz="0" w:space="0" w:color="auto"/>
      </w:divBdr>
    </w:div>
    <w:div w:id="1566909387">
      <w:bodyDiv w:val="1"/>
      <w:marLeft w:val="0"/>
      <w:marRight w:val="0"/>
      <w:marTop w:val="0"/>
      <w:marBottom w:val="0"/>
      <w:divBdr>
        <w:top w:val="none" w:sz="0" w:space="0" w:color="auto"/>
        <w:left w:val="none" w:sz="0" w:space="0" w:color="auto"/>
        <w:bottom w:val="none" w:sz="0" w:space="0" w:color="auto"/>
        <w:right w:val="none" w:sz="0" w:space="0" w:color="auto"/>
      </w:divBdr>
      <w:divsChild>
        <w:div w:id="1870025634">
          <w:marLeft w:val="0"/>
          <w:marRight w:val="0"/>
          <w:marTop w:val="0"/>
          <w:marBottom w:val="0"/>
          <w:divBdr>
            <w:top w:val="none" w:sz="0" w:space="0" w:color="auto"/>
            <w:left w:val="none" w:sz="0" w:space="0" w:color="auto"/>
            <w:bottom w:val="none" w:sz="0" w:space="0" w:color="auto"/>
            <w:right w:val="none" w:sz="0" w:space="0" w:color="auto"/>
          </w:divBdr>
        </w:div>
        <w:div w:id="477770862">
          <w:marLeft w:val="0"/>
          <w:marRight w:val="0"/>
          <w:marTop w:val="0"/>
          <w:marBottom w:val="0"/>
          <w:divBdr>
            <w:top w:val="none" w:sz="0" w:space="0" w:color="auto"/>
            <w:left w:val="none" w:sz="0" w:space="0" w:color="auto"/>
            <w:bottom w:val="none" w:sz="0" w:space="0" w:color="auto"/>
            <w:right w:val="none" w:sz="0" w:space="0" w:color="auto"/>
          </w:divBdr>
        </w:div>
        <w:div w:id="1891988565">
          <w:marLeft w:val="0"/>
          <w:marRight w:val="0"/>
          <w:marTop w:val="0"/>
          <w:marBottom w:val="0"/>
          <w:divBdr>
            <w:top w:val="none" w:sz="0" w:space="0" w:color="auto"/>
            <w:left w:val="none" w:sz="0" w:space="0" w:color="auto"/>
            <w:bottom w:val="none" w:sz="0" w:space="0" w:color="auto"/>
            <w:right w:val="none" w:sz="0" w:space="0" w:color="auto"/>
          </w:divBdr>
        </w:div>
        <w:div w:id="2121416046">
          <w:marLeft w:val="0"/>
          <w:marRight w:val="0"/>
          <w:marTop w:val="0"/>
          <w:marBottom w:val="0"/>
          <w:divBdr>
            <w:top w:val="none" w:sz="0" w:space="0" w:color="auto"/>
            <w:left w:val="none" w:sz="0" w:space="0" w:color="auto"/>
            <w:bottom w:val="none" w:sz="0" w:space="0" w:color="auto"/>
            <w:right w:val="none" w:sz="0" w:space="0" w:color="auto"/>
          </w:divBdr>
        </w:div>
        <w:div w:id="996304466">
          <w:marLeft w:val="0"/>
          <w:marRight w:val="0"/>
          <w:marTop w:val="0"/>
          <w:marBottom w:val="0"/>
          <w:divBdr>
            <w:top w:val="none" w:sz="0" w:space="0" w:color="auto"/>
            <w:left w:val="none" w:sz="0" w:space="0" w:color="auto"/>
            <w:bottom w:val="none" w:sz="0" w:space="0" w:color="auto"/>
            <w:right w:val="none" w:sz="0" w:space="0" w:color="auto"/>
          </w:divBdr>
        </w:div>
        <w:div w:id="1867213373">
          <w:marLeft w:val="0"/>
          <w:marRight w:val="0"/>
          <w:marTop w:val="0"/>
          <w:marBottom w:val="0"/>
          <w:divBdr>
            <w:top w:val="none" w:sz="0" w:space="0" w:color="auto"/>
            <w:left w:val="none" w:sz="0" w:space="0" w:color="auto"/>
            <w:bottom w:val="none" w:sz="0" w:space="0" w:color="auto"/>
            <w:right w:val="none" w:sz="0" w:space="0" w:color="auto"/>
          </w:divBdr>
        </w:div>
      </w:divsChild>
    </w:div>
    <w:div w:id="1647123038">
      <w:bodyDiv w:val="1"/>
      <w:marLeft w:val="0"/>
      <w:marRight w:val="0"/>
      <w:marTop w:val="0"/>
      <w:marBottom w:val="0"/>
      <w:divBdr>
        <w:top w:val="none" w:sz="0" w:space="0" w:color="auto"/>
        <w:left w:val="none" w:sz="0" w:space="0" w:color="auto"/>
        <w:bottom w:val="none" w:sz="0" w:space="0" w:color="auto"/>
        <w:right w:val="none" w:sz="0" w:space="0" w:color="auto"/>
      </w:divBdr>
      <w:divsChild>
        <w:div w:id="1452356127">
          <w:marLeft w:val="0"/>
          <w:marRight w:val="0"/>
          <w:marTop w:val="0"/>
          <w:marBottom w:val="0"/>
          <w:divBdr>
            <w:top w:val="none" w:sz="0" w:space="0" w:color="auto"/>
            <w:left w:val="none" w:sz="0" w:space="0" w:color="auto"/>
            <w:bottom w:val="none" w:sz="0" w:space="0" w:color="auto"/>
            <w:right w:val="none" w:sz="0" w:space="0" w:color="auto"/>
          </w:divBdr>
        </w:div>
        <w:div w:id="1900626427">
          <w:marLeft w:val="0"/>
          <w:marRight w:val="0"/>
          <w:marTop w:val="0"/>
          <w:marBottom w:val="0"/>
          <w:divBdr>
            <w:top w:val="none" w:sz="0" w:space="0" w:color="auto"/>
            <w:left w:val="none" w:sz="0" w:space="0" w:color="auto"/>
            <w:bottom w:val="none" w:sz="0" w:space="0" w:color="auto"/>
            <w:right w:val="none" w:sz="0" w:space="0" w:color="auto"/>
          </w:divBdr>
        </w:div>
        <w:div w:id="1573544224">
          <w:marLeft w:val="0"/>
          <w:marRight w:val="0"/>
          <w:marTop w:val="0"/>
          <w:marBottom w:val="0"/>
          <w:divBdr>
            <w:top w:val="none" w:sz="0" w:space="0" w:color="auto"/>
            <w:left w:val="none" w:sz="0" w:space="0" w:color="auto"/>
            <w:bottom w:val="none" w:sz="0" w:space="0" w:color="auto"/>
            <w:right w:val="none" w:sz="0" w:space="0" w:color="auto"/>
          </w:divBdr>
        </w:div>
        <w:div w:id="712770066">
          <w:marLeft w:val="0"/>
          <w:marRight w:val="0"/>
          <w:marTop w:val="0"/>
          <w:marBottom w:val="0"/>
          <w:divBdr>
            <w:top w:val="none" w:sz="0" w:space="0" w:color="auto"/>
            <w:left w:val="none" w:sz="0" w:space="0" w:color="auto"/>
            <w:bottom w:val="none" w:sz="0" w:space="0" w:color="auto"/>
            <w:right w:val="none" w:sz="0" w:space="0" w:color="auto"/>
          </w:divBdr>
        </w:div>
        <w:div w:id="1782072104">
          <w:marLeft w:val="0"/>
          <w:marRight w:val="0"/>
          <w:marTop w:val="0"/>
          <w:marBottom w:val="0"/>
          <w:divBdr>
            <w:top w:val="none" w:sz="0" w:space="0" w:color="auto"/>
            <w:left w:val="none" w:sz="0" w:space="0" w:color="auto"/>
            <w:bottom w:val="none" w:sz="0" w:space="0" w:color="auto"/>
            <w:right w:val="none" w:sz="0" w:space="0" w:color="auto"/>
          </w:divBdr>
        </w:div>
        <w:div w:id="1832722191">
          <w:marLeft w:val="0"/>
          <w:marRight w:val="0"/>
          <w:marTop w:val="0"/>
          <w:marBottom w:val="0"/>
          <w:divBdr>
            <w:top w:val="none" w:sz="0" w:space="0" w:color="auto"/>
            <w:left w:val="none" w:sz="0" w:space="0" w:color="auto"/>
            <w:bottom w:val="none" w:sz="0" w:space="0" w:color="auto"/>
            <w:right w:val="none" w:sz="0" w:space="0" w:color="auto"/>
          </w:divBdr>
        </w:div>
        <w:div w:id="335575168">
          <w:marLeft w:val="0"/>
          <w:marRight w:val="0"/>
          <w:marTop w:val="0"/>
          <w:marBottom w:val="0"/>
          <w:divBdr>
            <w:top w:val="none" w:sz="0" w:space="0" w:color="auto"/>
            <w:left w:val="none" w:sz="0" w:space="0" w:color="auto"/>
            <w:bottom w:val="none" w:sz="0" w:space="0" w:color="auto"/>
            <w:right w:val="none" w:sz="0" w:space="0" w:color="auto"/>
          </w:divBdr>
        </w:div>
        <w:div w:id="2015263081">
          <w:marLeft w:val="0"/>
          <w:marRight w:val="0"/>
          <w:marTop w:val="0"/>
          <w:marBottom w:val="0"/>
          <w:divBdr>
            <w:top w:val="none" w:sz="0" w:space="0" w:color="auto"/>
            <w:left w:val="none" w:sz="0" w:space="0" w:color="auto"/>
            <w:bottom w:val="none" w:sz="0" w:space="0" w:color="auto"/>
            <w:right w:val="none" w:sz="0" w:space="0" w:color="auto"/>
          </w:divBdr>
        </w:div>
      </w:divsChild>
    </w:div>
    <w:div w:id="1803381148">
      <w:bodyDiv w:val="1"/>
      <w:marLeft w:val="0"/>
      <w:marRight w:val="0"/>
      <w:marTop w:val="0"/>
      <w:marBottom w:val="0"/>
      <w:divBdr>
        <w:top w:val="none" w:sz="0" w:space="0" w:color="auto"/>
        <w:left w:val="none" w:sz="0" w:space="0" w:color="auto"/>
        <w:bottom w:val="none" w:sz="0" w:space="0" w:color="auto"/>
        <w:right w:val="none" w:sz="0" w:space="0" w:color="auto"/>
      </w:divBdr>
    </w:div>
    <w:div w:id="1842500087">
      <w:bodyDiv w:val="1"/>
      <w:marLeft w:val="0"/>
      <w:marRight w:val="0"/>
      <w:marTop w:val="0"/>
      <w:marBottom w:val="0"/>
      <w:divBdr>
        <w:top w:val="none" w:sz="0" w:space="0" w:color="auto"/>
        <w:left w:val="none" w:sz="0" w:space="0" w:color="auto"/>
        <w:bottom w:val="none" w:sz="0" w:space="0" w:color="auto"/>
        <w:right w:val="none" w:sz="0" w:space="0" w:color="auto"/>
      </w:divBdr>
    </w:div>
    <w:div w:id="209462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CBB6-6979-46B0-A70E-D3E217E5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3034</Words>
  <Characters>16690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REPUBLIQUE FRANCAISE</vt:lpstr>
    </vt:vector>
  </TitlesOfParts>
  <Company>Hewlett-Packard Company</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GC</dc:creator>
  <dc:description/>
  <cp:lastModifiedBy>MOIZO Juliette</cp:lastModifiedBy>
  <cp:revision>10</cp:revision>
  <cp:lastPrinted>2021-04-29T14:31:00Z</cp:lastPrinted>
  <dcterms:created xsi:type="dcterms:W3CDTF">2021-09-29T20:01:00Z</dcterms:created>
  <dcterms:modified xsi:type="dcterms:W3CDTF">2021-10-01T16:20:00Z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