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B82B" w14:textId="77777777" w:rsidR="00D95325" w:rsidRPr="00D95325" w:rsidRDefault="00D95325" w:rsidP="00D95325">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2022-748 af 29. april 2022 om forbrugeroplysning om affaldsgenererende produkters miljømæssige egenskaber og karakteristika</w:t>
      </w:r>
    </w:p>
    <w:p w14:paraId="4F340843" w14:textId="77777777" w:rsidR="00D95325" w:rsidRPr="00D95325" w:rsidRDefault="00D95325" w:rsidP="00D95325">
      <w:pPr>
        <w:spacing w:after="0" w:line="240" w:lineRule="auto"/>
        <w:rPr>
          <w:rFonts w:ascii="Times New Roman" w:eastAsia="Times New Roman" w:hAnsi="Times New Roman" w:cs="Times New Roman"/>
          <w:sz w:val="24"/>
          <w:szCs w:val="24"/>
        </w:rPr>
      </w:pPr>
      <w:r>
        <w:rPr>
          <w:rFonts w:ascii="Times New Roman" w:hAnsi="Times New Roman"/>
          <w:sz w:val="24"/>
        </w:rPr>
        <w:t>NOR: TRED2203154D</w:t>
      </w:r>
      <w:r>
        <w:rPr>
          <w:rFonts w:ascii="Times New Roman" w:hAnsi="Times New Roman"/>
          <w:sz w:val="24"/>
        </w:rPr>
        <w:br/>
        <w:t>ELI: https://www.legifrance.gouv.fr/eli/decret/2022/4/29/TRED2203154D/jo/texte Alias: https://www.legifrance.gouv.fr/eli/decret/2022/4/29/2022-748/jo/texte</w:t>
      </w:r>
      <w:r>
        <w:rPr>
          <w:rFonts w:ascii="Times New Roman" w:hAnsi="Times New Roman"/>
          <w:sz w:val="24"/>
        </w:rPr>
        <w:br/>
        <w:t>JORF nr. 0101 af 30. april 2022</w:t>
      </w:r>
      <w:r>
        <w:rPr>
          <w:rFonts w:ascii="Times New Roman" w:hAnsi="Times New Roman"/>
          <w:sz w:val="24"/>
        </w:rPr>
        <w:br/>
        <w:t>Tekst nr. 4</w:t>
      </w:r>
    </w:p>
    <w:p w14:paraId="1A2DC67D"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Den berørte offentlighed: producenter, importører, distributører eller andre parter, der markedsfører affaldsgenererende forbrugerprodukter, herunder dem, der anvender et onlinewebsted, en platform eller anden distributionskanal som led i deres kommercielle aktiviteter i Frankrig, og forbrugere af sådanne produkter. </w:t>
      </w:r>
      <w:r>
        <w:rPr>
          <w:rFonts w:ascii="Times New Roman" w:hAnsi="Times New Roman"/>
          <w:sz w:val="24"/>
        </w:rPr>
        <w:br/>
        <w:t xml:space="preserve">Om: gennemførelse af forpligtelsen i miljølovens artikel L. 541-9-1 vedrørende forbrugeroplysning om miljøkvaliteter og -egenskaber af affaldsgenererende produkter. </w:t>
      </w:r>
      <w:r>
        <w:rPr>
          <w:rFonts w:ascii="Times New Roman" w:hAnsi="Times New Roman"/>
          <w:sz w:val="24"/>
        </w:rPr>
        <w:br/>
        <w:t xml:space="preserve">Ikrafttræden: Artikel R. 541-223 træder i kraft dagen efter offentliggørelsen af dette dekret. De produkter eller emballage, som den finder anvendelse på, er omfattet af en oplagringsperiode indtil den 1. januar 2023, forudsat at de er fremstillet eller importeret inden datoen for offentliggørelsen af dette dekret. Artikel R. 541-220 til R. 541-222 bliver gradvist indført fra den 1. januar 2023 og frem, på virksomhedsniveau. </w:t>
      </w:r>
      <w:r>
        <w:rPr>
          <w:rFonts w:ascii="Times New Roman" w:hAnsi="Times New Roman"/>
          <w:sz w:val="24"/>
        </w:rPr>
        <w:br/>
        <w:t xml:space="preserve">Bemærk: i dekretet fastsættes de nærmere regler for anvendelsen af miljølovens artikel L. 541-9-1, som giver forbrugerne, producenter og importører passende oplysninger om de miljømæssige egenskaber og karakteristika ved affaldsgenererende produkter – begreber defineret i denne tekst. Producenter og importører, der anmelder en årlig omsætning på over 10 mio. EUR for de produkter, der er omhandlet i artikel R. 541-221, som de markedsfører på det nationale marked, og som årligt er ansvarlige for markedsføringen af mere end 10 000 enheder af disse produkter, er underlagt oplysningskravet. Disse oplysninger stilles til rådighed elektronisk og, hvis det er relevant, i overensstemmelse med de procedurer, der er fastsat ved ordre, visning, mærkning eller andet læseligt og forståeligt udstyr på købstidspunktet. Disse miljømæssige egenskaber og karakteristika omfatter, afhængigt af de pågældende produktkategorier, inkorporering af genanvendt materiale, anvendelse af vedvarende ressourcer, bæredygtighed, </w:t>
      </w:r>
      <w:proofErr w:type="spellStart"/>
      <w:r>
        <w:rPr>
          <w:rFonts w:ascii="Times New Roman" w:hAnsi="Times New Roman"/>
          <w:sz w:val="24"/>
        </w:rPr>
        <w:t>komposterbarhed</w:t>
      </w:r>
      <w:proofErr w:type="spellEnd"/>
      <w:r>
        <w:rPr>
          <w:rFonts w:ascii="Times New Roman" w:hAnsi="Times New Roman"/>
          <w:sz w:val="24"/>
        </w:rPr>
        <w:t xml:space="preserve">, </w:t>
      </w:r>
      <w:proofErr w:type="spellStart"/>
      <w:r>
        <w:rPr>
          <w:rFonts w:ascii="Times New Roman" w:hAnsi="Times New Roman"/>
          <w:sz w:val="24"/>
        </w:rPr>
        <w:t>reparerbarhed</w:t>
      </w:r>
      <w:proofErr w:type="spellEnd"/>
      <w:r>
        <w:rPr>
          <w:rFonts w:ascii="Times New Roman" w:hAnsi="Times New Roman"/>
          <w:sz w:val="24"/>
        </w:rPr>
        <w:t xml:space="preserve">, muligheder for genbrug, genanvendelighed, tilstedeværelsen af farlige stoffer, ædle metaller eller sjældne jordarters metaller, sporbarhed og tilstedeværelsen af mikrofibre af plast. Det format, hvormed data om disse miljøegenskaber og karakteristika stilles til rådighed for forbrugerne, skal let kunne genbruges og anvendes af et automatiseret behandlingssystem i sammenfattet form. </w:t>
      </w:r>
      <w:r>
        <w:rPr>
          <w:rFonts w:ascii="Times New Roman" w:hAnsi="Times New Roman"/>
          <w:sz w:val="24"/>
        </w:rPr>
        <w:br/>
        <w:t xml:space="preserve">Referencer: dette dekret såvel som den miljølov, det ændrer, kan konsulteres på </w:t>
      </w:r>
      <w:proofErr w:type="spellStart"/>
      <w:r>
        <w:rPr>
          <w:rFonts w:ascii="Times New Roman" w:hAnsi="Times New Roman"/>
          <w:sz w:val="24"/>
        </w:rPr>
        <w:t>Légifrances</w:t>
      </w:r>
      <w:proofErr w:type="spellEnd"/>
      <w:r>
        <w:rPr>
          <w:rFonts w:ascii="Times New Roman" w:hAnsi="Times New Roman"/>
          <w:sz w:val="24"/>
        </w:rPr>
        <w:t xml:space="preserve"> websted (http://www.legifrance.gouv.fr). </w:t>
      </w:r>
    </w:p>
    <w:p w14:paraId="69245C36"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Premierministeren</w:t>
      </w:r>
      <w:r>
        <w:rPr>
          <w:rFonts w:ascii="Times New Roman" w:hAnsi="Times New Roman"/>
          <w:sz w:val="24"/>
        </w:rPr>
        <w:br/>
        <w:t>Om rapporten fra ministeren for økologisk omstilling og økonomi-, finans- og genopretningsministeren</w:t>
      </w:r>
      <w:r>
        <w:rPr>
          <w:rFonts w:ascii="Times New Roman" w:hAnsi="Times New Roman"/>
          <w:sz w:val="24"/>
        </w:rPr>
        <w:br/>
        <w:t xml:space="preserve">Under henvisning til Europa-Parlamentets og Rådets forordning (EF) nr. 1907/2006 af 18. december 2006 om registrering, vurdering og godkendelse af samt begrænsninger for kemikalier (REACH), om oprettelse af et europæisk kemikalieagentur og om ændring af </w:t>
      </w:r>
      <w:r>
        <w:rPr>
          <w:rFonts w:ascii="Times New Roman" w:hAnsi="Times New Roman"/>
          <w:sz w:val="24"/>
        </w:rPr>
        <w:lastRenderedPageBreak/>
        <w:t>direktiv 1999/45/EF og ophævelse af Rådets forordning (EØF) nr. 793/93 og Kommissionens forordning (EF) nr. 1488/94 samt Rådets direktiv 76/769/EØF og Kommissionens direktiv 91/155/EØF, 93/67/EØF, 93/105/EF og 2000/21/EF</w:t>
      </w:r>
      <w:r>
        <w:rPr>
          <w:rFonts w:ascii="Times New Roman" w:hAnsi="Times New Roman"/>
          <w:sz w:val="24"/>
        </w:rPr>
        <w:br/>
        <w:t>Under henvisning til Europa-Parlamentets og Rådets forordning (EF) nr. 1272/2008 af 16. december 2008 om klassificering, mærkning og emballering af stoffer og blandinger og om ændring og ophævelse af direktiv 67/548/EØF og 1999/45/EF og om ændring af forordning (EF) nr. 1907/2006</w:t>
      </w:r>
      <w:r>
        <w:rPr>
          <w:rFonts w:ascii="Times New Roman" w:hAnsi="Times New Roman"/>
          <w:sz w:val="24"/>
        </w:rPr>
        <w:br/>
        <w:t>Under henvisning til Europa-Parlamentet og Rådets direktiv 94/62/EF af 20. december 1994 om emballage og emballageaffald</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w:t>
      </w:r>
      <w:r>
        <w:rPr>
          <w:rFonts w:ascii="Times New Roman" w:hAnsi="Times New Roman"/>
          <w:sz w:val="24"/>
        </w:rPr>
        <w:br/>
        <w:t>Under henvisning til lov om bygge- og anlægsarbejder og boliger, særligt artikel L. 171-2 og R. 171-17 heraf</w:t>
      </w:r>
      <w:r>
        <w:rPr>
          <w:rFonts w:ascii="Times New Roman" w:hAnsi="Times New Roman"/>
          <w:sz w:val="24"/>
        </w:rPr>
        <w:br/>
        <w:t>Under henvisning til miljøloven, særligt artikel L. 541-1-1, L. 541-9-1, L. 541-9-2, L. 541-10, L. 541-10-1, L. 541-10-3 og R. 543-226</w:t>
      </w:r>
      <w:r>
        <w:rPr>
          <w:rFonts w:ascii="Times New Roman" w:hAnsi="Times New Roman"/>
          <w:sz w:val="24"/>
        </w:rPr>
        <w:br/>
        <w:t>Under henvisning til lov om offentlig sundhed, særligt artikel R. 5232-19 og R. 5232-20</w:t>
      </w:r>
      <w:r>
        <w:rPr>
          <w:rFonts w:ascii="Times New Roman" w:hAnsi="Times New Roman"/>
          <w:sz w:val="24"/>
        </w:rPr>
        <w:br/>
        <w:t>Under henvisning til lov nr. 2020-105 af 10. februar 2020 mod affald og for den cirkulære økonomi, særligt artikel 13 og 130</w:t>
      </w:r>
      <w:r>
        <w:rPr>
          <w:rFonts w:ascii="Times New Roman" w:hAnsi="Times New Roman"/>
          <w:sz w:val="24"/>
        </w:rPr>
        <w:br/>
        <w:t>Under henvisning til meddelelse nr. 2021/644/F til Europa-Kommissionen den 4. oktober 2021 i henhold til direktiv (EU) 94/62/EC og direktiv (EU) 2015/1535 og svaret af 5. januar 2022</w:t>
      </w:r>
      <w:r>
        <w:rPr>
          <w:rFonts w:ascii="Times New Roman" w:hAnsi="Times New Roman"/>
          <w:sz w:val="24"/>
        </w:rPr>
        <w:br/>
        <w:t>Under henvisning til bemærkningerne under den offentlige høring mellem 12. oktober og 17. november 2021, i henhold til artikel L123-19-1 i miljøloven</w:t>
      </w:r>
      <w:r>
        <w:rPr>
          <w:rFonts w:ascii="Times New Roman" w:hAnsi="Times New Roman"/>
          <w:sz w:val="24"/>
        </w:rPr>
        <w:br/>
        <w:t>Efter at have hørt statsrådet (afdelingen for offentlige arbejder)</w:t>
      </w:r>
      <w:r>
        <w:rPr>
          <w:rFonts w:ascii="Times New Roman" w:hAnsi="Times New Roman"/>
          <w:sz w:val="24"/>
        </w:rPr>
        <w:br/>
        <w:t>Dekreteres hermed følgende:</w:t>
      </w:r>
    </w:p>
    <w:p w14:paraId="32F2634D"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17D85917"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Afsnit 9 i kapitel I, afsnit IV, bog V, i miljølovens </w:t>
      </w:r>
      <w:proofErr w:type="spellStart"/>
      <w:r>
        <w:rPr>
          <w:rFonts w:ascii="Times New Roman" w:hAnsi="Times New Roman"/>
          <w:sz w:val="24"/>
        </w:rPr>
        <w:t>forskriftsdel</w:t>
      </w:r>
      <w:proofErr w:type="spellEnd"/>
      <w:r>
        <w:rPr>
          <w:rFonts w:ascii="Times New Roman" w:hAnsi="Times New Roman"/>
          <w:sz w:val="24"/>
        </w:rPr>
        <w:t xml:space="preserve"> suppleres med følgende stykke 3:</w:t>
      </w:r>
    </w:p>
    <w:p w14:paraId="61DE9235" w14:textId="63D23ECA"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Stykke 3</w:t>
      </w:r>
      <w:r>
        <w:rPr>
          <w:rFonts w:ascii="Times New Roman" w:hAnsi="Times New Roman"/>
          <w:sz w:val="24"/>
        </w:rPr>
        <w:br/>
        <w:t>"</w:t>
      </w:r>
      <w:r w:rsidR="00687482">
        <w:rPr>
          <w:rFonts w:ascii="Times New Roman" w:hAnsi="Times New Roman"/>
          <w:sz w:val="24"/>
        </w:rPr>
        <w:t xml:space="preserve"> </w:t>
      </w:r>
      <w:r>
        <w:rPr>
          <w:rFonts w:ascii="Times New Roman" w:hAnsi="Times New Roman"/>
          <w:sz w:val="24"/>
        </w:rPr>
        <w:t>Forbrugeroplysninger om affaldsgenererende produkters miljømæssige egenskaber og karakteristika</w:t>
      </w:r>
    </w:p>
    <w:p w14:paraId="329BE6B4"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R. 541-220. - De miljømæssige egenskaber og karakteristika ved affaldsgenererende produkter omhandlet i artikel L. 541-9-1 skal forstås som dem, der har til formål at informere forbrugeren om betingelserne for bedre forebyggelse og håndtering af affald.</w:t>
      </w:r>
      <w:r>
        <w:rPr>
          <w:rFonts w:ascii="Times New Roman" w:hAnsi="Times New Roman"/>
          <w:sz w:val="24"/>
        </w:rPr>
        <w:br/>
        <w:t>" Oplysninger om miljømæssige egenskaber og karakteristika som omhandlet i artikel L. 541-9-1 og på de betingelser, der er fastsat i dette stykke, omfatter de nye produkter, der bringes i omsætning for forbrugeren, jf. artikel R. 541-221.</w:t>
      </w:r>
      <w:r>
        <w:rPr>
          <w:rFonts w:ascii="Times New Roman" w:hAnsi="Times New Roman"/>
          <w:sz w:val="24"/>
        </w:rPr>
        <w:br/>
        <w:t xml:space="preserve">" Producenter, importører eller enhver anden enhed, der bringer i omsætning, og som for de i artikel R. 541-221 omhandlede produkter, som de markedsfører på det nationale marked, erklærer, at de har en omsætning på over 10 mio. EUR og årligt er ansvarlige for </w:t>
      </w:r>
      <w:r>
        <w:rPr>
          <w:rFonts w:ascii="Times New Roman" w:hAnsi="Times New Roman"/>
          <w:sz w:val="24"/>
        </w:rPr>
        <w:lastRenderedPageBreak/>
        <w:t>markedsføringen af mindst 10 000 enheder af disse produkter, er underlagt oplysningspligten.</w:t>
      </w:r>
    </w:p>
    <w:p w14:paraId="21EE4D00"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Artikel R. 541-221. - I. - Forbrugeroplysninger om </w:t>
      </w:r>
      <w:proofErr w:type="spellStart"/>
      <w:r>
        <w:rPr>
          <w:rFonts w:ascii="Times New Roman" w:hAnsi="Times New Roman"/>
          <w:sz w:val="24"/>
        </w:rPr>
        <w:t>reparerbarhed</w:t>
      </w:r>
      <w:proofErr w:type="spellEnd"/>
      <w:r>
        <w:rPr>
          <w:rFonts w:ascii="Times New Roman" w:hAnsi="Times New Roman"/>
          <w:sz w:val="24"/>
        </w:rPr>
        <w:t xml:space="preserve"> og holdbarhed vedrører elektrisk eller elektronisk udstyr, som </w:t>
      </w:r>
      <w:proofErr w:type="spellStart"/>
      <w:r>
        <w:rPr>
          <w:rFonts w:ascii="Times New Roman" w:hAnsi="Times New Roman"/>
          <w:sz w:val="24"/>
        </w:rPr>
        <w:t>reparerbarhedsindekset</w:t>
      </w:r>
      <w:proofErr w:type="spellEnd"/>
      <w:r>
        <w:rPr>
          <w:rFonts w:ascii="Times New Roman" w:hAnsi="Times New Roman"/>
          <w:sz w:val="24"/>
        </w:rPr>
        <w:t xml:space="preserve"> og holdbarhedsindekset defineret i henhold til artikel L. 541-9-2 finder anvendelse på.</w:t>
      </w:r>
      <w:r>
        <w:rPr>
          <w:rFonts w:ascii="Times New Roman" w:hAnsi="Times New Roman"/>
          <w:sz w:val="24"/>
        </w:rPr>
        <w:br/>
        <w:t xml:space="preserve">" Disse oplysninger skal udtrykkes i form af visningen af et </w:t>
      </w:r>
      <w:proofErr w:type="spellStart"/>
      <w:r>
        <w:rPr>
          <w:rFonts w:ascii="Times New Roman" w:hAnsi="Times New Roman"/>
          <w:sz w:val="24"/>
        </w:rPr>
        <w:t>reparerbarhedsindeks</w:t>
      </w:r>
      <w:proofErr w:type="spellEnd"/>
      <w:r>
        <w:rPr>
          <w:rFonts w:ascii="Times New Roman" w:hAnsi="Times New Roman"/>
          <w:sz w:val="24"/>
        </w:rPr>
        <w:t xml:space="preserve"> eller fra den 1. januar 2024 et holdbarhedsindeks, i henhold til bestemmelserne i artikel R. 541-210 til R. 541-214.</w:t>
      </w:r>
      <w:r>
        <w:rPr>
          <w:rFonts w:ascii="Times New Roman" w:hAnsi="Times New Roman"/>
          <w:sz w:val="24"/>
        </w:rPr>
        <w:br/>
        <w:t xml:space="preserve">" II. - De typer og kategorier af emballage, der er opført på listen nævnt i artikel R. 543-226, fjerde afsnit, falder ind under forbrugeroplysninger om </w:t>
      </w:r>
      <w:proofErr w:type="spellStart"/>
      <w:r>
        <w:rPr>
          <w:rFonts w:ascii="Times New Roman" w:hAnsi="Times New Roman"/>
          <w:sz w:val="24"/>
        </w:rPr>
        <w:t>komposterbarhed</w:t>
      </w:r>
      <w:proofErr w:type="spellEnd"/>
      <w:r>
        <w:rPr>
          <w:rFonts w:ascii="Times New Roman" w:hAnsi="Times New Roman"/>
          <w:sz w:val="24"/>
        </w:rPr>
        <w:t>.</w:t>
      </w:r>
      <w:r>
        <w:rPr>
          <w:rFonts w:ascii="Times New Roman" w:hAnsi="Times New Roman"/>
          <w:sz w:val="24"/>
        </w:rPr>
        <w:br/>
        <w:t>" Disse oplysninger udtrykkes med henvisning til udtrykket "komposterbar emballage".</w:t>
      </w:r>
      <w:r>
        <w:rPr>
          <w:rFonts w:ascii="Times New Roman" w:hAnsi="Times New Roman"/>
          <w:sz w:val="24"/>
        </w:rPr>
        <w:br/>
        <w:t xml:space="preserve">"III. -Inkorporering af genanvendt materiale måles som den samlede andel af den materialemasse, der stammer fra genanvendelse, jf. artikel L. 541-1-1. </w:t>
      </w:r>
      <w:r>
        <w:rPr>
          <w:rFonts w:ascii="Times New Roman" w:hAnsi="Times New Roman"/>
          <w:sz w:val="24"/>
        </w:rPr>
        <w:br/>
        <w:t>" Forbrugeroplysninger om inkorporering af genanvendt materiale vedrører de kategorier af produkter, der er nævnt i stk. 3, 5, 6, 7, 10, 11, med undtagelse af lædervarer, stk. 13, 14 og 15, i artikel L. 541-10-1.</w:t>
      </w:r>
      <w:r>
        <w:rPr>
          <w:rFonts w:ascii="Times New Roman" w:hAnsi="Times New Roman"/>
          <w:sz w:val="24"/>
        </w:rPr>
        <w:br/>
        <w:t>" Disse oplysninger skal for disse produkter udtrykkes med henvisning til udtrykket "produkt, der indeholder mindst [%] genanvendte materialer".</w:t>
      </w:r>
      <w:r>
        <w:rPr>
          <w:rFonts w:ascii="Times New Roman" w:hAnsi="Times New Roman"/>
          <w:sz w:val="24"/>
        </w:rPr>
        <w:br/>
        <w:t>" Forbrugeroplysninger om inkorporering af genanvendt materiale omfatter også emballage, der er omhandlet i artikel L. 541-10-1, stk. 1.</w:t>
      </w:r>
      <w:r>
        <w:rPr>
          <w:rFonts w:ascii="Times New Roman" w:hAnsi="Times New Roman"/>
          <w:sz w:val="24"/>
        </w:rPr>
        <w:br/>
        <w:t>" Disse oplysninger udtrykkes for disse produkter med henvisning til udtrykket "emballage, der indeholder mindst [%] genanvendte materialer".</w:t>
      </w:r>
      <w:r>
        <w:rPr>
          <w:rFonts w:ascii="Times New Roman" w:hAnsi="Times New Roman"/>
          <w:sz w:val="24"/>
        </w:rPr>
        <w:br/>
        <w:t>" IV. - Forbrugeroplysninger om anvendelsen af vedvarende ressourcer omfatter de produkter eller byggematerialer, der er nævnt i artikel L. 541-10-1, stk. 4, og som er underlagt en miljøerklæring på de betingelser, der er fastsat i artikel R. 171-17 i lov om bygge- og anlægsarbejder og boliger.</w:t>
      </w:r>
      <w:r>
        <w:rPr>
          <w:rFonts w:ascii="Times New Roman" w:hAnsi="Times New Roman"/>
          <w:sz w:val="24"/>
        </w:rPr>
        <w:br/>
        <w:t>" Disse oplysninger skal stilles til rådighed på de vilkår og betingelser, der er fastlagt i stk. 1, afsnit 3, kapitel I, afsnit VII, bog I, i den regulerende del af lov om bygge- og anlægsarbejder og boliger.</w:t>
      </w:r>
      <w:r>
        <w:rPr>
          <w:rFonts w:ascii="Times New Roman" w:hAnsi="Times New Roman"/>
          <w:sz w:val="24"/>
        </w:rPr>
        <w:br/>
        <w:t>" V. - Den emballage, der er omhandlet i artikel L.541-10-1, stk. 1, er omfattet af forbrugeroplysninger om mulighederne for genanvendelse.</w:t>
      </w:r>
      <w:r>
        <w:rPr>
          <w:rFonts w:ascii="Times New Roman" w:hAnsi="Times New Roman"/>
          <w:sz w:val="24"/>
        </w:rPr>
        <w:br/>
        <w:t>" Genbrugsmuligheder forstås som muligheden for, at emballage kan opfylde betingelserne i artikel R. 541-350, stk. 3, for at kunne betragtes som genanvendt eller genbrugt emballage.</w:t>
      </w:r>
      <w:r>
        <w:rPr>
          <w:rFonts w:ascii="Times New Roman" w:hAnsi="Times New Roman"/>
          <w:sz w:val="24"/>
        </w:rPr>
        <w:br/>
        <w:t>" Disse oplysninger udtrykkes med henvisning til udtrykket "genbrugelig emballage" eller "genpåfyldelig emballage".</w:t>
      </w:r>
      <w:r>
        <w:rPr>
          <w:rFonts w:ascii="Times New Roman" w:hAnsi="Times New Roman"/>
          <w:sz w:val="24"/>
        </w:rPr>
        <w:br/>
        <w:t>"VI. - Genanvendelighed ": den effektive genanvendelseskapacitet for affald fra identiske eller lignende produkter.  Genanvendeligheden er for dette affald karakteriseret ved:</w:t>
      </w:r>
      <w:r>
        <w:rPr>
          <w:rFonts w:ascii="Times New Roman" w:hAnsi="Times New Roman"/>
          <w:sz w:val="24"/>
        </w:rPr>
        <w:br/>
        <w:t>"(1) at kunne indsamles effektivt lokalt gennem befolkningens adgang til lokale indsamlingssteder</w:t>
      </w:r>
      <w:r>
        <w:rPr>
          <w:rFonts w:ascii="Times New Roman" w:hAnsi="Times New Roman"/>
          <w:sz w:val="24"/>
        </w:rPr>
        <w:br/>
        <w:t>"(2) at kunne sorteres, dvs. rettet mod visse genanvendelseskanaler for at blive genanvendt</w:t>
      </w:r>
      <w:r>
        <w:rPr>
          <w:rFonts w:ascii="Times New Roman" w:hAnsi="Times New Roman"/>
          <w:sz w:val="24"/>
        </w:rPr>
        <w:br/>
        <w:t>"(3) fraværet af elementer eller stoffer, der forstyrrer sortering, genanvendelse eller begrænsning af anvendelsen af det genvundne materiale</w:t>
      </w:r>
      <w:r>
        <w:rPr>
          <w:rFonts w:ascii="Times New Roman" w:hAnsi="Times New Roman"/>
          <w:sz w:val="24"/>
        </w:rPr>
        <w:br/>
        <w:t>"(4) i hvilket omfang det genvundne materiale, der fremstilles ved de anvendte genvindingsprocesser, udgør mere end 50 % af hovedparten af det indsamlede affald</w:t>
      </w:r>
      <w:r>
        <w:rPr>
          <w:rFonts w:ascii="Times New Roman" w:hAnsi="Times New Roman"/>
          <w:sz w:val="24"/>
        </w:rPr>
        <w:br/>
        <w:t xml:space="preserve">"(5) at kunne blive genanvendt i industriel målestok og i praksis, navnlig gennem en garanti for, at kvaliteten af det fremstillede genanvendte materiale er tilstrækkelig til at </w:t>
      </w:r>
      <w:r>
        <w:rPr>
          <w:rFonts w:ascii="Times New Roman" w:hAnsi="Times New Roman"/>
          <w:sz w:val="24"/>
        </w:rPr>
        <w:lastRenderedPageBreak/>
        <w:t>sikre afsætningsmulighedernes bæredygtighed, og at genanvendelseskæden kan påvise tilstrækkelig evne til at overtage de produkter, der kan integreres heri.</w:t>
      </w:r>
      <w:r>
        <w:rPr>
          <w:rFonts w:ascii="Times New Roman" w:hAnsi="Times New Roman"/>
          <w:sz w:val="24"/>
        </w:rPr>
        <w:br/>
        <w:t>Oplysninger om genanvendelighed stilles til rådighed for forbrugeren med overskriften "for det meste genanvendeligt produkt" eller "for det meste genanvendelig emballage", når disse fem kriterier er opfyldt. Hvis det genvundne materiale, der produceres ved de implementerede genvindingsprocesser, udgør mere end 95 % af hovedparten af det indsamlede affald, kan de oplysninger, der blev stillet til rådighed, omfatte formuleringen "fuldt genanvendeligt produkt".</w:t>
      </w:r>
      <w:r>
        <w:rPr>
          <w:rFonts w:ascii="Times New Roman" w:hAnsi="Times New Roman"/>
          <w:sz w:val="24"/>
        </w:rPr>
        <w:br/>
        <w:t>" Den meddeles producenten af den økoorganisation, som denne har overdraget sin forpligtelse til udvidet ansvar til i henhold til artikel L. 541-10, om nødvendigt med udleveringen af et værktøj til beregning af produktets genanvendelighed i henhold til en harmoniseret metode. Hvis producenten har indført en individuel ordning med udvidet ansvar, fastlægger han de oplysninger, han har ansvaret for.</w:t>
      </w:r>
      <w:r>
        <w:rPr>
          <w:rFonts w:ascii="Times New Roman" w:hAnsi="Times New Roman"/>
          <w:sz w:val="24"/>
        </w:rPr>
        <w:br/>
        <w:t>" Hvis genanvendeligheden svarer til genanvendelse af materialer, der for det meste er genindarbejdet i produkter af tilsvarende art, som opfylder et identisk anvendelses- og bestemmelsessted uden funktionelt tab af materialet, kan producenten supplere oplysningerne om genanvendelighed med formuleringen "produkt, der kan genanvendes til et produkt af samme type" eller "emballage, der kan genanvendes til emballage af samme type".</w:t>
      </w:r>
      <w:r>
        <w:rPr>
          <w:rFonts w:ascii="Times New Roman" w:hAnsi="Times New Roman"/>
          <w:sz w:val="24"/>
        </w:rPr>
        <w:br/>
        <w:t>" De kategorier af produkter, der er omhandlet i artikel L. 541-10-1, stk. 1, 3, 4, 5, 6, 7, 10, 11, 12, 13, 14 og 15, er omfattet af forbrugeroplysninger om genanvendelighed.</w:t>
      </w:r>
      <w:r>
        <w:rPr>
          <w:rFonts w:ascii="Times New Roman" w:hAnsi="Times New Roman"/>
          <w:sz w:val="24"/>
        </w:rPr>
        <w:br/>
        <w:t>" "VII. - Forbrugeroplysninger om tilstedeværelsen af ædle metaller, under henvisning til miljøvirkningen af deres udvindingsbetingelser, omfatter følgende metaller: guld, sølv, platin og palladium.</w:t>
      </w:r>
      <w:r>
        <w:rPr>
          <w:rFonts w:ascii="Times New Roman" w:hAnsi="Times New Roman"/>
          <w:sz w:val="24"/>
        </w:rPr>
        <w:br/>
        <w:t>" Oplysningerne om ædle metaller stilles til rådighed for de kategorier af produkter, der er omhandlet i artikel L. 541-10-1, stk. 5 og 15.</w:t>
      </w:r>
      <w:r>
        <w:rPr>
          <w:rFonts w:ascii="Times New Roman" w:hAnsi="Times New Roman"/>
          <w:sz w:val="24"/>
        </w:rPr>
        <w:br/>
        <w:t>" Disse oplysninger udtrykkes i masse, forudsat at de er større end 1 milligram, enten med ordene "indeholder mindst [X milligram] af ædle metaller” eller med en angivelse af detaljen af hvert enkelt ædelmetal til stede, udtrykt som mindstemasse i samme enhed, i form af "indeholder mindst [X milligram] af guld, sølv, platin, palladium"</w:t>
      </w:r>
      <w:r>
        <w:rPr>
          <w:rFonts w:ascii="Times New Roman" w:hAnsi="Times New Roman"/>
          <w:sz w:val="24"/>
        </w:rPr>
        <w:br/>
        <w:t xml:space="preserve">" VIII. - Forbrugeroplysninger om tilstedeværelse af sjældne jordarter, under henvisning til miljøvirkningerne af deres udvindingsbetingelser, skal indeholde følgende: scandium, yttrium, lanthan, cerium, </w:t>
      </w:r>
      <w:proofErr w:type="spellStart"/>
      <w:r>
        <w:rPr>
          <w:rFonts w:ascii="Times New Roman" w:hAnsi="Times New Roman"/>
          <w:sz w:val="24"/>
        </w:rPr>
        <w:t>praseodymium</w:t>
      </w:r>
      <w:proofErr w:type="spellEnd"/>
      <w:r>
        <w:rPr>
          <w:rFonts w:ascii="Times New Roman" w:hAnsi="Times New Roman"/>
          <w:sz w:val="24"/>
        </w:rPr>
        <w:t xml:space="preserve">, neodym, promethium, samarium, europium, gadolinium, terbium, dysprosium, holmium, erbium, thulium, ytterbium, </w:t>
      </w:r>
      <w:proofErr w:type="spellStart"/>
      <w:r>
        <w:rPr>
          <w:rFonts w:ascii="Times New Roman" w:hAnsi="Times New Roman"/>
          <w:sz w:val="24"/>
        </w:rPr>
        <w:t>lutecium</w:t>
      </w:r>
      <w:proofErr w:type="spellEnd"/>
      <w:r>
        <w:rPr>
          <w:rFonts w:ascii="Times New Roman" w:hAnsi="Times New Roman"/>
          <w:sz w:val="24"/>
        </w:rPr>
        <w:t>.</w:t>
      </w:r>
      <w:r>
        <w:rPr>
          <w:rFonts w:ascii="Times New Roman" w:hAnsi="Times New Roman"/>
          <w:sz w:val="24"/>
        </w:rPr>
        <w:br/>
        <w:t>" Oplysninger vedrørende sjældne jordarter stilles til rådighed for de produktkategorier, der er omhandlet i artikel L. 541-10-1, stk. 5 og stk. 15.</w:t>
      </w:r>
      <w:r>
        <w:rPr>
          <w:rFonts w:ascii="Times New Roman" w:hAnsi="Times New Roman"/>
          <w:sz w:val="24"/>
        </w:rPr>
        <w:br/>
        <w:t xml:space="preserve">" Disse oplysninger udtrykkes i masse, forudsat at de er større end 1 milligram, enten i form af ordene "indeholder mindst [X milligram] sjældne jordarter" eller ved angivelse af detaljeringsgraden for hver sjælden jordart udtrykt som mindste masse i samme enhed i form af "indeholder mindst [X milligram] scandium, yttrium, lanthan, cerium, </w:t>
      </w:r>
      <w:proofErr w:type="spellStart"/>
      <w:r>
        <w:rPr>
          <w:rFonts w:ascii="Times New Roman" w:hAnsi="Times New Roman"/>
          <w:sz w:val="24"/>
        </w:rPr>
        <w:t>praseodymium</w:t>
      </w:r>
      <w:proofErr w:type="spellEnd"/>
      <w:r>
        <w:rPr>
          <w:rFonts w:ascii="Times New Roman" w:hAnsi="Times New Roman"/>
          <w:sz w:val="24"/>
        </w:rPr>
        <w:t xml:space="preserve">, neodym, promethium, samarium, europium, gadolinium, terbium, dysprosium, holmium, erbium, thulium, ytterbium, </w:t>
      </w:r>
      <w:proofErr w:type="spellStart"/>
      <w:r>
        <w:rPr>
          <w:rFonts w:ascii="Times New Roman" w:hAnsi="Times New Roman"/>
          <w:sz w:val="24"/>
        </w:rPr>
        <w:t>lutecium</w:t>
      </w:r>
      <w:proofErr w:type="spellEnd"/>
      <w:r>
        <w:rPr>
          <w:rFonts w:ascii="Times New Roman" w:hAnsi="Times New Roman"/>
          <w:sz w:val="24"/>
        </w:rPr>
        <w:t>".</w:t>
      </w:r>
      <w:r>
        <w:rPr>
          <w:rFonts w:ascii="Times New Roman" w:hAnsi="Times New Roman"/>
          <w:sz w:val="24"/>
        </w:rPr>
        <w:br/>
        <w:t xml:space="preserve">" IX. - Forbrugeroplysninger vedrørende tilstedeværelsen af et farligt stof finder anvendelse når det er til stede i en koncentration på over 0,1 vægtprocent i et stof, en blanding eller en artikel som omhandlet i artikel 3, nr. 1), 2) og 3), i Europa-Parlamentets og Rådets forordning (EF) nr. 1907/2006 af 18. december 2006 om registrering, vurdering og godkendelse af samt begrænsninger for kemikalier (REACH), om oprettelse af et europæisk kemikalieagentur og om ændring af direktiv 1999/45/EF og ophævelse af Rådets forordning (EØF) nr. 793/93 og Kommissionens forordning (EF) nr. 1488/94 samt Rådets direktiv 76/769/EØF og Kommissionens direktiv 91/155/EØF, 93/67/EØF, </w:t>
      </w:r>
      <w:r>
        <w:rPr>
          <w:rFonts w:ascii="Times New Roman" w:hAnsi="Times New Roman"/>
          <w:sz w:val="24"/>
        </w:rPr>
        <w:lastRenderedPageBreak/>
        <w:t>93/105/EF og 2000/21/EF, med undtagelse af lægemidler.</w:t>
      </w:r>
      <w:r>
        <w:rPr>
          <w:rFonts w:ascii="Times New Roman" w:hAnsi="Times New Roman"/>
          <w:sz w:val="24"/>
        </w:rPr>
        <w:br/>
        <w:t>" I det foregående stykke forstås ved "farligt stof" ethvert stof, der er identificeret ved dekretet, efter udtalelsen fra den nationale styrelse for sundhed og sikkerhed inden for fødevarer, miljø og på arbejdspladsen nævnt i det sidste stykke i artikel L. 541-9-1 om identifikation af farlige stoffer i affaldsgenererende produkter.</w:t>
      </w:r>
      <w:r>
        <w:rPr>
          <w:rFonts w:ascii="Times New Roman" w:hAnsi="Times New Roman"/>
          <w:sz w:val="24"/>
        </w:rPr>
        <w:br/>
        <w:t>" Disse oplysninger udtrykkes med ordene "indeholder et farligt stof" eller, hvis det farlige stof står på den liste, der er omhandlet i artikel 59, stk. 1, i forordning (EF) nr. 1907/2006 af 18. december 2006 nævnt ovenfor og offentliggjort i henhold til artikel 59, stk. 10, i form af formuleringen "indeholder et særligt problematisk stof". Oplysningerne skal suppleres med navnet på hvert enkelt farligt stof, der er til stede.</w:t>
      </w:r>
      <w:r>
        <w:rPr>
          <w:rFonts w:ascii="Times New Roman" w:hAnsi="Times New Roman"/>
          <w:sz w:val="24"/>
        </w:rPr>
        <w:br/>
        <w:t>" Denne metode til tilvejebringelse af oplysninger gælder dog ikke for stoffer, der er omhandlet i stk. 1 og 2 i artikel R. 5232-19 i lov om offentlig sundhed, for hvilke de oplysningsmetoder, der er omhandlet i artikel R. 5232-20 i samme lov, finder anvendelse.</w:t>
      </w:r>
      <w:r>
        <w:rPr>
          <w:rFonts w:ascii="Times New Roman" w:hAnsi="Times New Roman"/>
          <w:sz w:val="24"/>
        </w:rPr>
        <w:br/>
        <w:t>" Oplysningerne skal stilles til rådighed senest seks måneder efter, at stoffet er identificeret som et farligt stof.</w:t>
      </w:r>
      <w:r>
        <w:rPr>
          <w:rFonts w:ascii="Times New Roman" w:hAnsi="Times New Roman"/>
          <w:sz w:val="24"/>
        </w:rPr>
        <w:br/>
        <w:t>" "X. - Forbrugeroplysninger om sporbarhed for de produkter, der er nævnt i artikel L. 541-10-1, stk. 11, er den geografiske betegnelse for det land, hvor hver af følgende aktiviteter hovedsagelig udføres, når de findes:</w:t>
      </w:r>
      <w:r>
        <w:rPr>
          <w:rFonts w:ascii="Times New Roman" w:hAnsi="Times New Roman"/>
          <w:sz w:val="24"/>
        </w:rPr>
        <w:br/>
        <w:t>"(1) Vævning</w:t>
      </w:r>
      <w:r>
        <w:rPr>
          <w:rFonts w:ascii="Times New Roman" w:hAnsi="Times New Roman"/>
          <w:sz w:val="24"/>
        </w:rPr>
        <w:br/>
        <w:t>"(2) Farvning og trykning</w:t>
      </w:r>
      <w:r>
        <w:rPr>
          <w:rFonts w:ascii="Times New Roman" w:hAnsi="Times New Roman"/>
          <w:sz w:val="24"/>
        </w:rPr>
        <w:br/>
        <w:t>"(3) Skrædderi.</w:t>
      </w:r>
      <w:r>
        <w:rPr>
          <w:rFonts w:ascii="Times New Roman" w:hAnsi="Times New Roman"/>
          <w:sz w:val="24"/>
        </w:rPr>
        <w:br/>
        <w:t>" For fodtøj, der er omfattet af artikel L. 541-10-1, stk. 11, er disse aktiviteter følgende:</w:t>
      </w:r>
      <w:r>
        <w:rPr>
          <w:rFonts w:ascii="Times New Roman" w:hAnsi="Times New Roman"/>
          <w:sz w:val="24"/>
        </w:rPr>
        <w:br/>
        <w:t>"(1) Syning</w:t>
      </w:r>
      <w:r>
        <w:rPr>
          <w:rFonts w:ascii="Times New Roman" w:hAnsi="Times New Roman"/>
          <w:sz w:val="24"/>
        </w:rPr>
        <w:br/>
        <w:t>"(2) Montering</w:t>
      </w:r>
      <w:r>
        <w:rPr>
          <w:rFonts w:ascii="Times New Roman" w:hAnsi="Times New Roman"/>
          <w:sz w:val="24"/>
        </w:rPr>
        <w:br/>
        <w:t>"(3) Færdiggørelse</w:t>
      </w:r>
      <w:r>
        <w:rPr>
          <w:rFonts w:ascii="Times New Roman" w:hAnsi="Times New Roman"/>
          <w:sz w:val="24"/>
        </w:rPr>
        <w:br/>
        <w:t>" Disse oplysninger udtrykkes i form af en henvisning for hver etape til det land, hvor de blev udført.</w:t>
      </w:r>
      <w:r>
        <w:rPr>
          <w:rFonts w:ascii="Times New Roman" w:hAnsi="Times New Roman"/>
          <w:sz w:val="24"/>
        </w:rPr>
        <w:br/>
        <w:t>" XI. – Forbrugeroplysninger om tilstedeværelsen af mikrofibre af plast i de produkter, der er nævnt i artikel L. 541-10-1, stk. 11, skal forstås som den proportionale masse af syntetiske fibre i produktet. Disse oplysninger stilles til rådighed, hvis andelen af syntetiske fibre overstiger 50 %.</w:t>
      </w:r>
      <w:r>
        <w:rPr>
          <w:rFonts w:ascii="Times New Roman" w:hAnsi="Times New Roman"/>
          <w:sz w:val="24"/>
        </w:rPr>
        <w:br/>
        <w:t>" Det skal udtrykkes med ordene "reduktion af mikrofibre af plast i miljøet under vask".</w:t>
      </w:r>
    </w:p>
    <w:p w14:paraId="4E0CC906"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R. 541-222. - Den producent, importør eller anden part, der markedsfører de produkter, der er omhandlet i artikel R. 541-221, skal stille oplysninger til rådighed om disse produkters eller produktkategoriers miljømæssige egenskaber og karakteristika og om de præmier og sanktioner, der er omhandlet i artikel L. 541-10-3, og som producenten betaler på grundlag af miljøpræstationskriterier. Dette skal stilles til rådighed i et papirløst format, der er gratis tilgængeligt på købstidspunktet, og som kan genbruges på en sådan måde, at der er mulighed for samling. Med henblik herpå stiller producenten eller importøren for hvert produkt, der er nævnt i artikel R. 541-221, de fremlagte oplysninger til rådighed på et særligt websted eller en særlig internetside, der indeholder et ark med titlen "produktblad vedrørende kvaliteter og miljømæssige egenskaber", til rådighed for at muliggøre direkte forskning og forespørgsler på internettet samt udtræk af data med henblik på en eventuel automatiseret behandling af de fremlagte oplysninger.</w:t>
      </w:r>
      <w:r>
        <w:rPr>
          <w:rFonts w:ascii="Times New Roman" w:hAnsi="Times New Roman"/>
          <w:sz w:val="24"/>
        </w:rPr>
        <w:br/>
        <w:t xml:space="preserve">" For så vidt angår de stoffer, der er omhandlet i artikel R. 541-221, IX, kan sådan tilvejebringelse af oplysninger indgives ved en ansøgning, der er udpeget ved </w:t>
      </w:r>
      <w:r>
        <w:rPr>
          <w:rFonts w:ascii="Times New Roman" w:hAnsi="Times New Roman"/>
          <w:sz w:val="24"/>
        </w:rPr>
        <w:lastRenderedPageBreak/>
        <w:t>miljøministerens bekendtgørelse. I tilfælde af at oplysningerne udleveres ved hjælp af en sådan ansøgning, skal det, hvis der skal oprettes en særlig webside eller særligt websted for mindst ét andet kvalitets- eller miljøkendetegn, skal denne webside eller dette websted nævne, at oplysningerne om farlige stoffer produceres via en ansøgning og indeholder et direkte internetlink dertil.</w:t>
      </w:r>
      <w:r>
        <w:rPr>
          <w:rFonts w:ascii="Times New Roman" w:hAnsi="Times New Roman"/>
          <w:sz w:val="24"/>
        </w:rPr>
        <w:br/>
        <w:t>"Et dekret fra ministeren med ansvar for miljøet præciserer, om nødvendigt, de tekniske karakteristika og præsentationsmetoderne for websiderne eller internetsiderne afsat til miljøkvaliteter og -karakteristika for produkter nævnt i artikel R. 541-21.</w:t>
      </w:r>
      <w:r>
        <w:rPr>
          <w:rFonts w:ascii="Times New Roman" w:hAnsi="Times New Roman"/>
          <w:sz w:val="24"/>
        </w:rPr>
        <w:br/>
        <w:t>" Oplysningspligten nævnt i artikel R. 541-221 forbliver gældende i op til to år efter, at den sidste enhed af det pågældende produkt er blevet bragt i omsætning.</w:t>
      </w:r>
      <w:r>
        <w:rPr>
          <w:rFonts w:ascii="Times New Roman" w:hAnsi="Times New Roman"/>
          <w:sz w:val="24"/>
        </w:rPr>
        <w:br/>
        <w:t>" Enhver tilvejebringelse af oplysninger om de miljømæssige egenskaber og egenskaber, som frivilligt foretages på et fysisk medium skal være i overensstemmelse med bestemmelserne i artikel R. 541-221.</w:t>
      </w:r>
      <w:r>
        <w:rPr>
          <w:rFonts w:ascii="Times New Roman" w:hAnsi="Times New Roman"/>
          <w:sz w:val="24"/>
        </w:rPr>
        <w:br/>
        <w:t>" De oplysningsmetoder, der er defineret i denne artikel, finder ikke anvendelse på de miljømæssige egenskaber og karakteristika, der er nævnt i artikel R. 541-221, I og IV.</w:t>
      </w:r>
    </w:p>
    <w:p w14:paraId="5B88C4B8"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Artikel R. 541-223. - Det er forbudt at medtage ordene "bionedbrydeligt", "miljøvenligt" eller enhver anden tilsvarende miljøpåstand på et nyt produkt eller en ny emballage bestemt til forbrugerne.</w:t>
      </w:r>
    </w:p>
    <w:p w14:paraId="28EFA302"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0C4D473E"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Følgende fremgår af artikel R. 5232-20, stk. 1, i lov om offentlig sundhed: "på et særligt websted" affattes således: "på en særlig webside eller et særligt websted" og ordlyden: "og herunder en programmeringsgrænseflade for applikationer" slettes.</w:t>
      </w:r>
    </w:p>
    <w:p w14:paraId="0BB2BBE4"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3</w:t>
      </w:r>
    </w:p>
    <w:p w14:paraId="62DECD4D"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Artikel R. 541-220 til R. 541-222 i miljøloven, som ændret ved artikel 1 i dette dekret, finder anvendelse:</w:t>
      </w:r>
      <w:r>
        <w:rPr>
          <w:rFonts w:ascii="Times New Roman" w:hAnsi="Times New Roman"/>
          <w:sz w:val="24"/>
        </w:rPr>
        <w:br/>
        <w:t>(1) Fra den 1. januar 2023 på producenter, importører og andre markedsførende enheder, som for de produkter, der er omhandlet i artikel R. 541-221, og som de bringer i omsætning på det nationale marked, erklærer en årlig omsætning på over 50 mio. EUR og årligt er ansvarlige for at bringe mindst 25 000 enheder af disse produkter i omsætning på markedet. De finder dog ikke anvendelse på produkter, for hvilke den sidste enhed er bragt i omsætning mellem den 1. januar og den 31. marts 2023</w:t>
      </w:r>
      <w:r>
        <w:rPr>
          <w:rFonts w:ascii="Times New Roman" w:hAnsi="Times New Roman"/>
          <w:sz w:val="24"/>
        </w:rPr>
        <w:br/>
        <w:t>(2) Fra den 1. januar 2024 på producenter, importører og andre markedsførende enheder, som for de produkter, der er omhandlet i artikel R. 541-221, og som de bringer i omsætning på det nationale marked, erklærer en årlig omsætning på over 20 mio. EUR og årligt er ansvarlige for at bringe mindst 10 000 enheder af disse produkter i omsætning på markedet</w:t>
      </w:r>
      <w:r>
        <w:rPr>
          <w:rFonts w:ascii="Times New Roman" w:hAnsi="Times New Roman"/>
          <w:sz w:val="24"/>
        </w:rPr>
        <w:br/>
        <w:t>(3) Fra den 1. januar 2025 på producenter, importører og andre markedsførende enheder, som for de produkter, der er omhandlet i artikel R. 541-221, og som de bringer i omsætning på det nationale marked, erklærer en årlig omsætning på over 10 mio. EUR og årligt er ansvarlige for at bringe mindst 10 000 enheder af disse produkter i omsætning på markedet.</w:t>
      </w:r>
      <w:r>
        <w:rPr>
          <w:rFonts w:ascii="Times New Roman" w:hAnsi="Times New Roman"/>
          <w:sz w:val="24"/>
        </w:rPr>
        <w:br/>
        <w:t xml:space="preserve">II. — Med forbehold af bestemmelserne i </w:t>
      </w:r>
      <w:proofErr w:type="spellStart"/>
      <w:r>
        <w:rPr>
          <w:rFonts w:ascii="Times New Roman" w:hAnsi="Times New Roman"/>
          <w:sz w:val="24"/>
        </w:rPr>
        <w:t>I</w:t>
      </w:r>
      <w:proofErr w:type="spellEnd"/>
      <w:r>
        <w:rPr>
          <w:rFonts w:ascii="Times New Roman" w:hAnsi="Times New Roman"/>
          <w:sz w:val="24"/>
        </w:rPr>
        <w:t xml:space="preserve"> finder artikel R. 541-220 til R. 541-222 i </w:t>
      </w:r>
      <w:r>
        <w:rPr>
          <w:rFonts w:ascii="Times New Roman" w:hAnsi="Times New Roman"/>
          <w:sz w:val="24"/>
        </w:rPr>
        <w:lastRenderedPageBreak/>
        <w:t>miljøloven, som ændret ved artikel 1 i dette dekret, anvendelse på de produkter, der er nævn i artikel L. 541-10-1, stk. 4 og stk. 12-15, i miljøloven, fra den 1. januar 2024.</w:t>
      </w:r>
      <w:r>
        <w:rPr>
          <w:rFonts w:ascii="Times New Roman" w:hAnsi="Times New Roman"/>
          <w:sz w:val="24"/>
        </w:rPr>
        <w:br/>
        <w:t>III. - Artikel R. 541-223 i miljøloven, med ordlyden som følger af artikel 1 i dette dekret, træder i kraft dagen efter dette dekrets offentliggørelse. De produkter eller den emballage, som den finder anvendelse på, er omfattet af en oplagringsperiode indtil den 1. januar 2023, forudsat at de er fremstillet eller importeret inden datoen for offentliggørelsen af dette dekret.</w:t>
      </w:r>
    </w:p>
    <w:p w14:paraId="1876FB03" w14:textId="77777777" w:rsidR="00D95325" w:rsidRPr="00D95325" w:rsidRDefault="00D95325" w:rsidP="00D95325">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4</w:t>
      </w:r>
    </w:p>
    <w:p w14:paraId="2788551E" w14:textId="77777777" w:rsidR="00D95325" w:rsidRPr="00D95325" w:rsidRDefault="00D95325" w:rsidP="00D95325">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Ministeren for miljøomstilling og økonomi-, finans- og genopretningsministeren har inden for rammerne af deres respektive beføjelser ansvaret for gennemførelsen af dette dekret, som offentliggøres i Den Franske Republiks Statstidende.</w:t>
      </w:r>
    </w:p>
    <w:p w14:paraId="34362E20"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Undertegnet den 29. april 2022.</w:t>
      </w:r>
    </w:p>
    <w:p w14:paraId="1D944D61"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Jean </w:t>
      </w:r>
      <w:proofErr w:type="spellStart"/>
      <w:r>
        <w:rPr>
          <w:rFonts w:ascii="Times New Roman" w:hAnsi="Times New Roman"/>
          <w:sz w:val="24"/>
        </w:rPr>
        <w:t>Castex</w:t>
      </w:r>
      <w:proofErr w:type="spellEnd"/>
      <w:r>
        <w:rPr>
          <w:rFonts w:ascii="Times New Roman" w:hAnsi="Times New Roman"/>
          <w:sz w:val="24"/>
        </w:rPr>
        <w:br/>
        <w:t>Af premierministeren:</w:t>
      </w:r>
    </w:p>
    <w:p w14:paraId="5D694E37"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miljøomstilling,</w:t>
      </w:r>
      <w:r>
        <w:rPr>
          <w:rFonts w:ascii="Times New Roman" w:hAnsi="Times New Roman"/>
          <w:sz w:val="24"/>
        </w:rPr>
        <w:br/>
        <w:t xml:space="preserve">Barbara </w:t>
      </w:r>
      <w:proofErr w:type="spellStart"/>
      <w:r>
        <w:rPr>
          <w:rFonts w:ascii="Times New Roman" w:hAnsi="Times New Roman"/>
          <w:sz w:val="24"/>
        </w:rPr>
        <w:t>Pompili</w:t>
      </w:r>
      <w:proofErr w:type="spellEnd"/>
    </w:p>
    <w:p w14:paraId="2BEA74DD" w14:textId="77777777" w:rsidR="00D95325" w:rsidRPr="00D95325" w:rsidRDefault="00D95325" w:rsidP="00D95325">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Økonomi-, finans- og genopretningsministeren,</w:t>
      </w:r>
      <w:r>
        <w:rPr>
          <w:rFonts w:ascii="Times New Roman" w:hAnsi="Times New Roman"/>
          <w:sz w:val="24"/>
        </w:rPr>
        <w:br/>
        <w:t xml:space="preserve">Bruno Le </w:t>
      </w:r>
      <w:proofErr w:type="spellStart"/>
      <w:r>
        <w:rPr>
          <w:rFonts w:ascii="Times New Roman" w:hAnsi="Times New Roman"/>
          <w:sz w:val="24"/>
        </w:rPr>
        <w:t>Maire</w:t>
      </w:r>
      <w:proofErr w:type="spellEnd"/>
    </w:p>
    <w:p w14:paraId="5C9216CE" w14:textId="77777777" w:rsidR="004D07E1" w:rsidRDefault="004D07E1"/>
    <w:sectPr w:rsidR="004D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325"/>
    <w:rsid w:val="00472E13"/>
    <w:rsid w:val="004D07E1"/>
    <w:rsid w:val="00687482"/>
    <w:rsid w:val="00D953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89FB"/>
  <w15:chartTrackingRefBased/>
  <w15:docId w15:val="{72FC3528-9F73-4D0D-B45E-BB9F1E36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752684">
      <w:bodyDiv w:val="1"/>
      <w:marLeft w:val="0"/>
      <w:marRight w:val="0"/>
      <w:marTop w:val="0"/>
      <w:marBottom w:val="0"/>
      <w:divBdr>
        <w:top w:val="none" w:sz="0" w:space="0" w:color="auto"/>
        <w:left w:val="none" w:sz="0" w:space="0" w:color="auto"/>
        <w:bottom w:val="none" w:sz="0" w:space="0" w:color="auto"/>
        <w:right w:val="none" w:sz="0" w:space="0" w:color="auto"/>
      </w:divBdr>
      <w:divsChild>
        <w:div w:id="917861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2982</Words>
  <Characters>17597</Characters>
  <Application>Microsoft Office Word</Application>
  <DocSecurity>0</DocSecurity>
  <Lines>308</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20555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2</cp:revision>
  <dcterms:created xsi:type="dcterms:W3CDTF">2022-08-12T12:54:00Z</dcterms:created>
  <dcterms:modified xsi:type="dcterms:W3CDTF">2022-08-12T12:54:00Z</dcterms:modified>
</cp:coreProperties>
</file>