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45346" w14:textId="77777777" w:rsidR="00001328" w:rsidRDefault="00001328">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center"/>
        <w:rPr>
          <w:rFonts w:ascii="Arial" w:eastAsia="Times New Roman" w:hAnsi="Arial" w:cs="Arial"/>
          <w:b/>
          <w:sz w:val="28"/>
          <w:szCs w:val="28"/>
          <w:lang w:eastAsia="ar-SA"/>
        </w:rPr>
      </w:pPr>
    </w:p>
    <w:p w14:paraId="629B7D11"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center"/>
        <w:rPr>
          <w:rFonts w:ascii="Arial" w:eastAsia="Times New Roman" w:hAnsi="Arial" w:cs="Arial"/>
          <w:b/>
          <w:sz w:val="26"/>
          <w:szCs w:val="26"/>
        </w:rPr>
      </w:pPr>
      <w:r>
        <w:rPr>
          <w:rFonts w:ascii="Arial" w:hAnsi="Arial"/>
          <w:b/>
          <w:sz w:val="26"/>
        </w:rPr>
        <w:t>Traité d’État pour une nouvelle réglementation des jeux de hasard en Allemagne</w:t>
      </w:r>
    </w:p>
    <w:p w14:paraId="0219F0D0" w14:textId="77777777" w:rsidR="00001328" w:rsidRDefault="00001328">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center"/>
        <w:rPr>
          <w:rFonts w:ascii="Arial" w:eastAsia="Times New Roman" w:hAnsi="Arial" w:cs="Arial"/>
          <w:b/>
          <w:sz w:val="28"/>
          <w:szCs w:val="28"/>
          <w:lang w:eastAsia="ar-SA"/>
        </w:rPr>
      </w:pPr>
    </w:p>
    <w:p w14:paraId="383803CD" w14:textId="77777777" w:rsidR="00001328" w:rsidRDefault="00001328">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rPr>
          <w:rFonts w:ascii="Arial" w:eastAsia="Times New Roman" w:hAnsi="Arial" w:cs="Arial"/>
          <w:lang w:eastAsia="ar-SA"/>
        </w:rPr>
      </w:pPr>
    </w:p>
    <w:p w14:paraId="57F697B4" w14:textId="77777777" w:rsidR="00001328" w:rsidRDefault="00001328">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lang w:eastAsia="ar-SA"/>
        </w:rPr>
      </w:pPr>
    </w:p>
    <w:p w14:paraId="2A26C921"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t xml:space="preserve">Le Land de Bade-Wurtemberg, </w:t>
      </w:r>
    </w:p>
    <w:p w14:paraId="2CFED0AE"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t xml:space="preserve">l’État libre de Bavière, </w:t>
      </w:r>
    </w:p>
    <w:p w14:paraId="469866F2"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t xml:space="preserve">le Land de Berlin, </w:t>
      </w:r>
    </w:p>
    <w:p w14:paraId="5FB2338B"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t xml:space="preserve">le Land de Brandebourg, </w:t>
      </w:r>
    </w:p>
    <w:p w14:paraId="52704F56"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t xml:space="preserve">la Ville hanséatique libre de Brême, </w:t>
      </w:r>
    </w:p>
    <w:p w14:paraId="39A0690A"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t xml:space="preserve">la Ville hanséatique libre de Hambourg, </w:t>
      </w:r>
    </w:p>
    <w:p w14:paraId="59EA7375"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t xml:space="preserve">le Land de Hesse, </w:t>
      </w:r>
    </w:p>
    <w:p w14:paraId="125C2CA5"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t xml:space="preserve">le Land de Mecklembourg-Poméranie occidentale, </w:t>
      </w:r>
    </w:p>
    <w:p w14:paraId="752960F3"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t xml:space="preserve">le Land de Basse-Saxe, </w:t>
      </w:r>
    </w:p>
    <w:p w14:paraId="4F792E28"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t xml:space="preserve">le Land de Rhénanie du Nord-Westphalie, </w:t>
      </w:r>
    </w:p>
    <w:p w14:paraId="76EC9350"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t xml:space="preserve">le Land de Rhénanie-Palatinat, </w:t>
      </w:r>
    </w:p>
    <w:p w14:paraId="6CDC5BA5"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t xml:space="preserve">le Land de Sarre, </w:t>
      </w:r>
    </w:p>
    <w:p w14:paraId="5CB4C53F"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t xml:space="preserve">l’État libre de Saxe, </w:t>
      </w:r>
    </w:p>
    <w:p w14:paraId="1DFFE8EA"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t xml:space="preserve">le Land de Saxe-Anhalt, </w:t>
      </w:r>
    </w:p>
    <w:p w14:paraId="7D97297A"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t xml:space="preserve">le Land de Schleswig-Holstein et </w:t>
      </w:r>
    </w:p>
    <w:p w14:paraId="2B1F30AC"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t xml:space="preserve">l’État libre de Thuringe </w:t>
      </w:r>
    </w:p>
    <w:p w14:paraId="669AF9FE"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t xml:space="preserve">(ci-après: dénommés «les Länder»)  </w:t>
      </w:r>
    </w:p>
    <w:p w14:paraId="6275785D" w14:textId="77777777" w:rsidR="00001328" w:rsidRDefault="00001328">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lang w:eastAsia="ar-SA"/>
        </w:rPr>
      </w:pPr>
    </w:p>
    <w:p w14:paraId="4F9761A0"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t>adoptent le traité d’État suivant:</w:t>
      </w:r>
    </w:p>
    <w:p w14:paraId="7D8908CB" w14:textId="77777777" w:rsidR="00001328" w:rsidRDefault="00A4265D">
      <w:pPr>
        <w:spacing w:line="360" w:lineRule="auto"/>
        <w:rPr>
          <w:rFonts w:ascii="Arial" w:eastAsia="Times New Roman" w:hAnsi="Arial" w:cs="Arial"/>
          <w:b/>
        </w:rPr>
      </w:pPr>
      <w:r>
        <w:br w:type="page"/>
      </w:r>
    </w:p>
    <w:p w14:paraId="0D235381" w14:textId="77777777" w:rsidR="00001328" w:rsidRDefault="00001328">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center"/>
        <w:rPr>
          <w:rFonts w:ascii="Arial" w:eastAsia="Times New Roman" w:hAnsi="Arial" w:cs="Arial"/>
          <w:b/>
          <w:lang w:eastAsia="ar-SA"/>
        </w:rPr>
      </w:pPr>
    </w:p>
    <w:p w14:paraId="1F4723CD"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center"/>
        <w:rPr>
          <w:rFonts w:ascii="Arial" w:eastAsia="Times New Roman" w:hAnsi="Arial" w:cs="Arial"/>
          <w:b/>
        </w:rPr>
      </w:pPr>
      <w:r>
        <w:rPr>
          <w:rFonts w:ascii="Arial" w:hAnsi="Arial"/>
          <w:b/>
        </w:rPr>
        <w:t>Traité d’État pour une nouvelle réglementation des jeux de hasard en Allemagne</w:t>
      </w:r>
    </w:p>
    <w:p w14:paraId="07354233"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center"/>
        <w:rPr>
          <w:rFonts w:ascii="Arial" w:eastAsia="Times New Roman" w:hAnsi="Arial" w:cs="Arial"/>
          <w:b/>
        </w:rPr>
      </w:pPr>
      <w:r>
        <w:rPr>
          <w:rFonts w:ascii="Arial" w:hAnsi="Arial"/>
          <w:b/>
        </w:rPr>
        <w:t>(Traité d’État sur les jeux de hasard 2021 - GlüStV 2021)</w:t>
      </w:r>
      <w:r>
        <w:rPr>
          <w:rStyle w:val="Fotnotsreferens"/>
          <w:rFonts w:ascii="Arial" w:eastAsia="Times New Roman" w:hAnsi="Arial" w:cs="Arial"/>
          <w:b/>
          <w:lang w:eastAsia="ar-SA"/>
        </w:rPr>
        <w:footnoteReference w:id="1"/>
      </w:r>
    </w:p>
    <w:p w14:paraId="21394006" w14:textId="77777777" w:rsidR="00001328" w:rsidRDefault="00001328">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center"/>
        <w:rPr>
          <w:rFonts w:ascii="Arial" w:eastAsia="Times New Roman" w:hAnsi="Arial" w:cs="Arial"/>
          <w:b/>
          <w:lang w:eastAsia="ar-SA"/>
        </w:rPr>
      </w:pPr>
    </w:p>
    <w:p w14:paraId="2C59E113"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center"/>
        <w:rPr>
          <w:rFonts w:ascii="Arial" w:eastAsia="Times New Roman" w:hAnsi="Arial" w:cs="Arial"/>
          <w:b/>
        </w:rPr>
      </w:pPr>
      <w:r>
        <w:rPr>
          <w:rFonts w:ascii="Arial" w:hAnsi="Arial"/>
          <w:b/>
        </w:rPr>
        <w:t>du 29 octobre 2020</w:t>
      </w:r>
    </w:p>
    <w:p w14:paraId="0F1C66E7" w14:textId="77777777" w:rsidR="00001328" w:rsidRDefault="00001328">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center"/>
        <w:rPr>
          <w:rFonts w:ascii="Arial" w:eastAsia="Times New Roman" w:hAnsi="Arial" w:cs="Arial"/>
          <w:b/>
          <w:lang w:eastAsia="ar-SA"/>
        </w:rPr>
      </w:pPr>
    </w:p>
    <w:p w14:paraId="4FA46CF5" w14:textId="77777777" w:rsidR="00001328" w:rsidRDefault="00001328">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center"/>
        <w:rPr>
          <w:rFonts w:ascii="Arial" w:eastAsia="Times New Roman" w:hAnsi="Arial" w:cs="Arial"/>
          <w:b/>
          <w:lang w:eastAsia="ar-SA"/>
        </w:rPr>
      </w:pPr>
    </w:p>
    <w:p w14:paraId="71F4BFF4"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center"/>
        <w:rPr>
          <w:rFonts w:ascii="Arial" w:eastAsia="Times New Roman" w:hAnsi="Arial" w:cs="Arial"/>
          <w:b/>
        </w:rPr>
      </w:pPr>
      <w:r>
        <w:rPr>
          <w:rFonts w:ascii="Arial" w:hAnsi="Arial"/>
          <w:b/>
        </w:rPr>
        <w:t>Première section</w:t>
      </w:r>
      <w:r>
        <w:rPr>
          <w:rFonts w:ascii="Arial" w:hAnsi="Arial"/>
          <w:b/>
        </w:rPr>
        <w:br/>
        <w:t>Dispositions générales</w:t>
      </w:r>
    </w:p>
    <w:p w14:paraId="5574E262"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rPr>
          <w:rFonts w:ascii="Arial" w:eastAsia="Times New Roman" w:hAnsi="Arial" w:cs="Arial"/>
        </w:rPr>
      </w:pPr>
      <w:r>
        <w:rPr>
          <w:rFonts w:ascii="Arial" w:hAnsi="Arial"/>
        </w:rPr>
        <w:t>Article premier Objectifs du traité d’État</w:t>
      </w:r>
      <w:r>
        <w:rPr>
          <w:rFonts w:ascii="Arial" w:hAnsi="Arial"/>
        </w:rPr>
        <w:br/>
        <w:t>Les objectifs du traité d’État visent à la fois à</w:t>
      </w:r>
    </w:p>
    <w:p w14:paraId="001DB56D"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ind w:left="284" w:hanging="284"/>
        <w:jc w:val="both"/>
        <w:rPr>
          <w:rFonts w:ascii="Arial" w:eastAsia="Times New Roman" w:hAnsi="Arial" w:cs="Arial"/>
        </w:rPr>
      </w:pPr>
      <w:r>
        <w:rPr>
          <w:rFonts w:ascii="Arial" w:hAnsi="Arial"/>
        </w:rPr>
        <w:t xml:space="preserve">1. empêcher la dépendance aux jeux de hasard et aux paris, et créer les conditions d’une lutte efficace contre la dépendance, </w:t>
      </w:r>
      <w:r>
        <w:rPr>
          <w:rFonts w:ascii="Arial" w:hAnsi="Arial"/>
        </w:rPr>
        <w:tab/>
      </w:r>
    </w:p>
    <w:p w14:paraId="0EC5D8B0"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ind w:left="284" w:hanging="284"/>
        <w:jc w:val="both"/>
        <w:rPr>
          <w:rFonts w:ascii="Arial" w:eastAsia="Times New Roman" w:hAnsi="Arial" w:cs="Arial"/>
        </w:rPr>
      </w:pPr>
      <w:r>
        <w:rPr>
          <w:rFonts w:ascii="Arial" w:hAnsi="Arial"/>
        </w:rPr>
        <w:t xml:space="preserve">2. canaliser de manière organisée et contrôlée l’instinct de jeu de la population par le biais d’une offre de jeux limitée représentant une alternative appropriée aux jeux de hasard non autorisés et lutter contre le développement, ainsi que l’expansion des jeux de hasard non autorisés sur les marchés illégaux, </w:t>
      </w:r>
      <w:r>
        <w:rPr>
          <w:rFonts w:ascii="Arial" w:hAnsi="Arial"/>
        </w:rPr>
        <w:tab/>
      </w:r>
    </w:p>
    <w:p w14:paraId="5716935B" w14:textId="77777777" w:rsidR="00001328" w:rsidRDefault="00A4265D">
      <w:pPr>
        <w:keepNext/>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ind w:left="284" w:hanging="284"/>
        <w:jc w:val="both"/>
        <w:rPr>
          <w:rFonts w:ascii="Arial" w:eastAsia="Times New Roman" w:hAnsi="Arial" w:cs="Arial"/>
        </w:rPr>
      </w:pPr>
      <w:r>
        <w:rPr>
          <w:rFonts w:ascii="Arial" w:hAnsi="Arial"/>
        </w:rPr>
        <w:t xml:space="preserve">3. garantir la protection des joueurs et des mineurs, </w:t>
      </w:r>
      <w:r>
        <w:rPr>
          <w:rFonts w:ascii="Arial" w:hAnsi="Arial"/>
        </w:rPr>
        <w:tab/>
        <w:t xml:space="preserve"> </w:t>
      </w:r>
    </w:p>
    <w:p w14:paraId="181FF3D7" w14:textId="77777777" w:rsidR="00001328" w:rsidRDefault="00A4265D">
      <w:pPr>
        <w:spacing w:after="120" w:line="360" w:lineRule="auto"/>
        <w:ind w:left="284" w:hanging="284"/>
        <w:jc w:val="both"/>
        <w:rPr>
          <w:rFonts w:ascii="Arial" w:eastAsia="Times New Roman" w:hAnsi="Arial" w:cs="Arial"/>
        </w:rPr>
      </w:pPr>
      <w:r>
        <w:rPr>
          <w:rFonts w:ascii="Arial" w:hAnsi="Arial"/>
        </w:rPr>
        <w:t xml:space="preserve">4. assurer un déroulement réglementaire des jeux de hasard, la protection des joueurs contre des manœuvres frauduleuses ainsi que la lutte contre la criminalité liée aux jeux de hasard et </w:t>
      </w:r>
      <w:r>
        <w:rPr>
          <w:rFonts w:ascii="Arial" w:hAnsi="Arial"/>
        </w:rPr>
        <w:tab/>
      </w:r>
    </w:p>
    <w:p w14:paraId="1CDA4CBC" w14:textId="77777777" w:rsidR="00001328" w:rsidRDefault="00A4265D">
      <w:pPr>
        <w:autoSpaceDE w:val="0"/>
        <w:autoSpaceDN w:val="0"/>
        <w:adjustRightInd w:val="0"/>
        <w:spacing w:after="120" w:line="360" w:lineRule="auto"/>
        <w:ind w:left="284" w:hanging="284"/>
        <w:jc w:val="both"/>
        <w:rPr>
          <w:rFonts w:ascii="Arial" w:eastAsia="Times New Roman" w:hAnsi="Arial" w:cs="Arial"/>
        </w:rPr>
      </w:pPr>
      <w:r>
        <w:rPr>
          <w:rFonts w:ascii="Arial" w:hAnsi="Arial"/>
        </w:rPr>
        <w:t xml:space="preserve">5. prévenir tout danger menaçant l’intégrité des compétitions sportives dans le cadre de l’organisation ou de la distribution de paris sportifs. </w:t>
      </w:r>
      <w:r>
        <w:rPr>
          <w:rFonts w:ascii="Arial" w:hAnsi="Arial"/>
        </w:rPr>
        <w:tab/>
      </w:r>
    </w:p>
    <w:p w14:paraId="7DBE82AA" w14:textId="77777777" w:rsidR="00001328" w:rsidRDefault="00A4265D">
      <w:pPr>
        <w:spacing w:after="120" w:line="360" w:lineRule="auto"/>
        <w:rPr>
          <w:rFonts w:ascii="Arial" w:eastAsia="Times New Roman" w:hAnsi="Arial" w:cs="Arial"/>
        </w:rPr>
      </w:pPr>
      <w:r>
        <w:rPr>
          <w:rFonts w:ascii="Arial" w:hAnsi="Arial"/>
        </w:rPr>
        <w:t>Afin d’atteindre ces objectifs, des mesures différenciées sont prévues pour les diverses formes de jeux de hasard, notamment dans le but de tenir compte de leur potentiel de risque en matière de dépendance, de fraude, de manipulation et de criminalité.</w:t>
      </w:r>
    </w:p>
    <w:p w14:paraId="10A7A0B5" w14:textId="77777777" w:rsidR="00001328" w:rsidRDefault="00001328">
      <w:pPr>
        <w:spacing w:after="120" w:line="360" w:lineRule="auto"/>
        <w:rPr>
          <w:rFonts w:ascii="Arial" w:eastAsia="Times New Roman" w:hAnsi="Arial" w:cs="Arial"/>
          <w:lang w:eastAsia="de-DE"/>
        </w:rPr>
      </w:pPr>
    </w:p>
    <w:p w14:paraId="09CCF76E" w14:textId="77777777" w:rsidR="00001328" w:rsidRDefault="00A4265D">
      <w:pPr>
        <w:spacing w:after="120" w:line="360" w:lineRule="auto"/>
        <w:jc w:val="both"/>
        <w:rPr>
          <w:rFonts w:ascii="Arial" w:eastAsia="Times New Roman" w:hAnsi="Arial" w:cs="Arial"/>
        </w:rPr>
      </w:pPr>
      <w:r>
        <w:rPr>
          <w:rFonts w:ascii="Arial" w:hAnsi="Arial"/>
          <w:b/>
        </w:rPr>
        <w:t>Article 2 Champ d’application</w:t>
      </w:r>
    </w:p>
    <w:p w14:paraId="173CE8DE"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napToGrid w:val="0"/>
        <w:spacing w:after="120" w:line="360" w:lineRule="auto"/>
        <w:jc w:val="both"/>
        <w:rPr>
          <w:rFonts w:ascii="Arial" w:eastAsia="Times New Roman" w:hAnsi="Arial" w:cs="Arial"/>
        </w:rPr>
      </w:pPr>
      <w:r>
        <w:rPr>
          <w:rFonts w:ascii="Arial" w:hAnsi="Arial"/>
        </w:rPr>
        <w:t>(1) Les Länder fixent par le présent traité d’État les modalités applicables à l’organisation, à la mise en œuvre, ainsi qu’à la distribution de jeux de hasard publics.</w:t>
      </w:r>
    </w:p>
    <w:p w14:paraId="16BE3F14" w14:textId="77777777" w:rsidR="00001328" w:rsidRDefault="00A4265D">
      <w:pPr>
        <w:spacing w:after="120" w:line="360" w:lineRule="auto"/>
        <w:jc w:val="both"/>
        <w:rPr>
          <w:rFonts w:ascii="Arial" w:eastAsia="Times New Roman" w:hAnsi="Arial" w:cs="Arial"/>
        </w:rPr>
      </w:pPr>
      <w:r>
        <w:rPr>
          <w:rFonts w:ascii="Arial" w:hAnsi="Arial"/>
        </w:rPr>
        <w:lastRenderedPageBreak/>
        <w:t xml:space="preserve">(2) Seuls les articles premier à 3, l’article 4, paragraphes 1 à 4, les articles 5, 6, 7 à 8d, 20 et 23, ainsi que les dispositions de la dixième section s’appliquent aux maisons de jeu. </w:t>
      </w:r>
    </w:p>
    <w:p w14:paraId="1B869F1C" w14:textId="77777777" w:rsidR="00001328" w:rsidRDefault="00A4265D">
      <w:pPr>
        <w:spacing w:after="120" w:line="360" w:lineRule="auto"/>
        <w:jc w:val="both"/>
        <w:rPr>
          <w:rFonts w:ascii="Arial" w:eastAsia="Times New Roman" w:hAnsi="Arial" w:cs="Arial"/>
        </w:rPr>
      </w:pPr>
      <w:r>
        <w:rPr>
          <w:rFonts w:ascii="Arial" w:hAnsi="Arial"/>
        </w:rPr>
        <w:t>(3) Seuls les articles premier à 3, l’article 4, paragraphes 1, 3 et 4, phrase 2, les articles 5, 6, 7 à 8d et 23, ainsi que les dispositions des septième et dixième sections s’appliquent aux arcades, pour autant que celles-ci soient équipées d’appareils de jeux d’argent et de marchandises avec possibilité de gain. Les appareils de jeux d’expérimentation sont également réputés comme étant des appareils de jeux d’argent et de marchandises avec possibilité de gain.</w:t>
      </w:r>
    </w:p>
    <w:p w14:paraId="1692BB88" w14:textId="77777777" w:rsidR="00001328" w:rsidRDefault="00A4265D">
      <w:pPr>
        <w:spacing w:after="120" w:line="360" w:lineRule="auto"/>
        <w:jc w:val="both"/>
        <w:rPr>
          <w:rFonts w:ascii="Arial" w:eastAsia="Times New Roman" w:hAnsi="Arial" w:cs="Arial"/>
        </w:rPr>
      </w:pPr>
      <w:r>
        <w:rPr>
          <w:rFonts w:ascii="Arial" w:hAnsi="Arial"/>
        </w:rPr>
        <w:t>(4) Seules les dispositions des articles premier à 3, de l’article 4, paragraphes 3 et 4, phrase 2, des articles 5, 6, 7 à 8d et 23, ainsi que les dispositions de la neuvième section s’appliquent aux restaurants et bars (débits de boissons, services de restauration et établissements d’hébergement touristique) et aux bureaux des preneurs de paris, pour autant que ceux-ci soient équipés d’appareils de jeux d’argent et de marchandises avec possibilité de gain.</w:t>
      </w:r>
    </w:p>
    <w:p w14:paraId="16311964" w14:textId="77777777" w:rsidR="00001328" w:rsidRDefault="00A4265D">
      <w:pPr>
        <w:tabs>
          <w:tab w:val="left" w:pos="720"/>
        </w:tabs>
        <w:spacing w:after="120" w:line="360" w:lineRule="auto"/>
        <w:jc w:val="both"/>
        <w:rPr>
          <w:rFonts w:ascii="Arial" w:eastAsia="Times New Roman" w:hAnsi="Arial" w:cs="Arial"/>
        </w:rPr>
      </w:pPr>
      <w:r>
        <w:rPr>
          <w:rFonts w:ascii="Arial" w:hAnsi="Arial"/>
        </w:rPr>
        <w:t>(5) Seuls les articles premier à 3, les articles 5 à 9a, l’article 23 et les dispositions des huitième et neuvième sections s’appliquent aux paris hippiques.</w:t>
      </w:r>
    </w:p>
    <w:p w14:paraId="74A7C1A7" w14:textId="77777777" w:rsidR="00001328" w:rsidRDefault="00A4265D">
      <w:pPr>
        <w:tabs>
          <w:tab w:val="left" w:pos="720"/>
        </w:tabs>
        <w:spacing w:after="120" w:line="360" w:lineRule="auto"/>
        <w:jc w:val="both"/>
        <w:rPr>
          <w:rFonts w:ascii="Arial" w:eastAsia="Times New Roman" w:hAnsi="Arial" w:cs="Arial"/>
        </w:rPr>
      </w:pPr>
      <w:r>
        <w:rPr>
          <w:rFonts w:ascii="Arial" w:hAnsi="Arial"/>
        </w:rPr>
        <w:t>(6) Seuls les articles premier à 9a, les articles 21, 21a et 23, ainsi que les dispositions de la dixième section s’appliquent aux paris sportifs.</w:t>
      </w:r>
    </w:p>
    <w:p w14:paraId="62BD29F0" w14:textId="77777777" w:rsidR="00001328" w:rsidRDefault="00A4265D">
      <w:pPr>
        <w:tabs>
          <w:tab w:val="left" w:pos="720"/>
        </w:tabs>
        <w:spacing w:after="120" w:line="360" w:lineRule="auto"/>
        <w:jc w:val="both"/>
        <w:rPr>
          <w:rFonts w:ascii="Arial" w:eastAsia="Times New Roman" w:hAnsi="Arial" w:cs="Arial"/>
        </w:rPr>
      </w:pPr>
      <w:r>
        <w:rPr>
          <w:rFonts w:ascii="Arial" w:hAnsi="Arial"/>
        </w:rPr>
        <w:t>(7) Seuls les articles premier à 9a, les articles 22a, 23, ainsi que les dispositions de la dixième section s’appliquent aux machines à sous virtuelles.</w:t>
      </w:r>
    </w:p>
    <w:p w14:paraId="0DFEC936" w14:textId="77777777" w:rsidR="00001328" w:rsidRDefault="00A4265D">
      <w:pPr>
        <w:tabs>
          <w:tab w:val="left" w:pos="720"/>
        </w:tabs>
        <w:spacing w:after="120" w:line="360" w:lineRule="auto"/>
        <w:jc w:val="both"/>
        <w:rPr>
          <w:rFonts w:ascii="Arial" w:eastAsia="Times New Roman" w:hAnsi="Arial" w:cs="Arial"/>
        </w:rPr>
      </w:pPr>
      <w:r>
        <w:rPr>
          <w:rFonts w:ascii="Arial" w:hAnsi="Arial"/>
        </w:rPr>
        <w:t>(8) Seuls les articles premier à 9a, 22b et 23, ainsi que les dispositions de la dixième section s’appliquent au poker en ligne.</w:t>
      </w:r>
    </w:p>
    <w:p w14:paraId="0279DB1D" w14:textId="77777777" w:rsidR="00001328" w:rsidRDefault="00A4265D">
      <w:pPr>
        <w:tabs>
          <w:tab w:val="left" w:pos="720"/>
        </w:tabs>
        <w:spacing w:after="120" w:line="360" w:lineRule="auto"/>
        <w:jc w:val="both"/>
        <w:rPr>
          <w:rFonts w:ascii="Arial" w:eastAsia="Times New Roman" w:hAnsi="Arial" w:cs="Arial"/>
        </w:rPr>
      </w:pPr>
      <w:r>
        <w:rPr>
          <w:rFonts w:ascii="Arial" w:hAnsi="Arial"/>
        </w:rPr>
        <w:t>(9) Seuls les articles premier à 4, 5, à 9a, 22c, 23, ainsi que les dispositions de la dixième section s’appliquent aux jeux de casino en ligne.</w:t>
      </w:r>
    </w:p>
    <w:p w14:paraId="17D78762" w14:textId="77777777" w:rsidR="00001328" w:rsidRDefault="00A4265D">
      <w:pPr>
        <w:tabs>
          <w:tab w:val="left" w:pos="720"/>
        </w:tabs>
        <w:spacing w:after="120" w:line="360" w:lineRule="auto"/>
        <w:jc w:val="both"/>
        <w:rPr>
          <w:rFonts w:ascii="Arial" w:eastAsia="Times New Roman" w:hAnsi="Arial" w:cs="Arial"/>
        </w:rPr>
      </w:pPr>
      <w:r>
        <w:rPr>
          <w:rFonts w:ascii="Arial" w:hAnsi="Arial"/>
        </w:rPr>
        <w:t>(10) Seuls les articles premier à 4, 5 à 10, 12 à 18, 22 et 23, ainsi que les dispositions de la neuvième section s’appliquent aux loteries.</w:t>
      </w:r>
    </w:p>
    <w:p w14:paraId="427175A6" w14:textId="77777777" w:rsidR="00001328" w:rsidRDefault="00A4265D">
      <w:pPr>
        <w:tabs>
          <w:tab w:val="left" w:pos="720"/>
        </w:tabs>
        <w:spacing w:after="120" w:line="360" w:lineRule="auto"/>
        <w:jc w:val="both"/>
        <w:rPr>
          <w:rFonts w:ascii="Arial" w:eastAsia="Times New Roman" w:hAnsi="Arial" w:cs="Arial"/>
        </w:rPr>
      </w:pPr>
      <w:r>
        <w:rPr>
          <w:rFonts w:ascii="Arial" w:hAnsi="Arial"/>
        </w:rPr>
        <w:t>(11) Pour les concours à la radio (article 2, paragraphe 1, phrases 1 et 2, du traité d’État sur les médias), seul l’article 11 du traité d’État sur les médias s’applique.</w:t>
      </w:r>
    </w:p>
    <w:p w14:paraId="15BB30E2" w14:textId="77777777" w:rsidR="00001328" w:rsidRDefault="00001328">
      <w:pPr>
        <w:tabs>
          <w:tab w:val="left" w:pos="720"/>
        </w:tabs>
        <w:spacing w:after="120" w:line="360" w:lineRule="auto"/>
        <w:jc w:val="both"/>
        <w:rPr>
          <w:rFonts w:ascii="Arial" w:eastAsia="Times New Roman" w:hAnsi="Arial" w:cs="Arial"/>
          <w:lang w:eastAsia="de-DE"/>
        </w:rPr>
      </w:pPr>
    </w:p>
    <w:p w14:paraId="494EFDD5" w14:textId="77777777" w:rsidR="00001328" w:rsidRDefault="00A4265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120" w:line="360" w:lineRule="auto"/>
        <w:jc w:val="both"/>
        <w:rPr>
          <w:rFonts w:ascii="Arial" w:eastAsia="Times New Roman" w:hAnsi="Arial" w:cs="Arial"/>
          <w:b/>
        </w:rPr>
      </w:pPr>
      <w:r>
        <w:rPr>
          <w:rFonts w:ascii="Arial" w:hAnsi="Arial"/>
          <w:b/>
        </w:rPr>
        <w:t>Article 3 Définitions</w:t>
      </w:r>
    </w:p>
    <w:p w14:paraId="766CA2E7" w14:textId="77777777" w:rsidR="00001328" w:rsidRDefault="00A4265D">
      <w:pPr>
        <w:keepNext/>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napToGrid w:val="0"/>
        <w:spacing w:after="120" w:line="360" w:lineRule="auto"/>
        <w:jc w:val="both"/>
        <w:rPr>
          <w:rFonts w:ascii="Arial" w:eastAsia="Times New Roman" w:hAnsi="Arial" w:cs="Arial"/>
        </w:rPr>
      </w:pPr>
      <w:r>
        <w:rPr>
          <w:rFonts w:ascii="Arial" w:hAnsi="Arial"/>
        </w:rPr>
        <w:t xml:space="preserve">(1) Il y a jeu de hasard si, dans le cadre d’un jeu, une somme d’argent est demandée pour obtenir une chance de gain, et si la décision concernant le gain dépend en tout ou en partie du hasard. La décision concernant le gain dépend dans tous les cas du hasard si la survenue ou l’issue incertaine d’événements futurs est déterminante. Des paris contre paiement d’une mise et portant sur la survenue ou l’issue d’un événement futur sont des jeux de hasard. Les paris sportifs sont des paris à cotes fixes sur une opération future lors d’un événement sportif, </w:t>
      </w:r>
      <w:r>
        <w:rPr>
          <w:rFonts w:ascii="Arial" w:hAnsi="Arial"/>
        </w:rPr>
        <w:lastRenderedPageBreak/>
        <w:t>sur le résultat d’un événement sportif ou sur le résultat de parties d’événements sportifs. Un événement sportif est une compétition sportive entre des personnes selon des règles définies. Les paris hippiques sont des paris pris à l’occasion de courses hippiques publiques et autres compétitions hippiques publiques.</w:t>
      </w:r>
    </w:p>
    <w:p w14:paraId="40B25F8B" w14:textId="77777777" w:rsidR="00001328" w:rsidRDefault="00A4265D">
      <w:pPr>
        <w:keepNext/>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napToGrid w:val="0"/>
        <w:spacing w:after="120" w:line="360" w:lineRule="auto"/>
        <w:jc w:val="both"/>
        <w:rPr>
          <w:rFonts w:ascii="Arial" w:eastAsia="Times New Roman" w:hAnsi="Arial" w:cs="Arial"/>
        </w:rPr>
      </w:pPr>
      <w:r>
        <w:rPr>
          <w:rFonts w:ascii="Arial" w:hAnsi="Arial"/>
        </w:rPr>
        <w:t>(1a) Les machines à sous virtuelles sont des répliques de machines à sous réelles proposées sur l’internet. Les jeux de casino en ligne sont des répliques virtuelles de jeux avec contrepartie et des diffusions en direct d’un jeu réel avec contrepartie auquel il est possible de participer en ligne. Le poker en ligne est chaque variante du jeu de poker sans banquier, dans lequel différentes personnes physiques sur internet jouent les unes contre les autres à une table virtuelle.</w:t>
      </w:r>
    </w:p>
    <w:p w14:paraId="1608396E"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napToGrid w:val="0"/>
        <w:spacing w:after="120" w:line="360" w:lineRule="auto"/>
        <w:jc w:val="both"/>
        <w:rPr>
          <w:rFonts w:ascii="Arial" w:eastAsia="Times New Roman" w:hAnsi="Arial" w:cs="Arial"/>
        </w:rPr>
      </w:pPr>
      <w:r>
        <w:rPr>
          <w:rFonts w:ascii="Arial" w:hAnsi="Arial"/>
        </w:rPr>
        <w:t>(2) Il y a jeu de hasard public s’il existe une possibilité de participation pour un cercle de personnes plus important et non fermé, ou s’il s’agit de jeux de hasard organisés habituellement au sein d’associations ou d’autres sociétés fermées.</w:t>
      </w:r>
    </w:p>
    <w:p w14:paraId="548FF3F2" w14:textId="77777777" w:rsidR="00001328" w:rsidRDefault="00A4265D">
      <w:pPr>
        <w:spacing w:after="120" w:line="360" w:lineRule="auto"/>
        <w:jc w:val="both"/>
        <w:rPr>
          <w:rFonts w:ascii="Arial" w:eastAsia="Times New Roman" w:hAnsi="Arial" w:cs="Arial"/>
        </w:rPr>
      </w:pPr>
      <w:r>
        <w:rPr>
          <w:rFonts w:ascii="Arial" w:hAnsi="Arial"/>
        </w:rPr>
        <w:t>(3) Une loterie est un jeu de hasard au sens du paragraphe 1, point 1, qui offre à de nombreuses personnes la possibilité d’obtenir un gain en argent selon un plan défini moyennant le paiement d’une somme définie. Les dispositions relatives aux loteries s’appliquent également lorsque des objets ou d’autres avantages appréciables en argent peuvent être gagnés à la place de l’argent (tirage).</w:t>
      </w:r>
    </w:p>
    <w:p w14:paraId="318E7397" w14:textId="77777777" w:rsidR="00001328" w:rsidRDefault="00A4265D">
      <w:pPr>
        <w:spacing w:after="120" w:line="360" w:lineRule="auto"/>
        <w:jc w:val="both"/>
        <w:rPr>
          <w:rFonts w:ascii="Arial" w:eastAsia="Times New Roman" w:hAnsi="Arial" w:cs="Arial"/>
        </w:rPr>
      </w:pPr>
      <w:r>
        <w:rPr>
          <w:rFonts w:ascii="Arial" w:hAnsi="Arial"/>
        </w:rPr>
        <w:t>(4) Un jeu de hasard est organisé et distribué à l’endroit où le joueur a la possibilité de participer.</w:t>
      </w:r>
    </w:p>
    <w:p w14:paraId="40F5382E" w14:textId="77777777" w:rsidR="00001328" w:rsidRDefault="00A4265D">
      <w:pPr>
        <w:spacing w:after="120" w:line="360" w:lineRule="auto"/>
        <w:jc w:val="both"/>
        <w:rPr>
          <w:rFonts w:ascii="Arial" w:eastAsia="Times New Roman" w:hAnsi="Arial" w:cs="Arial"/>
        </w:rPr>
      </w:pPr>
      <w:r>
        <w:rPr>
          <w:rFonts w:ascii="Arial" w:hAnsi="Arial"/>
        </w:rPr>
        <w:t>(5) Les bureaux de validation et les encaisseurs de loterie sont des distributeurs intégrés à l’organisation commerciale d’organisateurs au sens de l’article 10, paragraphes 2 et 3.</w:t>
      </w:r>
    </w:p>
    <w:p w14:paraId="1A790BC3" w14:textId="77777777" w:rsidR="00001328" w:rsidRDefault="00A4265D">
      <w:pPr>
        <w:spacing w:after="120" w:line="360" w:lineRule="auto"/>
        <w:jc w:val="both"/>
        <w:rPr>
          <w:rFonts w:ascii="Arial" w:eastAsia="Times New Roman" w:hAnsi="Arial" w:cs="Arial"/>
        </w:rPr>
      </w:pPr>
      <w:r>
        <w:rPr>
          <w:rFonts w:ascii="Arial" w:hAnsi="Arial"/>
        </w:rPr>
        <w:t>(6) Les bureaux de placement de paris sont des agences de vente intégrées dans l’organisation commerciale des organisateurs de paris sportifs, soit de l’organisateur, soit des agents qui distribuent les contrats uniquement pour le compte d’un organisateur.</w:t>
      </w:r>
    </w:p>
    <w:p w14:paraId="30C50385" w14:textId="77777777" w:rsidR="00001328" w:rsidRDefault="00A4265D">
      <w:pPr>
        <w:spacing w:after="120" w:line="360" w:lineRule="auto"/>
        <w:jc w:val="both"/>
        <w:rPr>
          <w:rFonts w:ascii="Arial" w:eastAsia="Times New Roman" w:hAnsi="Arial" w:cs="Arial"/>
        </w:rPr>
      </w:pPr>
      <w:r>
        <w:rPr>
          <w:rFonts w:ascii="Arial" w:hAnsi="Arial"/>
        </w:rPr>
        <w:t>(7) Les officines des preneurs de paris sont ceux au sens de l’article 2, paragraphe 2, de la loi sur les paris hippiques et les loteries. Il peut s’agir d’agences de vente de l’organisateur de paris intégrées à l’organisation commerciale des organisateurs de courses hippiques.  Les règlements pour les preneurs de paris en vertu de la loi sur les paris hippiques et les loteries restent inchangés.</w:t>
      </w:r>
    </w:p>
    <w:p w14:paraId="1124CA54"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napToGrid w:val="0"/>
        <w:spacing w:after="120" w:line="360" w:lineRule="auto"/>
        <w:jc w:val="both"/>
        <w:rPr>
          <w:rFonts w:ascii="Arial" w:eastAsia="Times New Roman" w:hAnsi="Arial" w:cs="Arial"/>
        </w:rPr>
      </w:pPr>
      <w:r>
        <w:rPr>
          <w:rFonts w:ascii="Arial" w:hAnsi="Arial"/>
        </w:rPr>
        <w:t xml:space="preserve">(8) Une personne exerce une activité d’agent professionnel si, sans être un bureau de validation, encaisseur de loterie, bureau de prise de paris ou officine d’un preneur de paris, </w:t>
      </w:r>
    </w:p>
    <w:p w14:paraId="4B72B728" w14:textId="77777777" w:rsidR="00001328" w:rsidRDefault="00A4265D">
      <w:pPr>
        <w:widowControl w:val="0"/>
        <w:tabs>
          <w:tab w:val="left" w:pos="284"/>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ind w:left="567" w:hanging="283"/>
        <w:jc w:val="both"/>
        <w:rPr>
          <w:rFonts w:ascii="Arial" w:eastAsia="Times New Roman" w:hAnsi="Arial" w:cs="Arial"/>
        </w:rPr>
      </w:pPr>
      <w:r>
        <w:rPr>
          <w:rFonts w:ascii="Arial" w:hAnsi="Arial"/>
        </w:rPr>
        <w:t>1. elle distribue des contrats de jeu à un organisateur de loteries ou</w:t>
      </w:r>
    </w:p>
    <w:p w14:paraId="0AE94DAE" w14:textId="77777777" w:rsidR="00001328" w:rsidRDefault="00A4265D">
      <w:pPr>
        <w:widowControl w:val="0"/>
        <w:tabs>
          <w:tab w:val="left" w:pos="284"/>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ind w:left="567" w:hanging="283"/>
        <w:jc w:val="both"/>
        <w:rPr>
          <w:rFonts w:ascii="Arial" w:eastAsia="Times New Roman" w:hAnsi="Arial" w:cs="Arial"/>
        </w:rPr>
      </w:pPr>
      <w:r>
        <w:rPr>
          <w:rFonts w:ascii="Arial" w:hAnsi="Arial"/>
        </w:rPr>
        <w:t xml:space="preserve">2. réunit des personnes intéressées dans le but de constituer des communautés de jeu, et transmet elle-même ou par l’intermédiaire de tiers, leurs enjeux à l’organisateur de loteries,  </w:t>
      </w:r>
    </w:p>
    <w:p w14:paraId="3355BF03" w14:textId="77777777" w:rsidR="00001328" w:rsidRDefault="00A4265D">
      <w:pPr>
        <w:widowControl w:val="0"/>
        <w:tabs>
          <w:tab w:val="left" w:pos="0"/>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lastRenderedPageBreak/>
        <w:t>dans la mesure où cela se produit à chaque fois dans le but de réaliser un bénéfice durable grâce à cette activité.</w:t>
      </w:r>
    </w:p>
    <w:p w14:paraId="7B8DB5C5"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t>(9) Une arcade au sens du présent traité d’État est une entreprise ou une partie d’une entreprise qui permet l’installation de manière exclusive ou majoritaire de machines à sous au sens de l’article 33c, paragraphe 1, phrase 1 ou l’organisation d’autres jeux au sens de l’article 33d, paragraphe 1, phrase 1, du code de commerce et de l’industrie dans sa version du 22 février 1999 (JO fédéral I, p. 202; qui a été modifié en dernier lieu par l’article 5 de la loi du 19 juin 2020, JO fédéral I, p. 1403).</w:t>
      </w:r>
    </w:p>
    <w:p w14:paraId="0683450D" w14:textId="77777777" w:rsidR="00001328" w:rsidRDefault="00001328">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lang w:eastAsia="ar-SA"/>
        </w:rPr>
      </w:pPr>
    </w:p>
    <w:p w14:paraId="74FCA836"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4 Dispositions générales relatives à l’octroi d’une licence</w:t>
      </w:r>
    </w:p>
    <w:p w14:paraId="1BCE0B11" w14:textId="77777777" w:rsidR="00001328" w:rsidRDefault="00A4265D">
      <w:pPr>
        <w:spacing w:after="120" w:line="360" w:lineRule="auto"/>
        <w:jc w:val="both"/>
        <w:rPr>
          <w:rFonts w:ascii="Arial" w:eastAsia="Times New Roman" w:hAnsi="Arial" w:cs="Arial"/>
        </w:rPr>
      </w:pPr>
      <w:r>
        <w:rPr>
          <w:rFonts w:ascii="Arial" w:hAnsi="Arial"/>
        </w:rPr>
        <w:t>(1) L’organisation et la distribution de jeux de hasard publics sont soumises à la délivrance d’une licence par les autorités compétentes du Land concerné. Toute activité d’organisation ou de distribution menée sans ladite licence (jeux de hasard non autorisés), ainsi que toute participation aux paiements liés à l’accès à des jeux de hasard non autorisés et prélevés au titre de cet accès sont interdites. Si un organisateur ou un agent de jeux de hasard publics offre, en plus des jeux de hasard non autorisés, d’autres services de manière à ce que les personnes impliquées dans les transactions de paiement ne puissent pas rendre les transactions de paiement complètement distinctes et séparées selon les offres, la participation aux transactions de paiement est également interdite pour les autres services.</w:t>
      </w:r>
    </w:p>
    <w:p w14:paraId="4A8B50EF" w14:textId="77777777" w:rsidR="00001328" w:rsidRDefault="00A4265D">
      <w:pPr>
        <w:spacing w:after="120" w:line="360" w:lineRule="auto"/>
        <w:jc w:val="both"/>
        <w:rPr>
          <w:rFonts w:ascii="Arial" w:eastAsia="Times New Roman" w:hAnsi="Arial" w:cs="Arial"/>
        </w:rPr>
      </w:pPr>
      <w:r>
        <w:rPr>
          <w:rFonts w:ascii="Arial" w:hAnsi="Arial"/>
        </w:rPr>
        <w:t xml:space="preserve">(2) Il y a lieu de refuser la licence dès lors que l’organisation ou la distribution du jeu de hasard contrevient aux objectifs visés à l’article premier. Une licence ne peut être attribuée pour la distribution de jeux de hasard non autorisés au sens du présent traité d’État. </w:t>
      </w:r>
      <w:r>
        <w:rPr>
          <w:rFonts w:ascii="Arial" w:hAnsi="Arial"/>
          <w:strike/>
        </w:rPr>
        <w:t xml:space="preserve"> </w:t>
      </w:r>
    </w:p>
    <w:p w14:paraId="5DACBEC8"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napToGrid w:val="0"/>
        <w:spacing w:after="120" w:line="360" w:lineRule="auto"/>
        <w:jc w:val="both"/>
        <w:rPr>
          <w:rFonts w:ascii="Arial" w:eastAsia="Times New Roman" w:hAnsi="Arial" w:cs="Arial"/>
        </w:rPr>
      </w:pPr>
      <w:r>
        <w:rPr>
          <w:rFonts w:ascii="Arial" w:hAnsi="Arial"/>
        </w:rPr>
        <w:t xml:space="preserve">(3) L’organisation et la distribution de jeux de hasard publics ne doivent pas s’opposer aux exigences de la protection des mineurs. La participation de mineurs n’est pas autorisée. Les organisateurs et les agents doivent s’assurer que la participation de mineurs est exclue. Les phrases 2 et 3 ne s’appliquent pas à la participation de mineurs à des jeux selon la troisième section lors de festivals, de foires, de marchés spéciaux et d’événements similaires si le profit consiste uniquement en des biens de faible valeur. </w:t>
      </w:r>
    </w:p>
    <w:p w14:paraId="471FF651"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napToGrid w:val="0"/>
        <w:spacing w:after="120" w:line="360" w:lineRule="auto"/>
        <w:jc w:val="both"/>
        <w:rPr>
          <w:rFonts w:ascii="Arial" w:eastAsia="Times New Roman" w:hAnsi="Arial" w:cs="Arial"/>
        </w:rPr>
      </w:pPr>
      <w:r>
        <w:rPr>
          <w:rFonts w:ascii="Arial" w:hAnsi="Arial"/>
        </w:rPr>
        <w:t>(4) La licence de jeux de hasard publics sur l’internet ne peut être accordée que pour l’autodistribution et la distribution de loteries, pour l’organisation, la distribution et l’autodistribution de paris sportifs et de paris hippiques ainsi que pour l’organisation et l’autodistribution de jeux de casino en ligne, de machines à sous virtuelles et de poker en ligne. Il est interdit d’organiser et de distribuer d’autres jeux de hasard publics sur l’internet.</w:t>
      </w:r>
    </w:p>
    <w:p w14:paraId="30395E57"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napToGrid w:val="0"/>
        <w:spacing w:after="120" w:line="360" w:lineRule="auto"/>
        <w:jc w:val="both"/>
        <w:rPr>
          <w:rFonts w:ascii="Arial" w:eastAsia="Times New Roman" w:hAnsi="Arial" w:cs="Arial"/>
        </w:rPr>
      </w:pPr>
      <w:r>
        <w:rPr>
          <w:rFonts w:ascii="Arial" w:hAnsi="Arial"/>
        </w:rPr>
        <w:t>(5) L’octroi d’une licence conformément au paragraphe 4, phrase 1 pour les jeux de hasard publics sur l’internet suppose qu’il n’y a pas de motif de refus conformément au paragraphe 2, et que les conditions suivantes sont remplies:</w:t>
      </w:r>
    </w:p>
    <w:p w14:paraId="23E4EC13"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napToGrid w:val="0"/>
        <w:spacing w:after="120" w:line="360" w:lineRule="auto"/>
        <w:ind w:left="567" w:hanging="283"/>
        <w:jc w:val="both"/>
        <w:rPr>
          <w:rFonts w:ascii="Arial" w:eastAsia="Times New Roman" w:hAnsi="Arial" w:cs="Arial"/>
        </w:rPr>
      </w:pPr>
      <w:r>
        <w:rPr>
          <w:rFonts w:ascii="Arial" w:hAnsi="Arial"/>
        </w:rPr>
        <w:lastRenderedPageBreak/>
        <w:t xml:space="preserve">1. </w:t>
      </w:r>
      <w:r>
        <w:rPr>
          <w:rFonts w:ascii="Arial" w:hAnsi="Arial"/>
        </w:rPr>
        <w:tab/>
        <w:t xml:space="preserve">L’exclusion des mineurs ou des joueurs frappés d’interdiction est garantie par l’identification et l’authentification et, s’il existe une obligation selon l’article 8, par consultation de la liste rouge des personnes bloquées. </w:t>
      </w:r>
    </w:p>
    <w:p w14:paraId="20415EC9"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napToGrid w:val="0"/>
        <w:spacing w:after="120" w:line="360" w:lineRule="auto"/>
        <w:ind w:left="567" w:hanging="283"/>
        <w:jc w:val="both"/>
        <w:rPr>
          <w:rFonts w:ascii="Arial" w:eastAsia="Times New Roman" w:hAnsi="Arial" w:cs="Arial"/>
        </w:rPr>
      </w:pPr>
      <w:r>
        <w:rPr>
          <w:rFonts w:ascii="Arial" w:hAnsi="Arial"/>
        </w:rPr>
        <w:t xml:space="preserve">2. </w:t>
      </w:r>
      <w:r>
        <w:rPr>
          <w:rFonts w:ascii="Arial" w:hAnsi="Arial"/>
        </w:rPr>
        <w:tab/>
        <w:t xml:space="preserve">Les joueurs ne reçoivent aucun prêt de l’organisateur, de l’agent, de leurs employés ou de tiers mandatés par eux; les prêts ne peuvent pas être annoncés sur le domaine internet de l’organisateur ou de l’agent, ni autrement mentionnés ou indiqués en lien (interdiction de prêt). Pour les loteries sous forme d’une épargne à primes conformément à l’article 12, paragraphe 1, phrase 2, ceci s'applique pour les prêts qui sont accordés pour participer à des jeux de hasard. </w:t>
      </w:r>
    </w:p>
    <w:p w14:paraId="06DDFC3F"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ind w:left="567" w:hanging="283"/>
        <w:jc w:val="both"/>
        <w:rPr>
          <w:rFonts w:ascii="Arial" w:eastAsia="Times New Roman" w:hAnsi="Arial" w:cs="Arial"/>
        </w:rPr>
      </w:pPr>
      <w:r>
        <w:rPr>
          <w:rFonts w:ascii="Arial" w:hAnsi="Arial"/>
        </w:rPr>
        <w:t xml:space="preserve">3. </w:t>
      </w:r>
      <w:r>
        <w:rPr>
          <w:rFonts w:ascii="Arial" w:hAnsi="Arial"/>
        </w:rPr>
        <w:tab/>
        <w:t>Toute incitation particulière à la dépendance, telle que celle résultant de tirages rapides et répétés, est exclue.</w:t>
      </w:r>
    </w:p>
    <w:p w14:paraId="0D22AB58"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ind w:left="567" w:hanging="283"/>
        <w:jc w:val="both"/>
        <w:rPr>
          <w:rFonts w:ascii="Arial" w:eastAsia="Times New Roman" w:hAnsi="Arial" w:cs="Arial"/>
        </w:rPr>
      </w:pPr>
      <w:r>
        <w:rPr>
          <w:rFonts w:ascii="Arial" w:hAnsi="Arial"/>
        </w:rPr>
        <w:t xml:space="preserve">4. </w:t>
      </w:r>
      <w:r>
        <w:rPr>
          <w:rFonts w:ascii="Arial" w:hAnsi="Arial"/>
        </w:rPr>
        <w:tab/>
        <w:t xml:space="preserve">Conformément à l’article 6, il convient de veiller au développement et à la mise en œuvre d’un programme de mesures sociales adapté aux conditions spécifiques de l’internet, dont l’efficacité sera évaluée scientifiquement. </w:t>
      </w:r>
    </w:p>
    <w:p w14:paraId="06141A20"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napToGrid w:val="0"/>
        <w:spacing w:after="120" w:line="360" w:lineRule="auto"/>
        <w:ind w:left="567" w:hanging="283"/>
        <w:jc w:val="both"/>
        <w:rPr>
          <w:rFonts w:ascii="Arial" w:eastAsia="Times New Roman" w:hAnsi="Arial" w:cs="Arial"/>
        </w:rPr>
      </w:pPr>
      <w:r>
        <w:rPr>
          <w:rFonts w:ascii="Arial" w:hAnsi="Arial"/>
        </w:rPr>
        <w:t xml:space="preserve">5. </w:t>
      </w:r>
      <w:r>
        <w:rPr>
          <w:rFonts w:ascii="Arial" w:hAnsi="Arial"/>
        </w:rPr>
        <w:tab/>
        <w:t>Différentes formes de jeu ne peuvent être proposées via le même domaine internet que si un espace indépendant et graphiquement séparé est mis en place pour chaque forme de jeu; le paragraphe 1 demeure inchangé. Par dérogation, les paris sportifs et les paris hippiques peuvent être proposés ensemble dans une même zone du même domaine internet. Il est interdit de promouvoir ou d’annoncer dans une zone les jeux de hasard des autres zones. Après avoir participé à un jeu de hasard dans une zone, la participation dans une autre zone du même détenteur de licence est autorisée au plus tôt après une minute; pendant ce temps, il n’est pas possible de participer à des jeux gratuits ou de démonstration et le concept social doit afficher des messages, au contenu à préciser, de danger et de prévention de la dépendance au jeu ainsi que des offres de conseil, que le joueur doit confirmer avant de participer à l’autre zone. Le détenteur de licence doit s’assurer que les gains d’une zone ne peuvent être utilisés pour jouer dans d’autres zones qu’après une période d’attente d’une heure. La phrase 4 s’applique mutatis mutandis au changement entre différents domaines internet du même détenteur de licence.</w:t>
      </w:r>
    </w:p>
    <w:p w14:paraId="4C3AF838"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napToGrid w:val="0"/>
        <w:spacing w:after="120" w:line="360" w:lineRule="auto"/>
        <w:ind w:left="567" w:hanging="283"/>
        <w:jc w:val="both"/>
        <w:rPr>
          <w:rFonts w:ascii="Arial" w:eastAsia="Times New Roman" w:hAnsi="Arial" w:cs="Arial"/>
        </w:rPr>
      </w:pPr>
      <w:r>
        <w:rPr>
          <w:rFonts w:ascii="Arial" w:hAnsi="Arial"/>
        </w:rPr>
        <w:t xml:space="preserve">6. </w:t>
      </w:r>
      <w:r>
        <w:rPr>
          <w:rFonts w:ascii="Arial" w:hAnsi="Arial"/>
        </w:rPr>
        <w:tab/>
        <w:t>Les exigences découlant des articles 6a à 6j et les exigences découlant du présent traité d’État et d’autres dispositions légales sont respectées.</w:t>
      </w:r>
    </w:p>
    <w:p w14:paraId="0D5157D6" w14:textId="77777777" w:rsidR="00001328" w:rsidRDefault="00A4265D">
      <w:pPr>
        <w:spacing w:after="120" w:line="360" w:lineRule="auto"/>
        <w:jc w:val="both"/>
        <w:rPr>
          <w:rFonts w:ascii="Arial" w:eastAsia="Times New Roman" w:hAnsi="Arial" w:cs="Arial"/>
        </w:rPr>
      </w:pPr>
      <w:r>
        <w:rPr>
          <w:rFonts w:ascii="Arial" w:hAnsi="Arial"/>
        </w:rPr>
        <w:t>(6) Les organisateurs et opérateurs de loteries et de paris sportifs en ligne sont tenus de communiquer aux autorités en charge de l’octroi de licence le nombre de joueurs et le montant des mises classés par jeu et par Land, sur une base trimestrielle aux fins de leur évaluation.</w:t>
      </w:r>
    </w:p>
    <w:p w14:paraId="04A357E8" w14:textId="77777777" w:rsidR="00001328" w:rsidRDefault="00001328">
      <w:pPr>
        <w:spacing w:after="120" w:line="360" w:lineRule="auto"/>
        <w:jc w:val="both"/>
        <w:rPr>
          <w:rFonts w:ascii="Arial" w:hAnsi="Arial" w:cs="Arial"/>
        </w:rPr>
      </w:pPr>
    </w:p>
    <w:p w14:paraId="09700460" w14:textId="77777777" w:rsidR="00001328" w:rsidRPr="00042717"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napToGrid w:val="0"/>
        <w:spacing w:after="120" w:line="360" w:lineRule="auto"/>
        <w:jc w:val="both"/>
        <w:rPr>
          <w:rFonts w:ascii="Arial" w:eastAsia="Times New Roman" w:hAnsi="Arial" w:cs="Arial"/>
          <w:b/>
          <w:bCs/>
          <w:sz w:val="28"/>
          <w:szCs w:val="28"/>
        </w:rPr>
      </w:pPr>
      <w:r w:rsidRPr="00042717">
        <w:rPr>
          <w:rFonts w:ascii="Arial" w:hAnsi="Arial"/>
          <w:b/>
          <w:bCs/>
        </w:rPr>
        <w:t>Article 4a Conditions particulières pour l’octroi d’une licence pour les paris sportifs, le poker en ligne et les machines à sous virtuelles</w:t>
      </w:r>
    </w:p>
    <w:p w14:paraId="296486FB"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lastRenderedPageBreak/>
        <w:t>(1) La licence pour organiser des paris sportifs, du poker en ligne et des machines à sous virtuelles ne peut être accordée que si</w:t>
      </w:r>
    </w:p>
    <w:p w14:paraId="109B1631"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ind w:left="567" w:hanging="283"/>
        <w:jc w:val="both"/>
        <w:rPr>
          <w:rFonts w:ascii="Arial" w:eastAsia="Times New Roman" w:hAnsi="Arial" w:cs="Arial"/>
        </w:rPr>
      </w:pPr>
      <w:r>
        <w:rPr>
          <w:rFonts w:ascii="Arial" w:hAnsi="Arial"/>
        </w:rPr>
        <w:t>1. (fiabilité étendue)</w:t>
      </w:r>
    </w:p>
    <w:p w14:paraId="28AF0276" w14:textId="605957AD" w:rsidR="00001328" w:rsidRDefault="00042717">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ind w:left="851" w:hanging="284"/>
        <w:jc w:val="both"/>
        <w:rPr>
          <w:rFonts w:ascii="Arial" w:eastAsia="Times New Roman" w:hAnsi="Arial" w:cs="Arial"/>
        </w:rPr>
      </w:pPr>
      <w:r>
        <w:rPr>
          <w:rFonts w:ascii="Arial" w:hAnsi="Arial"/>
        </w:rPr>
        <w:t xml:space="preserve">a) </w:t>
      </w:r>
      <w:r w:rsidR="00A4265D">
        <w:rPr>
          <w:rFonts w:ascii="Arial" w:hAnsi="Arial"/>
        </w:rPr>
        <w:t xml:space="preserve">la répartition des détenteurs et l’état des participations se rapportant au détenteur de licences sont divulgués dans leur intégralité; ainsi, il convient de mentionner l’identité et l’adresse de tous les associés, actionnaires ou autres bailleurs de fonds dans le cas de sociétés de personnes, ou des personnes détenant plus de cinq pour cent du capital social ou plus de cinq pour cent des droits de vote dans le cas de personnes morales de droit privé, ainsi que, d’une manière générale, les relations de fiducie, b) </w:t>
      </w:r>
    </w:p>
    <w:p w14:paraId="5CFE263B" w14:textId="4A056DCA" w:rsidR="00001328" w:rsidRDefault="00042717">
      <w:pPr>
        <w:tabs>
          <w:tab w:val="left" w:pos="851"/>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ind w:left="851" w:hanging="284"/>
        <w:jc w:val="both"/>
        <w:rPr>
          <w:rFonts w:ascii="Arial" w:eastAsia="Times New Roman" w:hAnsi="Arial" w:cs="Arial"/>
        </w:rPr>
      </w:pPr>
      <w:r>
        <w:rPr>
          <w:rFonts w:ascii="Arial" w:hAnsi="Arial"/>
        </w:rPr>
        <w:t xml:space="preserve">b)  </w:t>
      </w:r>
      <w:r w:rsidR="00A4265D">
        <w:rPr>
          <w:rFonts w:ascii="Arial" w:hAnsi="Arial"/>
        </w:rPr>
        <w:t>le requérant et les responsables mandatés par celui-ci offrent la fiabilité et l’expertise requises pour l’organisation de jeux de hasard publics et qu’ils sont en mesure d’apporter la garantie que lesdits jeux seront organisés de manière rationnelle et intelligible pour les participants aux jeux et l’autorité chargée de délivrer les licences; dans le cas des personnes morales et des sociétés de personnes, toutes les personnes investies d’un mandat de représentation seront tenues de satisfaire à ces exigences de fiabilité et d’expertise,</w:t>
      </w:r>
    </w:p>
    <w:p w14:paraId="1D0D9C92" w14:textId="77777777" w:rsidR="00001328" w:rsidRDefault="00A4265D">
      <w:pPr>
        <w:tabs>
          <w:tab w:val="left" w:pos="851"/>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ind w:left="851" w:hanging="284"/>
        <w:jc w:val="both"/>
        <w:rPr>
          <w:rFonts w:ascii="Arial" w:eastAsia="Times New Roman" w:hAnsi="Arial" w:cs="Arial"/>
        </w:rPr>
      </w:pPr>
      <w:r>
        <w:rPr>
          <w:rFonts w:ascii="Arial" w:hAnsi="Arial"/>
        </w:rPr>
        <w:t>c) l’origine légale des fonds nécessaires à l’organisation de jeux de hasard publics est établie,</w:t>
      </w:r>
    </w:p>
    <w:p w14:paraId="2E3C5F89" w14:textId="77777777" w:rsidR="00001328" w:rsidRDefault="00A4265D">
      <w:pPr>
        <w:tabs>
          <w:tab w:val="left" w:pos="851"/>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ind w:left="851" w:hanging="284"/>
        <w:jc w:val="both"/>
        <w:rPr>
          <w:rFonts w:ascii="Arial" w:eastAsia="Times New Roman" w:hAnsi="Arial" w:cs="Arial"/>
        </w:rPr>
      </w:pPr>
      <w:r>
        <w:rPr>
          <w:rFonts w:ascii="Arial" w:hAnsi="Arial"/>
        </w:rPr>
        <w:t>d) ni le requérant lui-même ni une société qui lui est affiliée, ni une personne le contrôlant ni une personne contrôlée par lui, ni une personne dépendant de la personne contrôlant le requérant, n’organise ou distribue des jeux illégaux,</w:t>
      </w:r>
    </w:p>
    <w:p w14:paraId="2B1FE740" w14:textId="4FB6594D" w:rsidR="00001328" w:rsidRDefault="00A4265D" w:rsidP="00042717">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ind w:left="567" w:hanging="283"/>
        <w:rPr>
          <w:rFonts w:ascii="Arial" w:eastAsia="Times New Roman" w:hAnsi="Arial" w:cs="Arial"/>
        </w:rPr>
      </w:pPr>
      <w:r>
        <w:rPr>
          <w:rFonts w:ascii="Arial" w:hAnsi="Arial"/>
        </w:rPr>
        <w:t>2. (performances)</w:t>
      </w:r>
      <w:r>
        <w:rPr>
          <w:rFonts w:ascii="Arial" w:hAnsi="Arial"/>
        </w:rPr>
        <w:br/>
        <w:t xml:space="preserve">a) le requérant dispose de fonds propres suffisants pour maintenir durablement une </w:t>
      </w:r>
      <w:r w:rsidR="00042717">
        <w:rPr>
          <w:rFonts w:ascii="Arial" w:hAnsi="Arial"/>
        </w:rPr>
        <w:br/>
        <w:t xml:space="preserve">    </w:t>
      </w:r>
      <w:r>
        <w:rPr>
          <w:rFonts w:ascii="Arial" w:hAnsi="Arial"/>
        </w:rPr>
        <w:t xml:space="preserve">activité commerciale et apporte simultanément la preuve d’une conduite </w:t>
      </w:r>
      <w:r w:rsidR="00042717">
        <w:rPr>
          <w:rFonts w:ascii="Arial" w:hAnsi="Arial"/>
        </w:rPr>
        <w:br/>
        <w:t xml:space="preserve">    </w:t>
      </w:r>
      <w:r>
        <w:rPr>
          <w:rFonts w:ascii="Arial" w:hAnsi="Arial"/>
        </w:rPr>
        <w:t>commerciale irréprochable,</w:t>
      </w:r>
    </w:p>
    <w:p w14:paraId="01F75221" w14:textId="77777777" w:rsidR="00001328" w:rsidRDefault="00A4265D">
      <w:pPr>
        <w:tabs>
          <w:tab w:val="left" w:pos="142"/>
          <w:tab w:val="left" w:pos="851"/>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ind w:left="851" w:hanging="284"/>
        <w:jc w:val="both"/>
        <w:rPr>
          <w:rFonts w:ascii="Arial" w:eastAsia="Times New Roman" w:hAnsi="Arial" w:cs="Arial"/>
        </w:rPr>
      </w:pPr>
      <w:r>
        <w:rPr>
          <w:rFonts w:ascii="Arial" w:hAnsi="Arial"/>
        </w:rPr>
        <w:t>b) la viabilité économique de l’offre de jeux d’argent destinée à être proposée est établie en considération des contributions fiscales,</w:t>
      </w:r>
    </w:p>
    <w:p w14:paraId="0816613B" w14:textId="77777777" w:rsidR="00001328" w:rsidRDefault="00A4265D">
      <w:pPr>
        <w:tabs>
          <w:tab w:val="left" w:pos="142"/>
          <w:tab w:val="left" w:pos="851"/>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ind w:left="851" w:hanging="284"/>
        <w:jc w:val="both"/>
        <w:rPr>
          <w:rFonts w:ascii="Arial" w:eastAsia="Times New Roman" w:hAnsi="Arial" w:cs="Arial"/>
        </w:rPr>
      </w:pPr>
      <w:r>
        <w:rPr>
          <w:rFonts w:ascii="Arial" w:hAnsi="Arial"/>
        </w:rPr>
        <w:t>c) les dépôts de garantie nécessaires ont été préparés et l’assurance nécessaire pour la protection supplémentaire des joueurs a été souscrite,</w:t>
      </w:r>
    </w:p>
    <w:p w14:paraId="5D9CD27A" w14:textId="2FA34956"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ind w:firstLine="284"/>
        <w:jc w:val="both"/>
        <w:rPr>
          <w:rFonts w:ascii="Arial" w:eastAsia="Times New Roman" w:hAnsi="Arial" w:cs="Arial"/>
        </w:rPr>
      </w:pPr>
      <w:r>
        <w:rPr>
          <w:rFonts w:ascii="Arial" w:hAnsi="Arial"/>
        </w:rPr>
        <w:t>3. (</w:t>
      </w:r>
      <w:r w:rsidR="00042717">
        <w:rPr>
          <w:rFonts w:ascii="Arial" w:hAnsi="Arial"/>
        </w:rPr>
        <w:t>T</w:t>
      </w:r>
      <w:r>
        <w:rPr>
          <w:rFonts w:ascii="Arial" w:hAnsi="Arial"/>
        </w:rPr>
        <w:t>ransparence et sécurité des jeux de hasard)</w:t>
      </w:r>
    </w:p>
    <w:p w14:paraId="64436C13" w14:textId="77777777" w:rsidR="00001328" w:rsidRDefault="00A4265D">
      <w:pPr>
        <w:tabs>
          <w:tab w:val="left" w:pos="142"/>
          <w:tab w:val="left" w:pos="851"/>
          <w:tab w:val="left" w:pos="900"/>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ind w:left="851" w:hanging="284"/>
        <w:jc w:val="both"/>
        <w:rPr>
          <w:rFonts w:ascii="Arial" w:eastAsia="Times New Roman" w:hAnsi="Arial" w:cs="Arial"/>
        </w:rPr>
      </w:pPr>
      <w:r>
        <w:rPr>
          <w:rFonts w:ascii="Arial" w:hAnsi="Arial"/>
        </w:rPr>
        <w:t>a) la transparence de l’exploitation des jeux est assurée et garantie, de telle sorte qu’il soit possible de contrôler le réseau de distribution à tout moment et que son bon fonctionnement ne puisse être menacé par des tiers ou autres parties prenantes à l’exploitation,</w:t>
      </w:r>
    </w:p>
    <w:p w14:paraId="0995F6B0" w14:textId="77777777" w:rsidR="00001328" w:rsidRDefault="00A4265D">
      <w:pPr>
        <w:tabs>
          <w:tab w:val="left" w:pos="142"/>
          <w:tab w:val="left" w:pos="851"/>
          <w:tab w:val="left" w:pos="900"/>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ind w:left="851" w:hanging="284"/>
        <w:jc w:val="both"/>
        <w:rPr>
          <w:rFonts w:ascii="Arial" w:eastAsia="Times New Roman" w:hAnsi="Arial" w:cs="Arial"/>
        </w:rPr>
      </w:pPr>
      <w:r>
        <w:rPr>
          <w:rFonts w:ascii="Arial" w:hAnsi="Arial"/>
        </w:rPr>
        <w:t>b) le requérant est établi dans un État membre de l’Union européenne ou dans un État signataire de l’accord sur l’Espace économique européen,</w:t>
      </w:r>
    </w:p>
    <w:p w14:paraId="483F22C5" w14:textId="77777777" w:rsidR="00042717" w:rsidRDefault="00A4265D" w:rsidP="00042717">
      <w:pPr>
        <w:tabs>
          <w:tab w:val="left" w:pos="142"/>
          <w:tab w:val="left" w:pos="851"/>
          <w:tab w:val="left" w:pos="900"/>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ind w:left="851" w:hanging="284"/>
        <w:jc w:val="both"/>
        <w:rPr>
          <w:rFonts w:ascii="Arial" w:hAnsi="Arial"/>
        </w:rPr>
      </w:pPr>
      <w:r>
        <w:rPr>
          <w:rFonts w:ascii="Arial" w:hAnsi="Arial"/>
        </w:rPr>
        <w:lastRenderedPageBreak/>
        <w:t>c)</w:t>
      </w:r>
      <w:r w:rsidR="00042717">
        <w:rPr>
          <w:rFonts w:ascii="Arial" w:eastAsia="Times New Roman" w:hAnsi="Arial" w:cs="Arial"/>
        </w:rPr>
        <w:t xml:space="preserve"> </w:t>
      </w:r>
      <w:r>
        <w:rPr>
          <w:rFonts w:ascii="Arial" w:hAnsi="Arial"/>
        </w:rPr>
        <w:t>le requérant, dans le cas où celui-ci n’est pas établi sur le territoire national, désigne une personne investie des mandats de réception et de représentation pouvant être considérée comme fiable au sens du point 1, lettre b,</w:t>
      </w:r>
    </w:p>
    <w:p w14:paraId="0CB91E78" w14:textId="367BD8F6" w:rsidR="00001328" w:rsidRDefault="00A4265D" w:rsidP="00042717">
      <w:pPr>
        <w:tabs>
          <w:tab w:val="left" w:pos="142"/>
          <w:tab w:val="left" w:pos="851"/>
          <w:tab w:val="left" w:pos="900"/>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ind w:left="851" w:hanging="284"/>
        <w:jc w:val="both"/>
        <w:rPr>
          <w:rFonts w:ascii="Arial" w:eastAsia="Times New Roman" w:hAnsi="Arial" w:cs="Arial"/>
        </w:rPr>
      </w:pPr>
      <w:r>
        <w:rPr>
          <w:rFonts w:ascii="Arial" w:hAnsi="Arial"/>
        </w:rPr>
        <w:t>d) le requérant établit une comptabilité propre concernant les opérations de jeu et de paiement effectuées en Allemagne et procède aux paiements relatifs aux jeux par l’intermédiaire d’un compte domicilié sur le territoire national ou d’un établissement de crédit implanté dans un État membre de l’Union européenne et</w:t>
      </w:r>
    </w:p>
    <w:p w14:paraId="34D28ACE" w14:textId="77777777" w:rsidR="00001328" w:rsidRDefault="00A4265D">
      <w:pPr>
        <w:tabs>
          <w:tab w:val="left" w:pos="142"/>
          <w:tab w:val="left" w:pos="851"/>
          <w:tab w:val="left" w:pos="900"/>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ind w:left="851" w:hanging="284"/>
        <w:jc w:val="both"/>
        <w:rPr>
          <w:rFonts w:ascii="Arial" w:eastAsia="Times New Roman" w:hAnsi="Arial" w:cs="Arial"/>
        </w:rPr>
      </w:pPr>
      <w:r>
        <w:rPr>
          <w:rFonts w:ascii="Arial" w:hAnsi="Arial"/>
        </w:rPr>
        <w:t>e) le détenteur de licence met à disposition des interfaces destinées au contrôle de l’ensemble des opérations de jeu en temps réel.</w:t>
      </w:r>
    </w:p>
    <w:p w14:paraId="0C23D6EF" w14:textId="77777777" w:rsidR="00001328" w:rsidRDefault="00A4265D">
      <w:pPr>
        <w:tabs>
          <w:tab w:val="left" w:pos="720"/>
        </w:tabs>
        <w:spacing w:after="120" w:line="360" w:lineRule="auto"/>
        <w:jc w:val="both"/>
        <w:rPr>
          <w:rFonts w:ascii="Arial" w:eastAsia="Times New Roman" w:hAnsi="Arial" w:cs="Arial"/>
        </w:rPr>
      </w:pPr>
      <w:r>
        <w:rPr>
          <w:rFonts w:ascii="Arial" w:hAnsi="Arial"/>
        </w:rPr>
        <w:t>(2) Les autres conditions d’octroi d’une licence restent inchangées.</w:t>
      </w:r>
    </w:p>
    <w:p w14:paraId="55F936FC" w14:textId="77777777" w:rsidR="00001328" w:rsidRDefault="00001328">
      <w:pPr>
        <w:tabs>
          <w:tab w:val="left" w:pos="720"/>
        </w:tabs>
        <w:spacing w:after="120" w:line="360" w:lineRule="auto"/>
        <w:jc w:val="both"/>
        <w:rPr>
          <w:rFonts w:ascii="Arial" w:eastAsia="Times New Roman" w:hAnsi="Arial" w:cs="Arial"/>
          <w:lang w:eastAsia="de-DE"/>
        </w:rPr>
      </w:pPr>
    </w:p>
    <w:p w14:paraId="54BF492C"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jc w:val="both"/>
        <w:rPr>
          <w:rFonts w:ascii="Arial" w:eastAsia="Times New Roman" w:hAnsi="Arial" w:cs="Arial"/>
          <w:b/>
        </w:rPr>
      </w:pPr>
      <w:r>
        <w:rPr>
          <w:rFonts w:ascii="Arial" w:hAnsi="Arial"/>
          <w:b/>
        </w:rPr>
        <w:t>Article 4b Procédure pour l’octroi d’une licence pour les paris sportifs, le poker en ligne et les machines à sous virtuelles</w:t>
      </w:r>
    </w:p>
    <w:p w14:paraId="4966FED7"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(1) La licence pour organiser des paris sportifs, du poker en ligne ou des machines à sous virtuelles est accordée sur demande. La demande doit être transmise sous forme écrite. Elle doit comporter, en langue allemande, l’ensemble des mentions, informations, justificatifs et documents nécessaires à l’examen des conditions visées à l’article 4a, paragraphe 1. En font notamment partie:</w:t>
      </w:r>
    </w:p>
    <w:p w14:paraId="0F4B607D" w14:textId="5D7D8DFA" w:rsidR="00001328" w:rsidRDefault="00A4265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ind w:left="284" w:hanging="284"/>
        <w:jc w:val="both"/>
        <w:rPr>
          <w:rFonts w:ascii="Arial" w:eastAsia="Times New Roman" w:hAnsi="Arial" w:cs="Arial"/>
        </w:rPr>
      </w:pPr>
      <w:r>
        <w:rPr>
          <w:rFonts w:ascii="Arial" w:hAnsi="Arial"/>
        </w:rPr>
        <w:t xml:space="preserve">1. </w:t>
      </w:r>
      <w:r>
        <w:rPr>
          <w:rFonts w:ascii="Arial" w:hAnsi="Arial"/>
        </w:rPr>
        <w:tab/>
        <w:t>une liste des participations directes et indirectes, accompagnée d’un état du capital et des droits de vote du requérant, ainsi que d’une liste des sociétés qui lui sont liées au sens de la «loi sur les sociétés anonymes» (Aktiengesetz) et des ayants-droit au sens de l’article 15 du «code fiscal» (Abgabenordnung) allemand parmi les parties intéressées; il en va de même pour les représentants de la personne, de la société de personnes ou de l’un des membres de l’autorité d’une personne morale. Le contrat de société, les dispositions statutaires du requérant, ainsi que les accords existant entre les partenaires directs et indirects de l’entité requérante se rapportant à l’organisation de jeux de hasard doivent également être présentés,</w:t>
      </w:r>
    </w:p>
    <w:p w14:paraId="59C161D7" w14:textId="77777777" w:rsidR="00001328" w:rsidRDefault="00A4265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ind w:left="284" w:hanging="284"/>
        <w:jc w:val="both"/>
        <w:rPr>
          <w:rFonts w:ascii="Arial" w:eastAsia="Times New Roman" w:hAnsi="Arial" w:cs="Arial"/>
        </w:rPr>
      </w:pPr>
      <w:r>
        <w:rPr>
          <w:rFonts w:ascii="Arial" w:hAnsi="Arial"/>
        </w:rPr>
        <w:t xml:space="preserve">2. un compte rendu des mesures prises aux fins de la sauvegarde de la sécurité et de l’ordre public ou d’autres intérêts publics particuliers, notamment en matière de sécurité des technologies d’information et de sécurité des données (concept de sécurité), </w:t>
      </w:r>
      <w:r>
        <w:rPr>
          <w:rFonts w:ascii="Arial" w:hAnsi="Arial"/>
        </w:rPr>
        <w:tab/>
        <w:t xml:space="preserve"> </w:t>
      </w:r>
    </w:p>
    <w:p w14:paraId="6AD36B6A" w14:textId="34BC84DD" w:rsidR="00001328" w:rsidRDefault="00A4265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ind w:left="284" w:hanging="284"/>
        <w:jc w:val="both"/>
        <w:rPr>
          <w:rFonts w:ascii="Arial" w:eastAsia="Times New Roman" w:hAnsi="Arial" w:cs="Arial"/>
        </w:rPr>
      </w:pPr>
      <w:r>
        <w:rPr>
          <w:rFonts w:ascii="Arial" w:hAnsi="Arial"/>
        </w:rPr>
        <w:t xml:space="preserve">3. un programme de mesures sociales incluant certaines mesures destinées à garantir l’exclusion des joueurs mineurs et de ceux frappés d’une interdiction de jeu, </w:t>
      </w:r>
      <w:r>
        <w:rPr>
          <w:rFonts w:ascii="Arial" w:hAnsi="Arial"/>
        </w:rPr>
        <w:tab/>
      </w:r>
    </w:p>
    <w:p w14:paraId="4BCCBA71" w14:textId="77777777" w:rsidR="00001328" w:rsidRDefault="00A4265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ind w:left="284" w:hanging="284"/>
        <w:jc w:val="both"/>
        <w:rPr>
          <w:rFonts w:ascii="Arial" w:eastAsia="Times New Roman" w:hAnsi="Arial" w:cs="Arial"/>
        </w:rPr>
      </w:pPr>
      <w:r>
        <w:rPr>
          <w:rFonts w:ascii="Arial" w:hAnsi="Arial"/>
        </w:rPr>
        <w:t xml:space="preserve">4. un compte rendu relatif à la viabilité économique, notamment du point de vue des obligations fiscales (concept de viabilité économique), </w:t>
      </w:r>
      <w:r>
        <w:rPr>
          <w:rFonts w:ascii="Arial" w:hAnsi="Arial"/>
        </w:rPr>
        <w:tab/>
        <w:t xml:space="preserve"> </w:t>
      </w:r>
    </w:p>
    <w:p w14:paraId="0819617D" w14:textId="77777777" w:rsidR="00001328" w:rsidRDefault="00A4265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ind w:left="284" w:hanging="284"/>
        <w:jc w:val="both"/>
        <w:rPr>
          <w:rFonts w:ascii="Arial" w:eastAsia="Times New Roman" w:hAnsi="Arial" w:cs="Arial"/>
        </w:rPr>
      </w:pPr>
      <w:r>
        <w:rPr>
          <w:rFonts w:ascii="Arial" w:hAnsi="Arial"/>
        </w:rPr>
        <w:t xml:space="preserve">5. une attestation de prise en charge des coûts destinée à l’examen du concept de sécurité, du programme de mesures sociales et du concept de viabilité économique, ainsi que tout </w:t>
      </w:r>
      <w:r>
        <w:rPr>
          <w:rFonts w:ascii="Arial" w:hAnsi="Arial"/>
        </w:rPr>
        <w:lastRenderedPageBreak/>
        <w:t xml:space="preserve">autre document jugé nécessaire délivré par un spécialiste ou un expert-réviseur commissionné par l’autorité compétente, </w:t>
      </w:r>
      <w:r>
        <w:rPr>
          <w:rFonts w:ascii="Arial" w:hAnsi="Arial"/>
        </w:rPr>
        <w:tab/>
      </w:r>
    </w:p>
    <w:p w14:paraId="50BDA31E" w14:textId="77777777" w:rsidR="00001328" w:rsidRDefault="00A4265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ind w:left="284" w:hanging="284"/>
        <w:jc w:val="both"/>
        <w:rPr>
          <w:rFonts w:ascii="Arial" w:eastAsia="Times New Roman" w:hAnsi="Arial" w:cs="Arial"/>
        </w:rPr>
      </w:pPr>
      <w:r>
        <w:rPr>
          <w:rFonts w:ascii="Arial" w:hAnsi="Arial"/>
        </w:rPr>
        <w:t xml:space="preserve">6. une déclaration du requérant par laquelle celui-ci s’engage à n’exercer aucune activité liée à l’organisation ou à la distribution de jeux de hasard non autorisés, que ce soit en nom propre ou par l’intermédiaire d’une société partenaire, et </w:t>
      </w:r>
      <w:r>
        <w:rPr>
          <w:rFonts w:ascii="Arial" w:hAnsi="Arial"/>
        </w:rPr>
        <w:tab/>
      </w:r>
    </w:p>
    <w:p w14:paraId="1627A445" w14:textId="77777777" w:rsidR="00001328" w:rsidRDefault="00A4265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ind w:left="284" w:hanging="284"/>
        <w:jc w:val="both"/>
        <w:rPr>
          <w:rFonts w:ascii="Arial" w:eastAsia="Times New Roman" w:hAnsi="Arial" w:cs="Arial"/>
        </w:rPr>
      </w:pPr>
      <w:r>
        <w:rPr>
          <w:rFonts w:ascii="Arial" w:hAnsi="Arial"/>
        </w:rPr>
        <w:t xml:space="preserve">7. une déclaration du requérant attestant que les documents et informations présentés sont complets. </w:t>
      </w:r>
      <w:r>
        <w:rPr>
          <w:rFonts w:ascii="Arial" w:hAnsi="Arial"/>
        </w:rPr>
        <w:tab/>
      </w:r>
    </w:p>
    <w:p w14:paraId="09D5B3E6" w14:textId="77777777" w:rsidR="00001328" w:rsidRDefault="00A4265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jc w:val="both"/>
        <w:rPr>
          <w:rFonts w:ascii="Arial" w:eastAsia="Times New Roman" w:hAnsi="Arial" w:cs="Arial"/>
        </w:rPr>
      </w:pPr>
      <w:r>
        <w:rPr>
          <w:rFonts w:ascii="Arial" w:hAnsi="Arial"/>
        </w:rPr>
        <w:t>Les preuves et documents issus d’un autre État membre de l’Union européenne ou d’un autre pays signataire de l’accord sur l’Espace économique européen sont considérés équivalents aux preuves et documents nationaux s’ils montrent que les conditions mentionnées à la phrase 3 sont remplies. Une copie certifiée conforme et une traduction allemande certifiée doivent être présentées aux frais du requérant.</w:t>
      </w:r>
    </w:p>
    <w:p w14:paraId="6663474F"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(2) L’autorité compétente peut exiger des requérants qu’ils produisent ou complètent certaines informations, justificatifs et documents supplémentaires, libellés en langue allemande, aux fins de l’examen des conditions mentionnées au paragraphe 1, phrase 4. Elle est habilitée à consulter les conclusions rendues par les autorités de sécurité de l’État fédéral et des Länder, notamment celles concernant les conditions fixées à l’article 4a, paragraphe 1, phrase 1, point c. Dans le cas où certains faits particuliers se rapportant aux opérations situées hors du champ d’application du présent traité d’État s’avèrent importants aux fins de l’examen prévu dans le cadre de la procédure d’octroi de licence, le requérant est tenu d’apporter des éclaircissements sur lesdits faits en produisant les preuves nécessaires. Celui-ci peut recourir à tous les moyens de fait ou de droit dont il dispose à cet effet. Le demandeur ne peut faire appel qu’il n’est pas en mesure de clarifier les circonstances ou de fournir des preuves documentaires s’il aurait pu le faire dans la planification de ses moyens en fonction de la situation de l’affaire.</w:t>
      </w:r>
    </w:p>
    <w:p w14:paraId="09B389DA" w14:textId="77777777" w:rsidR="00001328" w:rsidRDefault="00A4265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jc w:val="both"/>
        <w:rPr>
          <w:rFonts w:ascii="Arial" w:eastAsia="Times New Roman" w:hAnsi="Arial" w:cs="Arial"/>
        </w:rPr>
      </w:pPr>
      <w:r>
        <w:rPr>
          <w:rFonts w:ascii="Arial" w:hAnsi="Arial"/>
        </w:rPr>
        <w:t>(3) Les parties soumises à l’obligation de divulgation et à l’obligation de présenter des documents relevant du champ d’application de la procédure d’autorisation doivent informer l’autorité compétente de tout changement dans des circonstances importantes après la demande et annoncer à l’autorité compétente, sous forme texte, les modifications prévues des relations de participation ou d’autres influences au cours de la procédure d’autorisation.</w:t>
      </w:r>
    </w:p>
    <w:p w14:paraId="47BC361A" w14:textId="77777777" w:rsidR="00001328" w:rsidRDefault="00001328">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jc w:val="both"/>
        <w:rPr>
          <w:rFonts w:ascii="Arial" w:eastAsia="Times New Roman" w:hAnsi="Arial" w:cs="Arial"/>
          <w:lang w:eastAsia="de-DE"/>
        </w:rPr>
      </w:pPr>
    </w:p>
    <w:p w14:paraId="1A746F58" w14:textId="77777777" w:rsidR="00001328" w:rsidRDefault="00A4265D">
      <w:pPr>
        <w:tabs>
          <w:tab w:val="left" w:pos="851"/>
          <w:tab w:val="left" w:pos="2160"/>
          <w:tab w:val="left" w:pos="2880"/>
          <w:tab w:val="left" w:pos="3600"/>
          <w:tab w:val="left" w:pos="4320"/>
          <w:tab w:val="left" w:pos="5040"/>
          <w:tab w:val="left" w:pos="5760"/>
          <w:tab w:val="left" w:pos="6480"/>
          <w:tab w:val="left" w:pos="7200"/>
          <w:tab w:val="left" w:pos="7920"/>
          <w:tab w:val="left" w:pos="8640"/>
          <w:tab w:val="right" w:pos="9026"/>
        </w:tabs>
        <w:snapToGrid w:val="0"/>
        <w:spacing w:after="120" w:line="360" w:lineRule="auto"/>
        <w:jc w:val="both"/>
        <w:rPr>
          <w:rFonts w:ascii="Arial" w:eastAsia="Times New Roman" w:hAnsi="Arial" w:cs="Arial"/>
          <w:b/>
        </w:rPr>
      </w:pPr>
      <w:r>
        <w:rPr>
          <w:rFonts w:ascii="Arial" w:hAnsi="Arial"/>
          <w:b/>
        </w:rPr>
        <w:t>Article 4c Octroi d’une licence pour les paris sportifs, le poker en ligne et les machines à sous virtuelles</w:t>
      </w:r>
    </w:p>
    <w:p w14:paraId="7FE04C05"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 xml:space="preserve">(1) L'autorité compétente délivre la licence pour organiser des paris sportifs, du poker en ligne ou des machines à sous virtuelles par écrit avec effet dans tous les Länder. lors de la première délivrance au requérant pour une période de 5 ans, sinon pour une période de 7 ans. Dans des cas justifiés, l’autorité compétente peut fixer une durée plus courte. La licence ne peut être </w:t>
      </w:r>
      <w:r>
        <w:rPr>
          <w:rFonts w:ascii="Arial" w:hAnsi="Arial"/>
        </w:rPr>
        <w:lastRenderedPageBreak/>
        <w:t>cédée à des tiers ou transférée pour exécution que moyennant l’accord de l’autorité compétente.</w:t>
      </w:r>
    </w:p>
    <w:p w14:paraId="5AD15FD7"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(2) L’acte de licence doit fixer les dispositions substantielles et accessoires nécessaires afin de garantir durablement le respect des conditions d’obtention de ladite licence, ainsi que le respect et le contrôle des obligations découlant du présent traité d’État et reprises dans l’offre.</w:t>
      </w:r>
    </w:p>
    <w:p w14:paraId="2D56970B"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t>(3) L’octroi de la licence suppose que le requérant fournisse une garantie sous la forme d’une garantie bancaire conjointe et solidaire illimitée d’un établissement de crédit domicilié dans l’Union européenne ou dans un État signataire de l’accord sur l’Espace économique européen afin de garantir les droits de versement des joueurs et les droits de paiement de l’État. Le dépôt de garantie s’élève à cinq millions d’euros. Il peut être augmenté par l’autorité qui délivre la licence jusqu’à concurrence du chiffre d’affaires mensuel moyen prévu, jusqu’à un maximum de 50 millions d’euros.</w:t>
      </w:r>
    </w:p>
    <w:p w14:paraId="6DED55F6" w14:textId="77777777" w:rsidR="00001328" w:rsidRDefault="00001328">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lang w:eastAsia="de-DE"/>
        </w:rPr>
      </w:pPr>
    </w:p>
    <w:p w14:paraId="4507BDD2" w14:textId="77777777" w:rsidR="00001328" w:rsidRDefault="00A4265D">
      <w:pPr>
        <w:pStyle w:val="TableContents"/>
        <w:keepNext/>
        <w:widowControl/>
        <w:tabs>
          <w:tab w:val="left" w:pos="777"/>
          <w:tab w:val="left" w:pos="1497"/>
          <w:tab w:val="left" w:pos="2217"/>
          <w:tab w:val="left" w:pos="2937"/>
          <w:tab w:val="left" w:pos="3657"/>
          <w:tab w:val="left" w:pos="4377"/>
          <w:tab w:val="left" w:pos="5097"/>
          <w:tab w:val="left" w:pos="5817"/>
          <w:tab w:val="left" w:pos="6537"/>
          <w:tab w:val="right" w:pos="7110"/>
        </w:tabs>
        <w:snapToGrid w:val="0"/>
        <w:spacing w:after="120" w:line="360" w:lineRule="auto"/>
        <w:jc w:val="both"/>
        <w:rPr>
          <w:rFonts w:ascii="Arial" w:hAnsi="Arial" w:cs="Arial"/>
          <w:b/>
          <w:sz w:val="22"/>
          <w:szCs w:val="22"/>
        </w:rPr>
      </w:pPr>
      <w:r>
        <w:rPr>
          <w:rFonts w:ascii="Arial" w:hAnsi="Arial"/>
          <w:b/>
          <w:sz w:val="22"/>
        </w:rPr>
        <w:t>Article 4d Obligations; mesures de surveillance pour les paris sportifs, le poker en ligne et les machines à sous virtuelles</w:t>
      </w:r>
    </w:p>
    <w:p w14:paraId="5509FA14" w14:textId="77777777" w:rsidR="00001328" w:rsidRDefault="00A4265D">
      <w:pPr>
        <w:pStyle w:val="TableContents"/>
        <w:keepNext/>
        <w:tabs>
          <w:tab w:val="left" w:pos="777"/>
          <w:tab w:val="left" w:pos="1497"/>
          <w:tab w:val="left" w:pos="2217"/>
          <w:tab w:val="left" w:pos="2937"/>
          <w:tab w:val="left" w:pos="3657"/>
          <w:tab w:val="left" w:pos="4377"/>
          <w:tab w:val="left" w:pos="5097"/>
          <w:tab w:val="left" w:pos="5817"/>
          <w:tab w:val="left" w:pos="6537"/>
          <w:tab w:val="right" w:pos="7110"/>
        </w:tabs>
        <w:snapToGrid w:val="0"/>
        <w:spacing w:after="120" w:line="360" w:lineRule="auto"/>
        <w:jc w:val="both"/>
        <w:rPr>
          <w:rFonts w:ascii="Arial" w:hAnsi="Arial" w:cs="Arial"/>
          <w:sz w:val="22"/>
          <w:szCs w:val="22"/>
        </w:rPr>
      </w:pPr>
      <w:r>
        <w:rPr>
          <w:rFonts w:ascii="Arial" w:hAnsi="Arial"/>
          <w:sz w:val="22"/>
        </w:rPr>
        <w:t>(1) Le détenteur d’une licence pour l’organisation de paris sportifs, de poker en ligne ou de machines à sous virtuelles est tenu d’informer immédiatement l’autorité compétente de tout changement des circonstances considérées comme déterminantes pour l’octroi de la licence. L’article 4b s’applique par analogie. L’annulation d’une relation de représentation au sens de l’article 4a, paragraphe 1, phrase 1, point 3, lettre c ne prend effet, vis-à-vis de l’autorité compétente, qu’à compter de la désignation d’une nouvelle personne investie des mandats de réception et de représentation, moyennant une notification écrite.</w:t>
      </w:r>
    </w:p>
    <w:p w14:paraId="7ACBB478" w14:textId="77777777" w:rsidR="00001328" w:rsidRDefault="00A4265D">
      <w:pPr>
        <w:pStyle w:val="TableContents"/>
        <w:tabs>
          <w:tab w:val="left" w:pos="777"/>
          <w:tab w:val="left" w:pos="1497"/>
          <w:tab w:val="left" w:pos="2217"/>
          <w:tab w:val="left" w:pos="2937"/>
          <w:tab w:val="left" w:pos="3657"/>
          <w:tab w:val="left" w:pos="4377"/>
          <w:tab w:val="left" w:pos="5097"/>
          <w:tab w:val="left" w:pos="5817"/>
          <w:tab w:val="left" w:pos="6537"/>
          <w:tab w:val="right" w:pos="7110"/>
        </w:tabs>
        <w:snapToGrid w:val="0"/>
        <w:spacing w:after="120" w:line="360" w:lineRule="auto"/>
        <w:jc w:val="both"/>
        <w:rPr>
          <w:rFonts w:ascii="Arial" w:hAnsi="Arial" w:cs="Arial"/>
          <w:sz w:val="22"/>
          <w:szCs w:val="22"/>
        </w:rPr>
      </w:pPr>
      <w:r>
        <w:rPr>
          <w:rFonts w:ascii="Arial" w:hAnsi="Arial"/>
          <w:sz w:val="22"/>
        </w:rPr>
        <w:t>(2) Dans le cas de sociétés de personnes, il convient d’informer par écrit l’autorité compétente de tout changement prévu modifiant la structure des participations ou de toute autre influence particulière, et, dans le cas de personnes morales, de tout changement affectant la répartition des personnes détenant plus de cinq pour cent du capital social ou plus de cinq pour cent des droits de vote.  Le détenteur de licence, ainsi que ses partenaires directs ou indirects sont soumis à l’obligation de notification. Le caractère anodin de ces changements ne pourra être attesté par l’autorité compétente que dans le cas où une licence pourrait être octroyée en dépit desdits changements. Si l’un des changements dont le caractère anodin n’a pu être attesté au sens de la phrase 3 est effectué, il y a lieu de révoquer la licence; les modalités détaillées applicables à la révocation de la licence sont définies conformément au droit du Land concerné. Sans préjudice des obligations de notification visées à la phrase 1, le détenteur de licence, ainsi que ses partenaires directs ou indirects sont tenus de délivrer à l’autorité compétente, de manière individuelle et immédiatement après la fin de chaque année civile, une déclaration précisant si et dans quelle mesure les éléments constitutifs des participations et des imputations à ces participations ont été modifiés au cours de l’année civile écoulée.</w:t>
      </w:r>
    </w:p>
    <w:p w14:paraId="73D74C50" w14:textId="77777777" w:rsidR="00001328" w:rsidRDefault="00A4265D">
      <w:pPr>
        <w:pStyle w:val="TableContents"/>
        <w:tabs>
          <w:tab w:val="left" w:pos="777"/>
          <w:tab w:val="left" w:pos="1497"/>
          <w:tab w:val="left" w:pos="2217"/>
          <w:tab w:val="left" w:pos="2937"/>
          <w:tab w:val="left" w:pos="3657"/>
          <w:tab w:val="left" w:pos="4377"/>
          <w:tab w:val="left" w:pos="5097"/>
          <w:tab w:val="left" w:pos="5817"/>
          <w:tab w:val="left" w:pos="6537"/>
          <w:tab w:val="right" w:pos="7110"/>
        </w:tabs>
        <w:snapToGrid w:val="0"/>
        <w:spacing w:after="120" w:line="360" w:lineRule="auto"/>
        <w:jc w:val="both"/>
        <w:rPr>
          <w:rFonts w:ascii="Arial" w:hAnsi="Arial" w:cs="Arial"/>
          <w:sz w:val="22"/>
          <w:szCs w:val="22"/>
        </w:rPr>
      </w:pPr>
      <w:r>
        <w:rPr>
          <w:rFonts w:ascii="Arial" w:hAnsi="Arial"/>
          <w:sz w:val="22"/>
        </w:rPr>
        <w:lastRenderedPageBreak/>
        <w:t xml:space="preserve">(3) Par dérogation à l’article 6, paragraphe 2, phrase 3, point 10, le détenteur de licence doit présenter un rapport annuel. La conformité des procédures de collecte et de transmission des données peut être contrôlée par l’autorité compétente à intervalles réguliers. Le rapport doit être accompagné du rapport d’essai d’un organisme externe et indépendant compétent concernant le respect des normes techniques et l’efficacité des mesures de sécurité prévues dans le concept de sécurité et prescrites dans la licence. Le détenteur de licence s’oblige en outre à mettre ses données comptables à disposition de l’autorité compétente, sur simple demande de celle-ci, pour autant que les opérations ne soient pas effectuées à partir d’un compte domicilié sur le territoire national. </w:t>
      </w:r>
    </w:p>
    <w:p w14:paraId="2597887C" w14:textId="77777777" w:rsidR="00001328" w:rsidRDefault="00A4265D">
      <w:pPr>
        <w:pStyle w:val="TableContents"/>
        <w:tabs>
          <w:tab w:val="left" w:pos="777"/>
          <w:tab w:val="left" w:pos="1497"/>
          <w:tab w:val="left" w:pos="2217"/>
          <w:tab w:val="left" w:pos="2937"/>
          <w:tab w:val="left" w:pos="3657"/>
          <w:tab w:val="left" w:pos="4377"/>
          <w:tab w:val="left" w:pos="5097"/>
          <w:tab w:val="left" w:pos="5817"/>
          <w:tab w:val="left" w:pos="6537"/>
          <w:tab w:val="right" w:pos="7110"/>
        </w:tabs>
        <w:snapToGrid w:val="0"/>
        <w:spacing w:after="120" w:line="360" w:lineRule="auto"/>
        <w:jc w:val="both"/>
        <w:rPr>
          <w:rFonts w:ascii="Arial" w:hAnsi="Arial" w:cs="Arial"/>
          <w:sz w:val="22"/>
          <w:szCs w:val="22"/>
        </w:rPr>
      </w:pPr>
      <w:r>
        <w:rPr>
          <w:rFonts w:ascii="Arial" w:hAnsi="Arial"/>
          <w:sz w:val="22"/>
        </w:rPr>
        <w:t xml:space="preserve">(4) Dans le cas où le détenteur de licence manque à l’une des obligations qui lui sont imposées en matière de notification, telles que définies aux paragraphes 1 et 2, phrase 5, et au paragraphe 3, ou aux dispositions substantielles et accessoires fixées en matière de licence, telles que définies à l’article 4c, paragraphe 2, l’autorité compétente peut inviter celui-ci à respecter ces obligations en lui impartissant un délai approprié à cet effet. En cas de non-respect ou de non-respect partiel de ces obligations à l’issue du délai ainsi fixé, l’autorité compétente peut notamment adopter, en considération de la gravité du manquement, les mesures suivantes: </w:t>
      </w:r>
    </w:p>
    <w:p w14:paraId="415BB46B" w14:textId="77777777" w:rsidR="00001328" w:rsidRDefault="00A4265D">
      <w:pPr>
        <w:pStyle w:val="TableContents"/>
        <w:tabs>
          <w:tab w:val="left" w:pos="1497"/>
          <w:tab w:val="left" w:pos="2217"/>
          <w:tab w:val="left" w:pos="2937"/>
          <w:tab w:val="left" w:pos="3657"/>
          <w:tab w:val="left" w:pos="4377"/>
          <w:tab w:val="left" w:pos="5097"/>
          <w:tab w:val="left" w:pos="5817"/>
          <w:tab w:val="left" w:pos="6537"/>
          <w:tab w:val="right" w:pos="7110"/>
        </w:tabs>
        <w:snapToGrid w:val="0"/>
        <w:spacing w:after="120" w:line="360" w:lineRule="auto"/>
        <w:ind w:left="567" w:hanging="283"/>
        <w:jc w:val="both"/>
        <w:rPr>
          <w:rFonts w:ascii="Arial" w:hAnsi="Arial" w:cs="Arial"/>
          <w:sz w:val="22"/>
          <w:szCs w:val="22"/>
        </w:rPr>
      </w:pPr>
      <w:r>
        <w:rPr>
          <w:rFonts w:ascii="Arial" w:hAnsi="Arial"/>
          <w:sz w:val="22"/>
        </w:rPr>
        <w:t>1. mise en demeure officielle assortie d’un nouveau délai,</w:t>
      </w:r>
    </w:p>
    <w:p w14:paraId="76254FA0" w14:textId="77777777" w:rsidR="00001328" w:rsidRDefault="00A4265D">
      <w:pPr>
        <w:pStyle w:val="TableContents"/>
        <w:tabs>
          <w:tab w:val="left" w:pos="1497"/>
          <w:tab w:val="left" w:pos="2217"/>
          <w:tab w:val="left" w:pos="2937"/>
          <w:tab w:val="left" w:pos="3657"/>
          <w:tab w:val="left" w:pos="4377"/>
          <w:tab w:val="left" w:pos="5097"/>
          <w:tab w:val="left" w:pos="5817"/>
          <w:tab w:val="left" w:pos="6537"/>
          <w:tab w:val="right" w:pos="7110"/>
        </w:tabs>
        <w:snapToGrid w:val="0"/>
        <w:spacing w:after="120" w:line="360" w:lineRule="auto"/>
        <w:ind w:left="567" w:hanging="283"/>
        <w:jc w:val="both"/>
        <w:rPr>
          <w:rFonts w:ascii="Arial" w:hAnsi="Arial" w:cs="Arial"/>
          <w:sz w:val="22"/>
          <w:szCs w:val="22"/>
        </w:rPr>
      </w:pPr>
      <w:r>
        <w:rPr>
          <w:rFonts w:ascii="Arial" w:hAnsi="Arial"/>
          <w:sz w:val="22"/>
        </w:rPr>
        <w:t xml:space="preserve">2. suspension de la licence pour une période de trois mois, </w:t>
      </w:r>
    </w:p>
    <w:p w14:paraId="106C9667" w14:textId="77777777" w:rsidR="00001328" w:rsidRDefault="00A4265D">
      <w:pPr>
        <w:pStyle w:val="TableContents"/>
        <w:tabs>
          <w:tab w:val="left" w:pos="1497"/>
          <w:tab w:val="left" w:pos="2217"/>
          <w:tab w:val="left" w:pos="2937"/>
          <w:tab w:val="left" w:pos="3657"/>
          <w:tab w:val="left" w:pos="4377"/>
          <w:tab w:val="left" w:pos="5097"/>
          <w:tab w:val="left" w:pos="5817"/>
          <w:tab w:val="left" w:pos="6537"/>
          <w:tab w:val="right" w:pos="7110"/>
        </w:tabs>
        <w:snapToGrid w:val="0"/>
        <w:spacing w:after="120" w:line="360" w:lineRule="auto"/>
        <w:ind w:left="567" w:hanging="283"/>
        <w:jc w:val="both"/>
        <w:rPr>
          <w:rFonts w:ascii="Arial" w:hAnsi="Arial" w:cs="Arial"/>
          <w:sz w:val="22"/>
          <w:szCs w:val="22"/>
        </w:rPr>
      </w:pPr>
      <w:r>
        <w:rPr>
          <w:rFonts w:ascii="Arial" w:hAnsi="Arial"/>
          <w:sz w:val="22"/>
        </w:rPr>
        <w:t xml:space="preserve">3. réduction d’un quart de la durée de validité totale de la licence ou </w:t>
      </w:r>
    </w:p>
    <w:p w14:paraId="30D2A8D6" w14:textId="77777777" w:rsidR="00001328" w:rsidRDefault="00A4265D">
      <w:pPr>
        <w:pStyle w:val="TableContents"/>
        <w:tabs>
          <w:tab w:val="left" w:pos="1497"/>
          <w:tab w:val="left" w:pos="2217"/>
          <w:tab w:val="left" w:pos="2937"/>
          <w:tab w:val="left" w:pos="3657"/>
          <w:tab w:val="left" w:pos="4377"/>
          <w:tab w:val="left" w:pos="5097"/>
          <w:tab w:val="left" w:pos="5817"/>
          <w:tab w:val="left" w:pos="6537"/>
          <w:tab w:val="right" w:pos="7110"/>
        </w:tabs>
        <w:snapToGrid w:val="0"/>
        <w:spacing w:after="120" w:line="360" w:lineRule="auto"/>
        <w:ind w:left="567" w:hanging="283"/>
        <w:jc w:val="both"/>
        <w:rPr>
          <w:rFonts w:ascii="Arial" w:hAnsi="Arial" w:cs="Arial"/>
          <w:sz w:val="22"/>
          <w:szCs w:val="22"/>
        </w:rPr>
      </w:pPr>
      <w:r>
        <w:rPr>
          <w:rFonts w:ascii="Arial" w:hAnsi="Arial"/>
          <w:sz w:val="22"/>
        </w:rPr>
        <w:t xml:space="preserve">4. révocation de la licence. </w:t>
      </w:r>
    </w:p>
    <w:p w14:paraId="1CA3F528" w14:textId="77777777" w:rsidR="00001328" w:rsidRDefault="00A4265D">
      <w:pPr>
        <w:spacing w:after="120" w:line="360" w:lineRule="auto"/>
        <w:jc w:val="both"/>
        <w:rPr>
          <w:rFonts w:ascii="Arial" w:hAnsi="Arial" w:cs="Arial"/>
        </w:rPr>
      </w:pPr>
      <w:r>
        <w:rPr>
          <w:rFonts w:ascii="Arial" w:hAnsi="Arial"/>
        </w:rPr>
        <w:t>Il en est de même pour le cas où le détenteur de licence assure, que ce soit en son nom propre ou par l’intermédiaire d’une société partenaire, l’organisation ou la distribution de certains jeux de hasard non autorisés conformément au champ d’application du présent traité d’État. Les dispositions des lois sur la procédure administrative des Länder en vertu de l’article 49 des lois sur la procédure administrative restent applicables. L’article 9, paragraphe 4, phrase 3 s'applique.</w:t>
      </w:r>
    </w:p>
    <w:p w14:paraId="5900CA15" w14:textId="77777777" w:rsidR="00001328" w:rsidRDefault="00001328">
      <w:pPr>
        <w:spacing w:after="120" w:line="360" w:lineRule="auto"/>
        <w:rPr>
          <w:rFonts w:ascii="Arial" w:hAnsi="Arial" w:cs="Arial"/>
        </w:rPr>
      </w:pPr>
    </w:p>
    <w:p w14:paraId="0E557D92"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jc w:val="both"/>
        <w:rPr>
          <w:rFonts w:ascii="Arial" w:eastAsia="Times New Roman" w:hAnsi="Arial" w:cs="Arial"/>
          <w:b/>
          <w:sz w:val="28"/>
          <w:szCs w:val="28"/>
        </w:rPr>
      </w:pPr>
      <w:r>
        <w:rPr>
          <w:rFonts w:ascii="Arial" w:hAnsi="Arial"/>
          <w:b/>
        </w:rPr>
        <w:t>Article 5 Publicité</w:t>
      </w:r>
    </w:p>
    <w:p w14:paraId="00BEF9C6"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 xml:space="preserve">(1) Sous réserve d’autres dispositions légales, les détenteurs de licence en vertu de l’article 4 peuvent annoncer les jeux de hasard autorisés et les parrainer. Ils peuvent charger des tiers de réaliser la publicité. La licence au sens de l’article 4 doit définir les dispositions substantielles accessoires concernant la conception de publicités pour les jeux de hasard publics, en particulier à la télévision et sur l’internet, y compris les services de partage de vidéos et de télémédias similaires à la télévision, ainsi que les informations obligatoires. La publicité via les systèmes de télécommunication est interdite. </w:t>
      </w:r>
      <w:r>
        <w:t xml:space="preserve"> </w:t>
      </w:r>
      <w:r>
        <w:rPr>
          <w:rFonts w:ascii="Arial" w:hAnsi="Arial"/>
        </w:rPr>
        <w:t xml:space="preserve">Les appels initiés par le joueur </w:t>
      </w:r>
      <w:r>
        <w:rPr>
          <w:rFonts w:ascii="Arial" w:hAnsi="Arial"/>
        </w:rPr>
        <w:lastRenderedPageBreak/>
        <w:t>ou toute personne intéressée par le jeu à l’organisateur ou à l’agent ne sont pas concernés par l’interdiction visée à la phrase 4; avec le consentement du joueur ou des personnes intéressées par le jeu en ce ui concerne l'article 7, paragraphe 2, point 2 de la loi contre la concurrence déloyale [UWG], ces appels téléphoniques peuvent également inclure de la publicité pour les jeux de hasard autorisés. En outre, les télécommunications dans le cadre d’une relation contractuelle existante ne sont pas concernées par l’interdiction visée à la phrase 4.</w:t>
      </w:r>
    </w:p>
    <w:p w14:paraId="3980C918"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(2) La nature et l’étendue de la publicité pour le jeu de hasard public ne peuvent pas être en contradiction avec les objectifs de l’article premier. La publicité ne doit pas être excessive. Lors de la publicité de jeux de hasard individuels, les particularités du jeu de hasard peuvent être soulignées. La publicité ne doit pas s’adresser aux mineurs ou autres groupes à risque similaires. Dans la mesure du possible, les mineurs doivent être exclus des destinataires de la publicité. Toute publicité trompeuse portant sur les jeux de hasard publics, et notamment les publicités comportant certaines mentions incorrectes sur les chances de gain ou sur la nature et le montant desdits gains, est interdite. Dans la publicité, les résultats des jeux de hasard ne doivent pas être décrits comme pouvant être influencés par le joueur et les jeux de hasard ne doivent pas être présentés comme une solution aux problèmes financiers. La publicité qui donne l’impression qu’il s’agit d’un contenu éditorial n’est pas autorisée.</w:t>
      </w:r>
    </w:p>
    <w:p w14:paraId="1CAF5EFC"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(3) Tous les jours entre 6h et 21h, la publicité à la radio et sur internet pour les machines à sous virtuelles, le poker en ligne et les jeux de casino en ligne est interdite; le paragraphe 4 demeure inchangé. Immédiatement avant ou pendant la retransmission en direct d’événements sportifs, la publicité pour les paris sportifs sur cet événement sportif n’est pas autorisée sur la chaîne de diffusion. La publicité pour les paris sportifs avec des athlètes et des officiels actifs n’est pas autorisée.</w:t>
      </w:r>
    </w:p>
    <w:p w14:paraId="0EDBB082"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(4) Sur les sites sportifs, la publicité pour les jeux de hasard n’est autorisée que sous la forme de publicité de marque ombrelle sur les maillots et les panneaux publicitaires autour des stades et autres supports publicitaires similaires.</w:t>
      </w:r>
    </w:p>
    <w:p w14:paraId="1D0F1F3B" w14:textId="77777777" w:rsidR="00001328" w:rsidRPr="004C6DB1"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 xml:space="preserve">(5) La publicité ciblée pour les jeux de hasard excluant les joueurs frappés d’interdiction conformément à l’article 8, paragraphe 2 n’est possible que si le destinataire prévu a donné son accord préalable à la réception de publicité et à la consultation de la liste rouge par l’annonceur. La publicité ciblée pour ces jeux de hasard adressée aux joueurs frappés d’interdiction n’est pas autorisée. Les annonceurs sont tenus de s’assurer en consultant la liste rouge, que le destinataire n’est pas un joueur frappé d’interdiction avant d’envoyer de telles </w:t>
      </w:r>
      <w:r w:rsidRPr="004C6DB1">
        <w:rPr>
          <w:rFonts w:ascii="Arial" w:hAnsi="Arial" w:cs="Arial"/>
        </w:rPr>
        <w:t>publicités, notamment par courrier postal ou électronique. Si la consultation montre qu’un joueur est interdit, le consentement préalable donné à l’organisateur ou à l’agent au sens de la phrase 1 est réputé révoqué.</w:t>
      </w:r>
    </w:p>
    <w:p w14:paraId="682DD028"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sidRPr="004C6DB1">
        <w:rPr>
          <w:rFonts w:ascii="Arial" w:hAnsi="Arial" w:cs="Arial"/>
        </w:rPr>
        <w:t xml:space="preserve">(6) Il est interdit de convenir ou de payer une rémunération variable dépendant en particulier du CA, des paiements ou des mises, pour la publicité de jeux de hasard excluant les joueurs </w:t>
      </w:r>
      <w:r w:rsidRPr="004C6DB1">
        <w:rPr>
          <w:rFonts w:ascii="Arial" w:hAnsi="Arial" w:cs="Arial"/>
        </w:rPr>
        <w:lastRenderedPageBreak/>
        <w:t>frappés d’interdiction conformément à l’article 8, paragraphe 2, sur l’internet, en particulier sous la forme de liens d’affiliation.</w:t>
      </w:r>
      <w:r w:rsidRPr="004C6DB1">
        <w:rPr>
          <w:rFonts w:cstheme="minorHAnsi"/>
        </w:rPr>
        <w:t xml:space="preserve"> Les</w:t>
      </w:r>
      <w:r>
        <w:rPr>
          <w:rFonts w:ascii="Arial" w:hAnsi="Arial"/>
        </w:rPr>
        <w:t xml:space="preserve"> scores en direct d’événements sportifs ne peuvent pas être liés à la publicité de paris sportifs sur cet événement sportif; ceci ne concerne pas l’affichage des scores intermédiaires en direct pour les offres de paris sur le propre site internet d’un fournisseur de paris.</w:t>
      </w:r>
    </w:p>
    <w:p w14:paraId="40977170" w14:textId="77777777" w:rsidR="00001328" w:rsidRDefault="00A4265D">
      <w:pPr>
        <w:spacing w:after="120" w:line="360" w:lineRule="auto"/>
        <w:rPr>
          <w:rFonts w:ascii="Arial" w:eastAsia="Times New Roman" w:hAnsi="Arial" w:cs="Arial"/>
        </w:rPr>
      </w:pPr>
      <w:r>
        <w:rPr>
          <w:rFonts w:ascii="Arial" w:hAnsi="Arial"/>
        </w:rPr>
        <w:t>(7) La publicité et le parrainage pour des jeux de hasard non autorisés sont interdits.</w:t>
      </w:r>
    </w:p>
    <w:p w14:paraId="0CE7A68A" w14:textId="77777777" w:rsidR="00001328" w:rsidRDefault="00001328">
      <w:pPr>
        <w:spacing w:after="120" w:line="360" w:lineRule="auto"/>
        <w:rPr>
          <w:rFonts w:ascii="Arial" w:eastAsia="Times New Roman" w:hAnsi="Arial" w:cs="Arial"/>
          <w:lang w:eastAsia="ar-SA"/>
        </w:rPr>
      </w:pPr>
    </w:p>
    <w:p w14:paraId="2DECAF3C"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6 Concept social</w:t>
      </w:r>
    </w:p>
    <w:p w14:paraId="6C0B65FD"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(1) Les organisateurs et les agents de jeux de hasard publics sont obligés de garantir la protection des mineurs et des joueurs, de fournir des informations concernant un jeu responsable et de prévenir la dépendance aux jeux de hasard. </w:t>
      </w:r>
    </w:p>
    <w:p w14:paraId="0C5488E9"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(2) À ces fins, les organisateurs et les intermédiaires de jeux publics de hasard doivent élaborer et mettre en œuvre des concepts sociaux. Les concepts sociaux doivent décrire les mesures servant à prévenir les effets sociaux négatifs du jeu de hasard, ainsi que la manière dont ils peuvent être éliminés. Les concepts sociaux doivent être adaptés aux différentes formes de jeu et doivent contenir au moins les données suivantes:</w:t>
      </w:r>
    </w:p>
    <w:p w14:paraId="2214F8A3" w14:textId="77777777" w:rsidR="00001328" w:rsidRDefault="00A4265D">
      <w:pPr>
        <w:pStyle w:val="Liststycke"/>
        <w:widowControl w:val="0"/>
        <w:numPr>
          <w:ilvl w:val="0"/>
          <w:numId w:val="31"/>
        </w:numPr>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nomination des responsables du concept social du détenteur de licence conformément à l’article 4 et, dans le cas d’offres terrestres de jeux de hasard, nomination d’une personne responsable sur place;</w:t>
      </w:r>
    </w:p>
    <w:p w14:paraId="19933C37" w14:textId="77777777" w:rsidR="00001328" w:rsidRDefault="00A4265D">
      <w:pPr>
        <w:pStyle w:val="Liststycke"/>
        <w:widowControl w:val="0"/>
        <w:numPr>
          <w:ilvl w:val="0"/>
          <w:numId w:val="31"/>
        </w:numPr>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prise en compte des objectifs du paragraphe 1 dans la communication interne de l’entreprise, pour la publicité et le parrainage;</w:t>
      </w:r>
    </w:p>
    <w:p w14:paraId="4079C9E5" w14:textId="77777777" w:rsidR="00001328" w:rsidRDefault="00A4265D">
      <w:pPr>
        <w:pStyle w:val="Liststycke"/>
        <w:widowControl w:val="0"/>
        <w:numPr>
          <w:ilvl w:val="0"/>
          <w:numId w:val="31"/>
        </w:numPr>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formation régulière du personnel pour le personnel d’encadrement dans les lieux terrestres, pour les détenteurs de licence conformément à l’article 4 et pour les mandataires conformément au point 1, faisant intervenir des tiers qualifiés techniquement et pédagogiquement en toxicomanie avec le contenu minimum suivant:</w:t>
      </w:r>
    </w:p>
    <w:p w14:paraId="1B432DB6" w14:textId="77777777" w:rsidR="00001328" w:rsidRDefault="00A4265D">
      <w:pPr>
        <w:pStyle w:val="Liststycke"/>
        <w:widowControl w:val="0"/>
        <w:numPr>
          <w:ilvl w:val="0"/>
          <w:numId w:val="32"/>
        </w:numPr>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base juridique de la protection des mineurs et des joueurs en tenant compte des différentes formes de jeu,</w:t>
      </w:r>
    </w:p>
    <w:p w14:paraId="7B3D5895" w14:textId="77777777" w:rsidR="00001328" w:rsidRDefault="00A4265D">
      <w:pPr>
        <w:pStyle w:val="Liststycke"/>
        <w:widowControl w:val="0"/>
        <w:numPr>
          <w:ilvl w:val="0"/>
          <w:numId w:val="32"/>
        </w:numPr>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connaissances sur la dépendance au jeu, y compris les offres d’aide indépendantes du fournisseur et</w:t>
      </w:r>
    </w:p>
    <w:p w14:paraId="7B7C588B" w14:textId="77777777" w:rsidR="00001328" w:rsidRDefault="00A4265D">
      <w:pPr>
        <w:pStyle w:val="Liststycke"/>
        <w:widowControl w:val="0"/>
        <w:numPr>
          <w:ilvl w:val="0"/>
          <w:numId w:val="32"/>
        </w:numPr>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transmission de compétences, en particulier pour la détection précoce de comportements de jeu problématiques et la communication avec les joueurs;</w:t>
      </w:r>
    </w:p>
    <w:p w14:paraId="6C5DB59E" w14:textId="77777777" w:rsidR="00001328" w:rsidRDefault="00A4265D">
      <w:pPr>
        <w:pStyle w:val="Liststycke"/>
        <w:widowControl w:val="0"/>
        <w:numPr>
          <w:ilvl w:val="0"/>
          <w:numId w:val="31"/>
        </w:numPr>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mise en œuvre de la protection des mineurs et des contrôles d’identité, y compris consultation de la liste rouge;</w:t>
      </w:r>
    </w:p>
    <w:p w14:paraId="620D689B" w14:textId="77777777" w:rsidR="00001328" w:rsidRDefault="00A4265D">
      <w:pPr>
        <w:pStyle w:val="Liststycke"/>
        <w:widowControl w:val="0"/>
        <w:numPr>
          <w:ilvl w:val="0"/>
          <w:numId w:val="31"/>
        </w:numPr>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information conformément à l’article 7, y compris renvoi aux conseils téléphoniques avec un numéro de téléphone fédéral unique et mise à disposition d’informations avec le contenu minimum suivant:</w:t>
      </w:r>
    </w:p>
    <w:p w14:paraId="3772E60A" w14:textId="77777777" w:rsidR="00001328" w:rsidRDefault="00A4265D">
      <w:pPr>
        <w:pStyle w:val="Liststycke"/>
        <w:widowControl w:val="0"/>
        <w:numPr>
          <w:ilvl w:val="0"/>
          <w:numId w:val="33"/>
        </w:numPr>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risque de dépendance et possibles conséquences négatives des différents jeux de </w:t>
      </w:r>
      <w:r>
        <w:rPr>
          <w:rFonts w:ascii="Arial" w:hAnsi="Arial"/>
        </w:rPr>
        <w:lastRenderedPageBreak/>
        <w:t xml:space="preserve">hasard, </w:t>
      </w:r>
    </w:p>
    <w:p w14:paraId="4DEFDE68" w14:textId="77777777" w:rsidR="00001328" w:rsidRDefault="00A4265D">
      <w:pPr>
        <w:pStyle w:val="Liststycke"/>
        <w:widowControl w:val="0"/>
        <w:numPr>
          <w:ilvl w:val="0"/>
          <w:numId w:val="33"/>
        </w:numPr>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interdiction faite aux mineurs,</w:t>
      </w:r>
    </w:p>
    <w:p w14:paraId="06340E48" w14:textId="77777777" w:rsidR="00001328" w:rsidRDefault="00A4265D">
      <w:pPr>
        <w:pStyle w:val="Liststycke"/>
        <w:widowControl w:val="0"/>
        <w:numPr>
          <w:ilvl w:val="0"/>
          <w:numId w:val="33"/>
        </w:numPr>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conseils pour un comportement de jeu responsable,</w:t>
      </w:r>
    </w:p>
    <w:p w14:paraId="1614931C" w14:textId="77777777" w:rsidR="00001328" w:rsidRDefault="00A4265D">
      <w:pPr>
        <w:pStyle w:val="Liststycke"/>
        <w:widowControl w:val="0"/>
        <w:numPr>
          <w:ilvl w:val="0"/>
          <w:numId w:val="33"/>
        </w:numPr>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possibilité d’évaluer son propre comportement de jeu et ses risques personnels,</w:t>
      </w:r>
    </w:p>
    <w:p w14:paraId="2E5C606E" w14:textId="77777777" w:rsidR="00001328" w:rsidRDefault="00A4265D">
      <w:pPr>
        <w:pStyle w:val="Liststycke"/>
        <w:widowControl w:val="0"/>
        <w:numPr>
          <w:ilvl w:val="0"/>
          <w:numId w:val="33"/>
        </w:numPr>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informations sur les offres d’aide indépendantes du fournisseur; pour les jeux en ligne, il doit être possible d’appeler directement du domaine internet des organismes de conseil indépendants pour les jeux de hasard sur l’internet et de signaler expressément que les offres d’aide sont indépendantes, et </w:t>
      </w:r>
    </w:p>
    <w:p w14:paraId="28EC2BD6" w14:textId="77777777" w:rsidR="00001328" w:rsidRDefault="00A4265D">
      <w:pPr>
        <w:pStyle w:val="Liststycke"/>
        <w:widowControl w:val="0"/>
        <w:numPr>
          <w:ilvl w:val="0"/>
          <w:numId w:val="33"/>
        </w:numPr>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procédures d’interdiction;</w:t>
      </w:r>
    </w:p>
    <w:p w14:paraId="075A7C59" w14:textId="77777777" w:rsidR="00001328" w:rsidRDefault="00A4265D">
      <w:pPr>
        <w:pStyle w:val="Liststycke"/>
        <w:widowControl w:val="0"/>
        <w:numPr>
          <w:ilvl w:val="0"/>
          <w:numId w:val="31"/>
        </w:numPr>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détection précoce avec intégration de données scientifiques sur la dépendance;</w:t>
      </w:r>
    </w:p>
    <w:p w14:paraId="35612060" w14:textId="77777777" w:rsidR="00001328" w:rsidRDefault="00A4265D">
      <w:pPr>
        <w:pStyle w:val="Liststycke"/>
        <w:widowControl w:val="0"/>
        <w:numPr>
          <w:ilvl w:val="0"/>
          <w:numId w:val="31"/>
        </w:numPr>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intervention précoce et information sur les centres régionaux de conseil en toxicomanie et autres offres d’aide indépendantes du prestataire;</w:t>
      </w:r>
    </w:p>
    <w:p w14:paraId="6A23C5A2" w14:textId="77777777" w:rsidR="00001328" w:rsidRDefault="00A4265D">
      <w:pPr>
        <w:pStyle w:val="Liststycke"/>
        <w:widowControl w:val="0"/>
        <w:numPr>
          <w:ilvl w:val="0"/>
          <w:numId w:val="31"/>
        </w:numPr>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mise en place de la procédure d’interdiction avec auto-interdiction et interdiction par un tiers; </w:t>
      </w:r>
    </w:p>
    <w:p w14:paraId="7961D1FB" w14:textId="77777777" w:rsidR="00001328" w:rsidRDefault="00A4265D">
      <w:pPr>
        <w:pStyle w:val="Liststycke"/>
        <w:widowControl w:val="0"/>
        <w:numPr>
          <w:ilvl w:val="0"/>
          <w:numId w:val="31"/>
        </w:numPr>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documentation continue des mesures prises afin de tirer des conclusions quant aux effets des jeux de hasard offerts sur le comportement de jeu et sur l’apparition de la dépendance au jeu, ainsi que pour évaluer le succès des mesures prises pour protéger les mineurs et les joueurs;</w:t>
      </w:r>
    </w:p>
    <w:p w14:paraId="38C18D3C" w14:textId="77777777" w:rsidR="00001328" w:rsidRDefault="00A4265D">
      <w:pPr>
        <w:pStyle w:val="Liststycke"/>
        <w:widowControl w:val="0"/>
        <w:numPr>
          <w:ilvl w:val="0"/>
          <w:numId w:val="31"/>
        </w:numPr>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compte-rendu tous les deux ans aux régulateurs des jeux ou à d’autres autorités compétentes en matière de licences sur la base de la documentation prévue au point 9.</w:t>
      </w:r>
    </w:p>
    <w:p w14:paraId="745404CB"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(3) Le personnel d’encadrement des organisateurs de jeux de hasard publics ne peut être rémunéré en fonction du chiffre d’affaires. Le personnel employé dans les salles de jeux terrestres ainsi que le personnel travaillant dans le domaine des jeux de hasard sur l’internet sont exclus des jeux de hasard qui y sont proposés.</w:t>
      </w:r>
    </w:p>
    <w:p w14:paraId="5648E352" w14:textId="77777777" w:rsidR="00001328" w:rsidRDefault="00A4265D">
      <w:pPr>
        <w:spacing w:after="0" w:line="360" w:lineRule="auto"/>
        <w:jc w:val="both"/>
        <w:rPr>
          <w:rFonts w:ascii="Times New Roman" w:hAnsi="Times New Roman" w:cs="Times New Roman"/>
          <w:sz w:val="24"/>
          <w:szCs w:val="24"/>
        </w:rPr>
      </w:pPr>
      <w:r>
        <w:rPr>
          <w:rFonts w:ascii="Arial" w:hAnsi="Arial"/>
        </w:rPr>
        <w:t>(4) Les organisateurs et agents de jeux de hasard publics sont autorisés et, à la demande de l’autorité compétente, tenus, dans le contexte de plan social, de fournir les données collectées anonymisées aux Länder, à des fins de recherche sur la dépendance au jeu conformément à l’article 11.</w:t>
      </w:r>
      <w:r>
        <w:rPr>
          <w:rFonts w:ascii="Times New Roman" w:hAnsi="Times New Roman"/>
          <w:sz w:val="24"/>
        </w:rPr>
        <w:t xml:space="preserve"> </w:t>
      </w:r>
    </w:p>
    <w:p w14:paraId="45459921" w14:textId="77777777" w:rsidR="00001328" w:rsidRDefault="00001328">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lang w:eastAsia="ar-SA"/>
        </w:rPr>
      </w:pPr>
    </w:p>
    <w:p w14:paraId="1A1066C0"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b/>
        </w:rPr>
      </w:pPr>
      <w:r>
        <w:rPr>
          <w:rFonts w:ascii="Arial" w:hAnsi="Arial"/>
          <w:b/>
        </w:rPr>
        <w:t>Article 6a Compte de jeu auprès du fournisseur de jeux de hasard sur l’internet</w:t>
      </w:r>
    </w:p>
    <w:p w14:paraId="02428C7A"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(1) Les organisateurs et les agents de jeux de hasard publics sur l’internet doivent créer un compte de jeu pour chaque joueur. Il n’est pas permis de participer au jeu sans compte de jeu. Chaque joueur ne peut avoir qu’un seul compte de jeu auprès du même organisateur ou agent. Les phrases 1 à 3 s’appliquent mutatis mutandis à l’auto-distribution des jeux de hasard publics.</w:t>
      </w:r>
    </w:p>
    <w:p w14:paraId="4E13C4B0"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(2) Afin de créer le compte de jeu, un joueur doit s’inscrire auprès de l’organisateur ou de l’agent en mentionnant ses prénom, nom, nom de naissance, date de naissance, lieu de naissance et lieu de résidence. Les organisateurs et agents auprès desquels l’inscription a lieu </w:t>
      </w:r>
      <w:r>
        <w:rPr>
          <w:rFonts w:ascii="Arial" w:hAnsi="Arial"/>
        </w:rPr>
        <w:lastRenderedPageBreak/>
        <w:t>doivent vérifier l’exactitude des informations. La vérification doit être effectuée en utilisant des procédures appropriées et fiables. La licence peut fixer différentes procédures appropriées et fiables.</w:t>
      </w:r>
    </w:p>
    <w:p w14:paraId="676D7FC2"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(3) Si l’exactitude des informations fournies par le joueur ne peut être déterminée au cours de l’examen conformément au paragraphe 2, phrase 2, l’organisateur ou l’agent doit demander au joueur de corriger les informations ou de fournir la preuve de l’exactitude des informations. L’organisateur ou l’agent doit vérifier l’exactitude des informations corrigées. Le paragraphe 2, phrases 2 et 3 s’applique par analogie. </w:t>
      </w:r>
    </w:p>
    <w:p w14:paraId="6ECB34ED"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(4) Avant de confirmer l’exactitude des informations conformément au paragraphe 2, il est interdit de permettre au joueur de participer ou de toucher des gains. Par dérogation à la phrase 1, les organisateurs ou agents peuvent autoriser la participation au jeu via un compte joueur jusqu’à une limite de dépôt de 100 euros pour une période de 72 heures depuis l’inscription conformément au paragraphe 2, phrase 1. Dans ce cas, le joueur doit être informé que le paiement des gains n’est pas autorisé tant que les informations fournies n’ont pas été confirmées; le joueur doit accuser réception de l’avis.</w:t>
      </w:r>
    </w:p>
    <w:p w14:paraId="04BA672E"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(5) Les organisateurs et les agents doivent régulièrement demander au joueur de confirmer les informations stockées sur le compte de jeu conformément au paragraphe 2, phrase 1. La possibilité de notifier les modifications doit être prévue. Les organisateurs et les agents doivent immédiatement vérifier à nouveau l’exactitude des informations confirmées ou modifiées. Il n’est pas permis de maintenir l’autorisation de jouer si l’exactitude des informations confirmées ou modifiées ne peut pas être déterminée; Le paragraphe 3 s’applique par analogie. La possibilité d’une nouvelle participation au jeu est interdite même après un an à compter de la date de la dernière confirmation d’exactitude à la suite d’un contrôle de l’organisateur. Dans les cas visés aux phrases 4 et 5, le paiement des gains reste autorisé. Les phrases 3 à 6 ne s’appliquent pas aux comptes de jeu permettant uniquement de participer à des jeux de hasard ouverts aux joueurs frappés d’interdiction conformément à l’article 8, paragraphe 2.</w:t>
      </w:r>
    </w:p>
    <w:p w14:paraId="7E150595"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(6) En cas de modification du mode de paiement, des coordonnées bancaires et des détails du compte du joueur, les organisateurs et les agents doivent vérifier l’exactitude des informations fournies conformément au paragraphe 2, phrase 1. Le paragraphe 5, phrases 4 et 7 s’applique par analogie. Avant de confirmer l’exactitude des informations, les paiements ne sont autorisés qu’en utilisant le mode de paiement, les coordonnées bancaires et les détails du compte enregistrés avant le changement.</w:t>
      </w:r>
    </w:p>
    <w:p w14:paraId="078415FA"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(7) Les organisateurs et les agents doivent permettre au joueur de fermer son compte de jeu à tout moment. Il doit avoir la possibilité de saisir un mode de paiement, des coordonnées bancaires et les détails du compte pour rembourser le crédit restant. À l’exception de la phrase 2, la fermeture du compte de jeu ne doit pas être plus compliquée que sa création.</w:t>
      </w:r>
    </w:p>
    <w:p w14:paraId="714BBA36"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(8) Les organisateurs et les agents doivent bloquer un compte de jeu en cas de soupçon </w:t>
      </w:r>
      <w:r>
        <w:rPr>
          <w:rFonts w:ascii="Arial" w:hAnsi="Arial"/>
        </w:rPr>
        <w:lastRenderedPageBreak/>
        <w:t>d’acquisition illégale des gains ou de violation des dispositions légales, en particulier dans le domaine du blanchiment d’argent, du présent traité d’État ou des conditions relatives au compte de jeu. Les joueurs doivent être informés immédiatement des raisons de l’interdiction, sauf disposition légale ou officielle contraire. Les organisateurs et les agents doivent prendre une décision factuelle dans un délai raisonnable. Pendant la période d’interdiction, le joueur ne peut pas fermer le compte de jeu.</w:t>
      </w:r>
    </w:p>
    <w:p w14:paraId="013391C6" w14:textId="77777777" w:rsidR="00001328" w:rsidRDefault="00001328">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b/>
          <w:lang w:eastAsia="ar-SA"/>
        </w:rPr>
      </w:pPr>
    </w:p>
    <w:p w14:paraId="326BF8A0" w14:textId="77777777" w:rsidR="00001328" w:rsidRDefault="00A4265D">
      <w:pPr>
        <w:keepNext/>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b/>
        </w:rPr>
      </w:pPr>
      <w:r>
        <w:rPr>
          <w:rFonts w:ascii="Arial" w:hAnsi="Arial"/>
          <w:b/>
        </w:rPr>
        <w:t>Article 6b Montants sur le compte de jeu; dépôts et retraits</w:t>
      </w:r>
    </w:p>
    <w:p w14:paraId="732DE598"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(1) Les montants disponibles pour participer au jeu sont enregistrés sur le compte de jeu. Les montants doivent être indiqués en euros et en centimes.</w:t>
      </w:r>
    </w:p>
    <w:p w14:paraId="42CDEAE6"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(2) Les dépôts des joueurs doivent être crédités sur le compte de jeu immédiatement après réception du paiement par l’organisateur ou l’agent. Les gains doivent être crédités sur le compte de jeu immédiatement. Les retraits doivent être déduits immédiatement à la demande du joueur.</w:t>
      </w:r>
    </w:p>
    <w:p w14:paraId="70B9405C"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(3) Les organisateurs et les agents doivent fournir une fonction permettant de déterminer que les gains supérieurs à un certain montant sont versés automatiquement.</w:t>
      </w:r>
    </w:p>
    <w:p w14:paraId="0DE6FC37"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(4) Les paiements vers ou depuis un compte de jeu ne peuvent être effectués qu’à partir d’un compte de paiement conforme à l’article premier, paragraphe 17, de la loi sur la surveillance des services de paiement, qui a été ouvert au nom du joueur auprès une partie soumise aux obligations de l’article 2, paragraphe 1, point 1 ou 3, de la loi sur le blanchiment d’argent. </w:t>
      </w:r>
    </w:p>
    <w:p w14:paraId="716687F2"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(5) Les transferts d’argent, de points de jeu ou similaires entre les comptes de jeu ne sont pas autorisés. L’interdiction de crédit prévue à l’article 4, paragraphe 5, point 2), s’applique.</w:t>
      </w:r>
    </w:p>
    <w:p w14:paraId="057A3113"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(6) Les fonds dont disposent les joueurs sur le compte de jeu sont des fonds confiés qui doivent être disponibles sur un compte gratuit auprès d’un établissement de crédit qui doit être distinct des fonds propres de l’organisateur ou de l’agent et auquel seul l’organisateur ou l’agent ont accès. Les paiements à partir du compte gratuit ne peuvent être effectués qu’aux joueurs ou aux comptes de fonds propres de l’organisateur ou de l’agent en remboursement d’une créance des joueurs au profit de l’organisateur ou de l’agent; les fonds du compte gratuit ne peuvent pas être utilisés pour couvrir des créances de tiers envers l’organisateur ou l’agent. Les fonds doivent être garantis en cas de faillite ou d’insolvabilité de l’organisateur ou de l’agent ou des établissements de crédit où les fonds des joueurs sont conservés. L’organisateur ou l’agent doit faire confirmer ceci par un mandataire dûment habilité à exercer, de manière indépendante, la profession de conseiller juridique ou fiscal en vue de présentation aux autorités compétentes. Les fonds du compte gratuit doivent toujours correspondre au montant total des comptes de jeu des joueurs.</w:t>
      </w:r>
    </w:p>
    <w:p w14:paraId="3BB95795"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(7) En cas de fermeture d’un compte de jeu, les organisateurs et les agents doivent transférer </w:t>
      </w:r>
      <w:r>
        <w:rPr>
          <w:rFonts w:ascii="Arial" w:hAnsi="Arial"/>
        </w:rPr>
        <w:lastRenderedPageBreak/>
        <w:t>le solde du compte de jeu sur le compte du joueur sans délai et au plus tard dans les cinq jours ouvrables. Aucuns frais ne peuvent être facturés pour la clôture et le décaissement.</w:t>
      </w:r>
    </w:p>
    <w:p w14:paraId="5061B303" w14:textId="77777777" w:rsidR="00001328" w:rsidRDefault="00001328">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lang w:eastAsia="ar-SA"/>
        </w:rPr>
      </w:pPr>
    </w:p>
    <w:p w14:paraId="4F1D69A8"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b/>
        </w:rPr>
      </w:pPr>
      <w:r>
        <w:rPr>
          <w:rFonts w:ascii="Arial" w:hAnsi="Arial"/>
          <w:b/>
        </w:rPr>
        <w:t>Article 6c Autolimitation; fichier de limite pour les jeux de hasard en ligne</w:t>
      </w:r>
    </w:p>
    <w:p w14:paraId="366B3DA1"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(1) Lors de l’inscription, il est demandé aux joueurs de fixer une limite de dépôt mensuelle individuelle entre les fournisseurs ou d’indiquer qu’une limite individuelle mensuelle de dépôt qui s’applique à tous les fournisseurs déjà établie doit être maintenue inchangée. La limite de dépôt qui s’applique à tous les fournisseurs ne peut pas excéder un montant mensuel de 1 000 euros. Afin d’atteindre les objectifs de l’article premier, la licence peut stipuler si et dans quelles conditions le détenteur de licence peut fixer un montant différent au cas par cas avec effet sur l’ensemble des fournisseurs. La phrase 3 s’applique par analogie à l’organisation de jeux de casino en ligne conformément à l’article 22c, paragraphe 1, phrase 1, point 1 et à l’octroi de licences conformément à l’article 22c, paragraphe 1, phrase 1, point 2. En ce qui concerne les conditions dans lesquelles un fournisseur de jeux de casino en ligne peut être autorisé à fixer un montant différent conformément à la phrase 4, des règlements-cadres contraignants sont fixés par l’établissement conformément à l’article 27a. Si aucune limite de dépôt qui s’applique à tous les fournisseurs n'est fixée pour un joueur, aucune participation au jeu n'aura lieu. La limite de dépôt qui s’applique à tous les fournisseurs est atteinte si la somme des dépôts d’un joueur au cours d’un mois civil auprès de tous les organisateurs et agents de jeux de hasard publics sur internet, sujets à la limite de dépôt pluripartite conformément au paragraphe 9, dépassent la limite de dépôt spécifiée individuellement à la phrase 1. Si la limite mensuelle de dépôt spécifiée qui s’applique à tous les fournisseurs selon la phrase 1 est atteinte, le joueur ne peut effectuer de dépôt supplémentaire; le détenteur de licence doit s’en assurer en prenant les mesures appropriées. Si les joueurs essaient de fixer une limite de dépôt mensuelle supérieure au montant fixé aux phrases 2 et 3, ils doivent être invités à corriger leur saisie. Les joueurs ne peuvent voir les montants conformément aux phrases 2 et 3 que dans le cadre de la demande de correction.</w:t>
      </w:r>
    </w:p>
    <w:p w14:paraId="4B281D08"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(2) Il importe en outre de réserver aux joueurs la possibilité de modifier à tout moment ces limites de dépôt, de paiement et de perte journalières, hebdomadaires ou mensuelles par fournisseur. Si une limite de mise ou de perte a été atteinte, toute autre participation au jeu doit être impossible; le paragraphe 1, phrase 8, s’applique par analogie à une limite de dépôt. </w:t>
      </w:r>
    </w:p>
    <w:p w14:paraId="5CEEAA0D"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(3) Les joueurs doivent avoir à tout moment la possibilité de fixer une nouvelle limite conformément aux paragraphes 1 et 2. Si un joueur souhaite augmenter la limite, celle-ci ne sera effective qu’après expiration d’un délai de protection de sept jours. Si les limites sont réduites, les nouvelles limites prennent effet immédiatement.</w:t>
      </w:r>
    </w:p>
    <w:p w14:paraId="4AFE8F03"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(4) L’autorité compétente tient un fichier central de surveillance des limites (fichier de limite) pour surveiller la limite de dépôt qui s’applique à tous les fournisseurs conformément au </w:t>
      </w:r>
      <w:r>
        <w:rPr>
          <w:rFonts w:ascii="Arial" w:hAnsi="Arial"/>
        </w:rPr>
        <w:lastRenderedPageBreak/>
        <w:t>paragraphe 1. Les données personnelles nécessaires pour surveiller la limite sont traitées dans le fichier de limite. Les données personnelles suivantes peuvent être traitées:</w:t>
      </w:r>
    </w:p>
    <w:p w14:paraId="22C13B36"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ind w:left="567" w:hanging="283"/>
        <w:jc w:val="both"/>
        <w:rPr>
          <w:rFonts w:ascii="Arial" w:eastAsia="Times New Roman" w:hAnsi="Arial" w:cs="Arial"/>
        </w:rPr>
      </w:pPr>
      <w:r>
        <w:rPr>
          <w:rFonts w:ascii="Arial" w:hAnsi="Arial"/>
        </w:rPr>
        <w:t xml:space="preserve">1. noms de famille, prénoms, noms de naissance, </w:t>
      </w:r>
    </w:p>
    <w:p w14:paraId="6A094747"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ind w:left="567" w:hanging="283"/>
        <w:jc w:val="both"/>
        <w:rPr>
          <w:rFonts w:ascii="Arial" w:eastAsia="Times New Roman" w:hAnsi="Arial" w:cs="Arial"/>
        </w:rPr>
      </w:pPr>
      <w:r>
        <w:rPr>
          <w:rFonts w:ascii="Arial" w:hAnsi="Arial"/>
        </w:rPr>
        <w:t xml:space="preserve">2. date de naissance, </w:t>
      </w:r>
    </w:p>
    <w:p w14:paraId="010065A2"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ind w:left="567" w:hanging="283"/>
        <w:jc w:val="both"/>
        <w:rPr>
          <w:rFonts w:ascii="Arial" w:eastAsia="Times New Roman" w:hAnsi="Arial" w:cs="Arial"/>
        </w:rPr>
      </w:pPr>
      <w:r>
        <w:rPr>
          <w:rFonts w:ascii="Arial" w:hAnsi="Arial"/>
        </w:rPr>
        <w:t xml:space="preserve">3. lieu de naissance, </w:t>
      </w:r>
    </w:p>
    <w:p w14:paraId="0747AE7A"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ind w:left="567" w:hanging="283"/>
        <w:jc w:val="both"/>
        <w:rPr>
          <w:rFonts w:ascii="Arial" w:eastAsia="Times New Roman" w:hAnsi="Arial" w:cs="Arial"/>
        </w:rPr>
      </w:pPr>
      <w:r>
        <w:rPr>
          <w:rFonts w:ascii="Arial" w:hAnsi="Arial"/>
        </w:rPr>
        <w:t xml:space="preserve">4. adresse, </w:t>
      </w:r>
    </w:p>
    <w:p w14:paraId="63FD41C1"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ind w:left="567" w:hanging="283"/>
        <w:jc w:val="both"/>
        <w:rPr>
          <w:rFonts w:ascii="Arial" w:eastAsia="Times New Roman" w:hAnsi="Arial" w:cs="Arial"/>
        </w:rPr>
      </w:pPr>
      <w:r>
        <w:rPr>
          <w:rFonts w:ascii="Arial" w:hAnsi="Arial"/>
        </w:rPr>
        <w:t>5. montant de la limite de dépôt qui s’applique à tous les fournisseurs fixée par le joueur,</w:t>
      </w:r>
    </w:p>
    <w:p w14:paraId="05D080BD"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ind w:left="567" w:hanging="283"/>
        <w:jc w:val="both"/>
        <w:rPr>
          <w:rFonts w:ascii="Arial" w:eastAsia="Times New Roman" w:hAnsi="Arial" w:cs="Arial"/>
        </w:rPr>
      </w:pPr>
      <w:r>
        <w:rPr>
          <w:rFonts w:ascii="Arial" w:hAnsi="Arial"/>
        </w:rPr>
        <w:t xml:space="preserve">6. date de fixation de la limite, </w:t>
      </w:r>
    </w:p>
    <w:p w14:paraId="2AE798F2"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ind w:left="567" w:hanging="283"/>
        <w:jc w:val="both"/>
        <w:rPr>
          <w:rFonts w:ascii="Arial" w:eastAsia="Times New Roman" w:hAnsi="Arial" w:cs="Arial"/>
        </w:rPr>
      </w:pPr>
      <w:r>
        <w:rPr>
          <w:rFonts w:ascii="Arial" w:hAnsi="Arial"/>
        </w:rPr>
        <w:t xml:space="preserve">7. montant et date des dépôts effectués et </w:t>
      </w:r>
    </w:p>
    <w:p w14:paraId="11E33DEE"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ind w:left="567" w:hanging="283"/>
        <w:jc w:val="both"/>
        <w:rPr>
          <w:rFonts w:ascii="Arial" w:eastAsia="Times New Roman" w:hAnsi="Arial" w:cs="Arial"/>
        </w:rPr>
      </w:pPr>
      <w:r>
        <w:rPr>
          <w:rFonts w:ascii="Arial" w:hAnsi="Arial"/>
        </w:rPr>
        <w:t xml:space="preserve">8. montant total des dépôts effectués. </w:t>
      </w:r>
    </w:p>
    <w:p w14:paraId="55CB87E9"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Le montant total des dépôts effectués selon le numéro 8 est composé des dépôts effectués au sens du paragraphe 6, phrase 4, au cours du mois civil en cours. L’autorité responsable de l’exécution du fichier de limite peut décider que les données à caractère personnel visées aux points 1 à 4 de la troisième phrase peuvent être remplacées par un pseudonyme, à condition que cela n’affecte pas le bon fonctionnement du fichier de limite. En outre, un identifiant du joueur lié au fournisseur peut être traité, mais ne peut pas être stocké en relation avec les données à caractère personnel visées à la phrase 3, points 1 à 4.</w:t>
      </w:r>
    </w:p>
    <w:p w14:paraId="7C29D52D"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(5) Les organisateurs et les agents doivent transférer les données personnelles du joueur spécifiées au paragraphe 4, phrase 3, points 1 à 4, ainsi que le montant de la nouvelle limite de dépôt dans le fichier de limite à chaque détermination et modification de la limite de dépôt qui s’applique à tous les fournisseurs. Si une limite de dépôt était déjà enregistrée dans le fichier de limite, elle sera remplacée par la nouvelle limite transmise; le paragraphe 3, phrases 2 et 3, reste inchangée. Pour l’information du joueur, l’organisateur ou l’agent de la transmission est informé du montant de la limite inscrite et de toute limite inférieure qui pourrait encore devoir être temporairement respectée en raison du délai de protection conformément au paragraphe 3, phrase 2. Lorsqu’un joueur indique qu’une limite mensuelle de dépôt prédéfinie qui s’applique à tous les fournisseurs doit être maintenue inchangée, les organisateurs et les intermédiaires transmettent ces informations au fichier de limite ainsi que les données à caractère personnel du joueur visées au paragraphe 4, troisième phrase, points 1 à 4. Si, dans le cas de la phrase 4, aucune limite de dépôt qui s’applique à tous les fournisseurs n’est stockée dans le fichier de limite de ce joueur, celle-ci sera retournée à l’organisateur émetteur ou à l’intermédiaire. Ce dernier demande au joueur de fixer une limite mensuelle de dépôt individuelle qui s’applique à tous les fournisseurs ; le paragraphe 1, point 6, demeure inchangé. L’autorisation ou la décision générale de l’autorité responsable de la gestion du fichier de limite peut préciser que, dans le cas des phrases 1 et 4, d’autres données à caractère personnel spécifiées par l’autorité sont transmises en lieu et place des </w:t>
      </w:r>
      <w:r>
        <w:rPr>
          <w:rFonts w:ascii="Arial" w:hAnsi="Arial"/>
        </w:rPr>
        <w:lastRenderedPageBreak/>
        <w:t>données à caractère personnel visées au paragraphe 4, troisième phrase, points 1 à 4, qui sont appropriées et nécessaires à l’identification unique du joueur.</w:t>
      </w:r>
    </w:p>
    <w:p w14:paraId="6BE40FE3"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(6) Les organisateurs et les agents doivent soumettre les données nécessaires à l'identification claire du joueur, ainsi que le montant de la limite de dépôt prévue par le joueur dans le fichier de limite avant la fin de chaque procédure de dépôt. Le transfert n’est autorisé que si le joueur a finalement demandé le dépôt prévu. L’organisateur ou l’agent est informé si la limite qui s’applique à tous les fournisseurs a déjà été atteinte et si le dépôt prévu dépasse la limite de dépôt. Si la limite de dépôt qui s’applique à tous les fournisseurs n’a pas été atteinte et ne serait pas dépassée par le dépôt prévu, le dépôt prévu est enregistré en tant que dépôt effectué dans le fichier de limite. Si la limite de dépôt qui s’applique à tous les fournisseurs n’a pas été atteinte et n’est pas dépassée par le dépôt prévu, le fichier de limite transmet également le montant de la limite de dépôt qui n’a pas encore été atteinte. Si la limite de dépôt est déjà atteinte, le dépôt prévu doit être rejeté par l’organisateur ou l’agent. Il en va de même si le dépôt prévu risque de dépasser la limite de dépôt qui s’applique à tous les fournisseurs; dans ce cas, le joueur peut être informé du montant restant de la limite de dépôt et une nouvelle procédure de dépôt peut être lancée dans les termes des phrases 1 à 6. Les données nécessaires à l’identification unique du joueur sont précisées dans l’autorisation ou par décision générale de l’autorité responsable de la gestion du fichier de limite.</w:t>
      </w:r>
      <w:r>
        <w:t xml:space="preserve"> </w:t>
      </w:r>
    </w:p>
    <w:p w14:paraId="27427113"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(7) Les données personnelles mentionnées au paragraphe 4, phrase 3, points 7 et 8, doivent être supprimées immédiatement après le mois au cours duquel elles ont été enregistrées.</w:t>
      </w:r>
    </w:p>
    <w:p w14:paraId="3AF8B840"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(8) Les données personnelles spécifiées au paragraphe 4, phrase 3, points 1 à 6, doivent être supprimées du fichier de limite un an après la dernière activité. On entend par activité au sens de la phrase 1 toute transmission au sens du paragraphe 5, phrase 1 et du paragraphe 6, phrase 1. Si les données personnelles mentionnées au paragraphe 4, phrase 3, points 1 à 6, ont déjà été supprimées et qu’une transmission a lieu conformément au paragraphe 6, phrase 1, l’émetteur doit être informé de la suppression des données. Dans ce cas, la procédure de dépôt doit être annulée et le joueur est invité à fixer de nouvelles limites.</w:t>
      </w:r>
    </w:p>
    <w:p w14:paraId="72C13AA0"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(9) La limite de dépôt qui s’applique à tous les fournisseurs concerne tous les jeux de hasard publics sur l’internet, à l’exception des dépôts réservés exclusivement aux loteries qui ne sont pas organisées plus de deux fois par semaine et pour les loteries sous forme d’une épargne à primes. Les loteries instantanées sur l’internet ne sont pas considérées comme des loteries au sens de la phrase 1.</w:t>
      </w:r>
    </w:p>
    <w:p w14:paraId="79F301FC" w14:textId="77777777" w:rsidR="00001328" w:rsidRDefault="00A4265D">
      <w:pPr>
        <w:spacing w:after="120" w:line="360" w:lineRule="auto"/>
        <w:jc w:val="both"/>
        <w:rPr>
          <w:rFonts w:ascii="Arial" w:hAnsi="Arial" w:cs="Arial"/>
        </w:rPr>
      </w:pPr>
      <w:r>
        <w:rPr>
          <w:rFonts w:ascii="Arial" w:hAnsi="Arial"/>
        </w:rPr>
        <w:t>(10) La connexion au fichier de limite et son utilisation sont payantes pour le détenteur de licence. Le détenteur de licence ne peut facturer au joueur aucuns frais ou honoraires pour fixer ou modifier une limite.</w:t>
      </w:r>
    </w:p>
    <w:p w14:paraId="7AA0161B" w14:textId="77777777" w:rsidR="00001328" w:rsidRDefault="00001328">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lang w:eastAsia="ar-SA"/>
        </w:rPr>
      </w:pPr>
    </w:p>
    <w:p w14:paraId="6A7D09DC" w14:textId="77777777" w:rsidR="00001328" w:rsidRDefault="00A4265D">
      <w:pPr>
        <w:keepNext/>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b/>
        </w:rPr>
      </w:pPr>
      <w:r>
        <w:rPr>
          <w:rFonts w:ascii="Arial" w:hAnsi="Arial"/>
          <w:b/>
        </w:rPr>
        <w:lastRenderedPageBreak/>
        <w:t>Article 6d Obligations d’information du fournisseur de jeux de hasard sur l’internet</w:t>
      </w:r>
    </w:p>
    <w:p w14:paraId="59F02718"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(1) Les joueurs doivent avoir la possibilité à tout moment de consulter le solde du compte de jeu, l’historique du jeu en général pour chaque forme de jeu, les dépôts et les retraits, les limites et les modifications des limites ainsi que les autres transactions des douze derniers mois. L’historique du jeu au sens de la phrase 1 doit inclure les différentes mises, les gains et les pertes du joueur en indiquant les dates. </w:t>
      </w:r>
    </w:p>
    <w:p w14:paraId="6D18AC51"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(2) Les organisateurs et les agents doivent informer les joueurs de la somme des mises, gains et pertes des 30 derniers jours. Ces informations doivent être fournies après chaque identification et authentification et avant le début d’une partie si plus de 24 heures se sont écoulées depuis les dernières informations. La participation à un jeu ne peut avoir lieu qu’après que le joueur a expressément déclaré avoir connaissance des informations.</w:t>
      </w:r>
    </w:p>
    <w:p w14:paraId="66978F24"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(3) Les organisateurs et les agents doivent immédiatement fournir gratuitement aux joueurs qui la demandent une liste ordonnée de toutes les transactions sur le compte de jeu des douze derniers mois.</w:t>
      </w:r>
    </w:p>
    <w:p w14:paraId="5F5B51AF" w14:textId="77777777" w:rsidR="00001328" w:rsidRDefault="00001328">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lang w:eastAsia="ar-SA"/>
        </w:rPr>
      </w:pPr>
    </w:p>
    <w:p w14:paraId="4D599F35" w14:textId="77777777" w:rsidR="00001328" w:rsidRDefault="00A4265D">
      <w:pPr>
        <w:keepNext/>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b/>
        </w:rPr>
      </w:pPr>
      <w:r>
        <w:rPr>
          <w:rFonts w:ascii="Arial" w:hAnsi="Arial"/>
          <w:b/>
        </w:rPr>
        <w:t>Article 6e Autres dispositions sur la protection des mineurs et des joueurs pour les jeux de hasard sur l’internet</w:t>
      </w:r>
    </w:p>
    <w:p w14:paraId="023D9F08"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(1) L’exclusion des mineurs et des joueurs interdits doit être garantie à tout moment par des procédures techniques appropriées d’identification et d’authentification. Dans la licence, des spécifications pour effectuer l’identification et l’authentification peuvent être spécifiées, en particulier il peut être spécifié qu’à intervalles réguliers, qui doivent être déterminés dans la licence, une méthode d’authentification différente doit être utilisée, en dérogation à la méthode d’authentification habituellement utilisée. </w:t>
      </w:r>
    </w:p>
    <w:p w14:paraId="110AA32B"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(2) Le bon fonctionnement des générateurs aléatoires utilisés dans les jeux de hasard sur l’internet doit être vérifié par un expert indépendant, à déterminer par l’autorité compétente pour l’octroi des licences, aux frais du détenteur de licence avant leur première utilisation, puis au moins une fois par an par la suite. L’autorité compétente pour l’octroi des licences doit être immédiatement informée du résultat. </w:t>
      </w:r>
    </w:p>
    <w:p w14:paraId="60225102"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(3) L’offre de jeux de hasard publics sur l’internet doit être proposée dans un domaine internet dont le domaine de premier niveau propre au pays est «.de». La page d’accueil du site web du détenteur de licence accessible à partir du nom de domaine doit mentionner dans un endroit bien visible que les jeux de hasard sont interdits à toute personne de moins de 18 ans et que le détenteur est en possession d’une licence de l’autorité de surveillance des jeux de hasard compétente et est placé sous sa supervision. L’accès direct au domaine internet de l’autorité de surveillance des jeux de hasard compétente doit être prévu.</w:t>
      </w:r>
    </w:p>
    <w:p w14:paraId="1F8AA6E6"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(4) Toutes les informations que le détenteur de licence doit fournir aux joueurs doivent être </w:t>
      </w:r>
      <w:r>
        <w:rPr>
          <w:rFonts w:ascii="Arial" w:hAnsi="Arial"/>
        </w:rPr>
        <w:lastRenderedPageBreak/>
        <w:t>accessibles en allemand sur le domaine internet du détenteur de licence qui contient l’offre de jeu de hasard et être accessibles de tous les côtés du domaine.</w:t>
      </w:r>
    </w:p>
    <w:p w14:paraId="253191FC"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(5) Les joueurs doivent être informés immédiatement des risques et des éventuelles conséquences sociales négatives du jeu de hasard lorsqu’ils participent au jeu. Des informations sur la dépendance au jeu doivent être fournies. L’accès direct aux domaines internet des institutions de conseil indépendantes doit être rendu possible.</w:t>
      </w:r>
    </w:p>
    <w:p w14:paraId="79BA2E82" w14:textId="77777777" w:rsidR="00001328" w:rsidRDefault="00001328">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b/>
          <w:lang w:eastAsia="ar-SA"/>
        </w:rPr>
      </w:pPr>
    </w:p>
    <w:p w14:paraId="769739BE"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b/>
        </w:rPr>
      </w:pPr>
      <w:r>
        <w:rPr>
          <w:rFonts w:ascii="Arial" w:hAnsi="Arial"/>
          <w:b/>
        </w:rPr>
        <w:t>Article 6f Concept de sécurité informatique</w:t>
      </w:r>
    </w:p>
    <w:p w14:paraId="228F2C6E"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(1) Les détenteurs de licence doivent décrire et mettre en œuvre des mesures de sécurité appropriées dans le concept de sécurité informatique. Le concept de sécurité doit être vérifié régulièrement et, si nécessaire, révisé.</w:t>
      </w:r>
    </w:p>
    <w:p w14:paraId="69A83BEB"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(2) Les mesures de sécurité doivent comprendre au moins les aspects suivants:</w:t>
      </w:r>
    </w:p>
    <w:p w14:paraId="760F9CE8"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ind w:left="567" w:hanging="283"/>
        <w:jc w:val="both"/>
        <w:rPr>
          <w:rFonts w:ascii="Arial" w:eastAsia="Times New Roman" w:hAnsi="Arial" w:cs="Arial"/>
        </w:rPr>
      </w:pPr>
      <w:r>
        <w:rPr>
          <w:rFonts w:ascii="Arial" w:hAnsi="Arial"/>
        </w:rPr>
        <w:t>1. la protection permanente des données personnelles des joueurs contre les traitements illicites,</w:t>
      </w:r>
    </w:p>
    <w:p w14:paraId="500357C2"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ind w:left="567" w:hanging="283"/>
        <w:jc w:val="both"/>
        <w:rPr>
          <w:rFonts w:ascii="Arial" w:eastAsia="Times New Roman" w:hAnsi="Arial" w:cs="Arial"/>
        </w:rPr>
      </w:pPr>
      <w:r>
        <w:rPr>
          <w:rFonts w:ascii="Arial" w:hAnsi="Arial"/>
        </w:rPr>
        <w:t>2. la garantie de disponibilité, d’intégrité et de confidentialité permanentes et continues des données, par exemple par le biais de mécanismes de chiffrement, de contrôles d’accès et de programmes de protection antivirus,</w:t>
      </w:r>
    </w:p>
    <w:p w14:paraId="2B4A8179"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ind w:left="567" w:hanging="283"/>
        <w:jc w:val="both"/>
        <w:rPr>
          <w:rFonts w:ascii="Arial" w:eastAsia="Times New Roman" w:hAnsi="Arial" w:cs="Arial"/>
        </w:rPr>
      </w:pPr>
      <w:r>
        <w:rPr>
          <w:rFonts w:ascii="Arial" w:hAnsi="Arial"/>
        </w:rPr>
        <w:t>3. la sauvegarde régulière de toutes les données pertinentes,</w:t>
      </w:r>
    </w:p>
    <w:p w14:paraId="6455CA2F"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ind w:left="567" w:hanging="283"/>
        <w:jc w:val="both"/>
        <w:rPr>
          <w:rFonts w:ascii="Arial" w:eastAsia="Times New Roman" w:hAnsi="Arial" w:cs="Arial"/>
        </w:rPr>
      </w:pPr>
      <w:r>
        <w:rPr>
          <w:rFonts w:ascii="Arial" w:hAnsi="Arial"/>
        </w:rPr>
        <w:t>4. la mise en place et le test régulier de processus permettant une restauration rapide des données sauvegardées,</w:t>
      </w:r>
    </w:p>
    <w:p w14:paraId="4A3A5500"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ind w:left="567" w:hanging="283"/>
        <w:jc w:val="both"/>
        <w:rPr>
          <w:rFonts w:ascii="Arial" w:eastAsia="Times New Roman" w:hAnsi="Arial" w:cs="Arial"/>
        </w:rPr>
      </w:pPr>
      <w:r>
        <w:rPr>
          <w:rFonts w:ascii="Arial" w:hAnsi="Arial"/>
        </w:rPr>
        <w:t>5. la protection des systèmes utilisés contre les manipulations internes et externes et</w:t>
      </w:r>
    </w:p>
    <w:p w14:paraId="3ADBB85E"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ind w:left="567" w:hanging="283"/>
        <w:jc w:val="both"/>
        <w:rPr>
          <w:rFonts w:ascii="Arial" w:eastAsia="Times New Roman" w:hAnsi="Arial" w:cs="Arial"/>
        </w:rPr>
      </w:pPr>
      <w:r>
        <w:rPr>
          <w:rFonts w:ascii="Arial" w:hAnsi="Arial"/>
        </w:rPr>
        <w:t>6. la traçabilité complète de l’intégrité des systèmes.</w:t>
      </w:r>
    </w:p>
    <w:p w14:paraId="1A3CC00C"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(3) L’efficacité du concept de sécurité doit être vérifiée au moins une fois par an par le détenteur de licence à ses frais par un organisme expert indépendant. Le rapport d’essai doit être soumis à l’autorité compétente pour l’octroi des licences.</w:t>
      </w:r>
    </w:p>
    <w:p w14:paraId="27A0544B" w14:textId="77777777" w:rsidR="00001328" w:rsidRDefault="00001328">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lang w:eastAsia="ar-SA"/>
        </w:rPr>
      </w:pPr>
    </w:p>
    <w:p w14:paraId="4CCE831C" w14:textId="77777777" w:rsidR="00001328" w:rsidRDefault="00A4265D">
      <w:pPr>
        <w:keepNext/>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b/>
        </w:rPr>
      </w:pPr>
      <w:r>
        <w:rPr>
          <w:rFonts w:ascii="Arial" w:hAnsi="Arial"/>
          <w:b/>
        </w:rPr>
        <w:t>Article 6g Protection des données, enregistrement, conservation et suppression</w:t>
      </w:r>
    </w:p>
    <w:p w14:paraId="2988960D"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(1) Les détenteurs de licence doivent conserver les données personnelles des joueurs pendant cinq ans après la fermeture du compte de jeu. Après expiration du délai, les données personnelles doivent être supprimées.</w:t>
      </w:r>
    </w:p>
    <w:p w14:paraId="77F13222"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(2) Les données personnelles existantes doivent être protégées efficacement en permanence contre tout accès non autorisé.</w:t>
      </w:r>
    </w:p>
    <w:p w14:paraId="7B1D3224"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(3) Les personnes concernées sont informées de la nature et de l’étendue de la conservation, de la conservation et de la suppression de leurs données personnelles.</w:t>
      </w:r>
    </w:p>
    <w:p w14:paraId="2A198F95" w14:textId="77777777" w:rsidR="00001328" w:rsidRDefault="00001328">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lang w:eastAsia="ar-SA"/>
        </w:rPr>
      </w:pPr>
    </w:p>
    <w:p w14:paraId="31A60E63"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b/>
        </w:rPr>
      </w:pPr>
      <w:r>
        <w:rPr>
          <w:rFonts w:ascii="Arial" w:hAnsi="Arial"/>
          <w:b/>
        </w:rPr>
        <w:t>Article 6h Prévention du jeu parallèle auprès de plusieurs fournisseurs sur l’internet; temps d’attente avant de changer de fournisseur sur l’internet</w:t>
      </w:r>
    </w:p>
    <w:p w14:paraId="4A82BBD7"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(1) Le jeu parallèle de jeux de hasard publics par un joueur n’est pas autorisé. </w:t>
      </w:r>
    </w:p>
    <w:p w14:paraId="146CF2B6"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(2) Afin d’éviter le jeu parallèle entre fournisseurs sur l'Internet, l’autorité responsable tient un fichier dans lequel sont traitées les données personnelles suivantes d’un joueur:</w:t>
      </w:r>
    </w:p>
    <w:p w14:paraId="32A7EE29"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ind w:left="567" w:hanging="283"/>
        <w:jc w:val="both"/>
        <w:rPr>
          <w:rFonts w:ascii="Arial" w:eastAsia="Times New Roman" w:hAnsi="Arial" w:cs="Arial"/>
        </w:rPr>
      </w:pPr>
      <w:r>
        <w:rPr>
          <w:rFonts w:ascii="Arial" w:hAnsi="Arial"/>
        </w:rPr>
        <w:t>1.</w:t>
      </w:r>
      <w:r>
        <w:rPr>
          <w:rFonts w:ascii="Arial" w:hAnsi="Arial"/>
        </w:rPr>
        <w:tab/>
        <w:t>noms de famille, prénoms, noms de naissance,</w:t>
      </w:r>
    </w:p>
    <w:p w14:paraId="6F685DA7"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ind w:left="567" w:hanging="283"/>
        <w:jc w:val="both"/>
        <w:rPr>
          <w:rFonts w:ascii="Arial" w:eastAsia="Times New Roman" w:hAnsi="Arial" w:cs="Arial"/>
        </w:rPr>
      </w:pPr>
      <w:r>
        <w:rPr>
          <w:rFonts w:ascii="Arial" w:hAnsi="Arial"/>
        </w:rPr>
        <w:t>2.</w:t>
      </w:r>
      <w:r>
        <w:rPr>
          <w:rFonts w:ascii="Arial" w:hAnsi="Arial"/>
        </w:rPr>
        <w:tab/>
        <w:t>date de naissance,</w:t>
      </w:r>
    </w:p>
    <w:p w14:paraId="11DDC9CE"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ind w:left="567" w:hanging="283"/>
        <w:jc w:val="both"/>
        <w:rPr>
          <w:rFonts w:ascii="Arial" w:eastAsia="Times New Roman" w:hAnsi="Arial" w:cs="Arial"/>
        </w:rPr>
      </w:pPr>
      <w:r>
        <w:rPr>
          <w:rFonts w:ascii="Arial" w:hAnsi="Arial"/>
        </w:rPr>
        <w:t>3.</w:t>
      </w:r>
      <w:r>
        <w:rPr>
          <w:rFonts w:ascii="Arial" w:hAnsi="Arial"/>
        </w:rPr>
        <w:tab/>
        <w:t>lieu de naissance,</w:t>
      </w:r>
    </w:p>
    <w:p w14:paraId="04939A50"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ind w:left="567" w:hanging="283"/>
        <w:jc w:val="both"/>
        <w:rPr>
          <w:rFonts w:ascii="Arial" w:eastAsia="Times New Roman" w:hAnsi="Arial" w:cs="Arial"/>
        </w:rPr>
      </w:pPr>
      <w:r>
        <w:rPr>
          <w:rFonts w:ascii="Arial" w:hAnsi="Arial"/>
        </w:rPr>
        <w:t>4.</w:t>
      </w:r>
      <w:r>
        <w:rPr>
          <w:rFonts w:ascii="Arial" w:hAnsi="Arial"/>
        </w:rPr>
        <w:tab/>
        <w:t>adresse et</w:t>
      </w:r>
    </w:p>
    <w:p w14:paraId="2D93A490"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ind w:left="567" w:hanging="283"/>
        <w:jc w:val="both"/>
        <w:rPr>
          <w:rFonts w:ascii="Arial" w:eastAsia="Times New Roman" w:hAnsi="Arial" w:cs="Arial"/>
        </w:rPr>
      </w:pPr>
      <w:r>
        <w:rPr>
          <w:rFonts w:ascii="Arial" w:hAnsi="Arial"/>
        </w:rPr>
        <w:t>5.</w:t>
      </w:r>
      <w:r>
        <w:rPr>
          <w:rFonts w:ascii="Arial" w:hAnsi="Arial"/>
        </w:rPr>
        <w:tab/>
        <w:t>les informations indiquant si un joueur est activé au sens des paragraphes 3 et 4.</w:t>
      </w:r>
    </w:p>
    <w:p w14:paraId="141CF651"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L’article 6c(4)(5) et (6) s’applique </w:t>
      </w:r>
      <w:r>
        <w:rPr>
          <w:rFonts w:ascii="Arial" w:hAnsi="Arial"/>
          <w:i/>
        </w:rPr>
        <w:t>mutatis mutandis</w:t>
      </w:r>
      <w:r>
        <w:rPr>
          <w:rFonts w:ascii="Arial" w:hAnsi="Arial"/>
        </w:rPr>
        <w:t>.</w:t>
      </w:r>
    </w:p>
    <w:p w14:paraId="36223846"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(3) Le détenteur de licence ne peut autoriser un joueur à participer à des jeux de hasard publics sur internet que s’il a préalablement transmis les données conformément au paragraphe 2, point 1, alinéas 1 à 4 et l’information que le joueur doit être activé dans le fichier et qu’il n’a pas reçu immédiatement en retour que le joueur est déjà activé dans le fichier. Le détenteur de licence est notifié que le joueur est activé lorsqu’il transmet le message conformément à la phrase 1 et qu’il est indiqué dans le fichier que le joueur est activé. Si le joueur n’est pas activé au moment de la transmission par le détenteur de licence conformément à la phrase 1, une mention indiquant que le joueur est activé est inscrite dans le fichier conformément au paragraphe 2, point 1, alinéa 5. La transmission par le détenteur de licence conformément à la phrase 1 ne peut avoir lieu qu’immédiatement avant le début de la première partie du joueur. Les phrases 1 à 4 ne s’appliquent pas aux jeux de hasard auxquels les joueurs frappés d’interdiction peuvent participer conformément à l’article 8, paragraphe 2. L’autorisation ou la décision générale de l’autorité responsable de la gestion du dossier limite peut préciser que, dans les cas visés à la première phrase, il peut être prévu que, au lieu des données personnelles visées au paragraphe 2, première phrase, points 1 à 4, d’autres données spécifiées par l’autorité qui sont appropriées et nécessaires à l’identification sans ambiguïté du joueur sont transmises.</w:t>
      </w:r>
    </w:p>
    <w:p w14:paraId="59D5ADC5"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(4) L’information selon le paragraphe 2, point 1, alinéa 5, indiquant que le joueur est activé, est supprimée 5 minutes (période d’attente) après que le détenteur de la licence a signalé dans le fichier que le joueur n’a plus besoin d’être activé. La notification selon la phrase 1 ne peut être faite qu’à l’initiative du joueur et dans les cas de la phrase 5. Le détenteur de licence doit donner au joueur la possibilité d’initier la notification selon la phrase 1; elle doit être facilement perceptible par le joueur. La notification selon la phrase 1 doit intervenir immédiatement après que le joueur l’a initiée. Le détenteur de licence doit également notifier </w:t>
      </w:r>
      <w:r>
        <w:rPr>
          <w:rFonts w:ascii="Arial" w:hAnsi="Arial"/>
        </w:rPr>
        <w:lastRenderedPageBreak/>
        <w:t>selon la phrase 1 si plus de 30 minutes se sont écoulées depuis la dernière saisie du joueur.  Après une demande du joueur selon les phrases 2 à 4 ou après une notification selon la phrase 5, le détenteur de licence ne peut autoriser le joueur à continuer à participer à des jeux de hasard publics sur l’internet que dans les conditions du paragraphe 3.</w:t>
      </w:r>
    </w:p>
    <w:p w14:paraId="75783E52"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(5) Les données visées au paragraphe 2 phrase 1 doivent être supprimées après la période d’attente conformément au paragraphe 4, phrase 1. L’évaluation et l’utilisation des données pour un objectif autre que ceux décrits dans les paragraphes précédents ne sont pas autorisées.</w:t>
      </w:r>
    </w:p>
    <w:p w14:paraId="20FBD53D"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(6) Le fichier selon le paragraphe 2 peut être tenu conjointement au fichier de limite selon l’article 6c. Si le fichier est tenu conjointement, le paragraphe 5 s’applique à condition que seules les données visées au paragraphe 2, phrase 1, point 5, soient supprimées immédiatement; sinon, l’article 6c, paragraphe 8, s’applique.</w:t>
      </w:r>
    </w:p>
    <w:p w14:paraId="78304BF7"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(7) Le détenteur de licence doit informer le joueur du temps écoulé depuis la dernière transmission conformément au paragraphe 3, phrase 1. 60 minutes après la dernière transmission conformément au paragraphe 3, phrase 1, une nouvelle participation au jeu n’est possible que si le joueur est informé du temps écoulé et qu’il l’a expressément confirmé qu'il a pris note de la notification. La phrase 2 s’applique par analogie pour la durée de 60 minutes additionnelles à partir de la dernière confirmation selon la phrase 2.</w:t>
      </w:r>
    </w:p>
    <w:p w14:paraId="6FDF3585" w14:textId="77777777" w:rsidR="00001328" w:rsidRDefault="00A4265D">
      <w:pPr>
        <w:spacing w:after="120" w:line="360" w:lineRule="auto"/>
        <w:jc w:val="both"/>
        <w:rPr>
          <w:rFonts w:ascii="Arial" w:hAnsi="Arial" w:cs="Arial"/>
        </w:rPr>
      </w:pPr>
      <w:r>
        <w:rPr>
          <w:rFonts w:ascii="Arial" w:hAnsi="Arial"/>
        </w:rPr>
        <w:t>(8) La connexion au fichier conformément au paragraphe 2 et son utilisation sont payantes pour le détenteur de licence. L’initiation visée au paragraphe 4 par le joueur est gratuite.</w:t>
      </w:r>
    </w:p>
    <w:p w14:paraId="611513A5" w14:textId="77777777" w:rsidR="00001328" w:rsidRDefault="00001328">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lang w:eastAsia="ar-SA"/>
        </w:rPr>
      </w:pPr>
    </w:p>
    <w:p w14:paraId="009F832D"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b/>
        </w:rPr>
      </w:pPr>
      <w:r>
        <w:rPr>
          <w:rFonts w:ascii="Arial" w:hAnsi="Arial"/>
          <w:b/>
        </w:rPr>
        <w:t>Article 6i Détection précoce de la dépendance au jeu; serveur sécurisé; interdiction provisoire</w:t>
      </w:r>
    </w:p>
    <w:p w14:paraId="02780DD9"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(1) Les organisateurs de jeux de casino en ligne, de poker en ligne et de machines à sous virtuelles sur l’internet ainsi que les organisateurs et agents de paris sportifs sur l’internet doivent, à leurs frais, utiliser un système automatisé basé sur des algorithmes s’appuyant sur des connaissances scientifiques pour la détection précoce de la dépendance au jeu et des joueurs à risque; les détails doivent être précisés dans la licence. Dans tous les cas, le système de détection précoce de la dépendance au jeu doit évaluer les données à saisir sur le compte de jeu et doit être mis à jour régulièrement. Il doit être pris en compte dans le concept social selon l’article 6. Dans le concept social, il convient de définir les mesures à prendre si le système de détection précoce de la dépendance au jeu identifie un joueur qui peut être à risque de dépendance au jeu. Les mesures doivent être mises en œuvre.</w:t>
      </w:r>
    </w:p>
    <w:p w14:paraId="52B7EFA9"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(2) Les organisateurs de paris sportifs, de jeux de casino en ligne, de poker en ligne et de machines à sous virtuelles sur l’internet doivent mettre en place et exploiter à leurs frais un système technique, qui saisit correctement toutes les données nécessaires à la conduite de la surveillance des jeux, les enregistre numériquement sans modification et permet un contrôle </w:t>
      </w:r>
      <w:r>
        <w:rPr>
          <w:rFonts w:ascii="Arial" w:hAnsi="Arial"/>
        </w:rPr>
        <w:lastRenderedPageBreak/>
        <w:t>électronique permanent, y compris un accès direct par l’autorité de surveillance compétente. Les données personnelles doivent être anonymisées, sachant que l’autorité de surveillance compétente doit être en mesure de voir quelles procédures enregistrées concernent un même joueur. Les détails doivent être fixés par l’autorité de délivrance des licences dans la licence ou par décret général. En particulier, il est nécessaire de déterminer si l’anonymisation est effectuée par l’organisateur ou par l’autorité de contrôle compétente. En cas d’anonymisation par l’autorité de contrôle, seuls les contrôles du respect de l’interdiction de participation des mineurs et de la portée territoriale de l’autorisation sont autorisés avant l’anonymisation . En cas d’anonymisation par l’organisateur, les données nécessaires à la vérification du respect de l’interdiction de participation des mineurs et de la portée territoriale du permis doivent rester identifiables.</w:t>
      </w:r>
    </w:p>
    <w:p w14:paraId="757203B6"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(3) Dans le cas des paris sportifs, des jeux de casino en ligne, du poker en ligne et des machines à sous virtuelles sur l’internet, un bouton clairement reconnaissable et clairement étiqueté doit être affiché, dont l’activation déclenche une interdiction temporaire immédiate du joueur. Le bouton doit être affiché en permanence partout où la participation au jeu est possible. Les articles 8, paragraphes 1 et 2, 8a, paragraphes 4 et 23 s’appliquent par analogie, le motif de l’interdiction visée à l’article 23, paragraphe 1, points 2 et 7 à indiquer devant être l’actionnement du bouton selon la phrase 1 et l’article 23, paragraphe 1, points 2 et 8 ne s’applique pas. Dans l’entrée prévue à l’article 8a, paragraphe 4, l’heure à laquelle le bouton est cliqué doit également être envoyée et enregistrée dans le fichier de la liste rouge.  L’interdiction est levée sans requête 24 heures après actionnement du bouton. En dérogation à l’article 23, paragraphe 5, les données personnelles saisies doivent être supprimées dans les deux semaines suivant la levée de l’interdiction. Après actionnement du bouton, il n’est pas permis de demander confirmation au joueur. </w:t>
      </w:r>
    </w:p>
    <w:p w14:paraId="3205627E" w14:textId="77777777" w:rsidR="00001328" w:rsidRDefault="00001328">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lang w:eastAsia="ar-SA"/>
        </w:rPr>
      </w:pPr>
    </w:p>
    <w:p w14:paraId="13A03B8A"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b/>
        </w:rPr>
      </w:pPr>
      <w:r>
        <w:rPr>
          <w:rFonts w:ascii="Arial" w:hAnsi="Arial"/>
          <w:b/>
        </w:rPr>
        <w:t>Article 6j Offres gratuites</w:t>
      </w:r>
    </w:p>
    <w:p w14:paraId="0518E6B7"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(1) Les organisateurs et agents de jeux de hasard publics sur l’internet ne peuvent proposer des offres de divertissement gratuites qui, à l’exception de l’absence de mise et de gain, correspondent ou sont reproduites dans des jeux publics organisés ou distribués par eux, qu’aux joueurs qui possèdent auprès d’eux un compte de jeu au sens de l’article 6a. Il est interdit au détenteur de licence de faire profiter de ces offres de divertissement sans compte de jeu. La phrase 2 s’applique mutatis mutandis à la participation des mineurs et des joueurs frappés d’interdiction.</w:t>
      </w:r>
    </w:p>
    <w:p w14:paraId="2757BC32" w14:textId="77777777" w:rsidR="00001328" w:rsidRDefault="00A4265D">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rPr>
      </w:pPr>
      <w:r>
        <w:rPr>
          <w:rFonts w:ascii="Arial" w:hAnsi="Arial"/>
        </w:rPr>
        <w:t xml:space="preserve">(2) Si les organisateurs et les agents proposent des offres de divertissement gratuites au sens du paragraphe 1, phrase 1 qui correspondent à un jeu de hasard public donné sur l’internet ou qui laissent croire, en particulier par le choix du nom ou de la présentation externe qu’elles correspondent à un jeu de machine à sous virtuel donné ou à un jeu de casino en ligne, l’offre de divertissement gratuite doit correspondre au jeu public dans son ensemble à l’exception de </w:t>
      </w:r>
      <w:r>
        <w:rPr>
          <w:rFonts w:ascii="Arial" w:hAnsi="Arial"/>
        </w:rPr>
        <w:lastRenderedPageBreak/>
        <w:t xml:space="preserve">l’absence de mise et de gain, notamment en ce qui concerne la probabilité de gagner et le taux de redistribution. Si des frais ou des contributions comparables doivent être payés par le joueur au détenteur de licence ou à des tiers dans le jeu de hasard public, ils doivent être simulés et indiqués dans le cas d’offres de divertissement gratuites au sens du paragraphe 1, phrase 1. </w:t>
      </w:r>
    </w:p>
    <w:p w14:paraId="6BDB891A" w14:textId="77777777" w:rsidR="00001328" w:rsidRDefault="00001328">
      <w:pPr>
        <w:widowControl w:val="0"/>
        <w:tabs>
          <w:tab w:val="left" w:pos="777"/>
          <w:tab w:val="left" w:pos="1497"/>
          <w:tab w:val="left" w:pos="2183"/>
          <w:tab w:val="left" w:pos="2892"/>
          <w:tab w:val="left" w:pos="3600"/>
          <w:tab w:val="left" w:pos="4309"/>
          <w:tab w:val="left" w:pos="5018"/>
          <w:tab w:val="left" w:pos="5726"/>
          <w:tab w:val="left" w:pos="6435"/>
          <w:tab w:val="right" w:pos="7110"/>
        </w:tabs>
        <w:suppressAutoHyphens/>
        <w:snapToGrid w:val="0"/>
        <w:spacing w:after="120" w:line="360" w:lineRule="auto"/>
        <w:jc w:val="both"/>
        <w:rPr>
          <w:rFonts w:ascii="Arial" w:eastAsia="Times New Roman" w:hAnsi="Arial" w:cs="Arial"/>
          <w:lang w:eastAsia="ar-SA"/>
        </w:rPr>
      </w:pPr>
    </w:p>
    <w:p w14:paraId="60279A76"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7 Information</w:t>
      </w:r>
    </w:p>
    <w:p w14:paraId="6A5D8FFC" w14:textId="77777777" w:rsidR="00001328" w:rsidRDefault="00A4265D">
      <w:pPr>
        <w:autoSpaceDE w:val="0"/>
        <w:autoSpaceDN w:val="0"/>
        <w:adjustRightInd w:val="0"/>
        <w:spacing w:after="120" w:line="360" w:lineRule="auto"/>
        <w:jc w:val="both"/>
        <w:rPr>
          <w:rFonts w:ascii="Arial" w:eastAsia="Times New Roman" w:hAnsi="Arial" w:cs="Arial"/>
        </w:rPr>
      </w:pPr>
      <w:r>
        <w:rPr>
          <w:rFonts w:ascii="Arial" w:hAnsi="Arial"/>
        </w:rPr>
        <w:t>(1) Les organisateurs et agents de jeux de hasard publics sont tenus de mettre à la disposition des joueurs l’ensemble des informations relatives aux jeux avant leur participation, de les sensibiliser aux risques de dépendance liés aux jeux de hasard qu’ils proposent, ainsi que de les informer de l’interdiction de participation frappant les mineurs et de la possibilité de bénéficier d’une assistance et d’une thérapie. Par informations relatives aux jeux, on entend entre autres:</w:t>
      </w:r>
    </w:p>
    <w:p w14:paraId="22699EB3" w14:textId="77777777" w:rsidR="00001328" w:rsidRDefault="00A4265D">
      <w:pPr>
        <w:autoSpaceDE w:val="0"/>
        <w:autoSpaceDN w:val="0"/>
        <w:adjustRightInd w:val="0"/>
        <w:spacing w:after="120" w:line="360" w:lineRule="auto"/>
        <w:ind w:left="567" w:hanging="283"/>
        <w:jc w:val="both"/>
        <w:rPr>
          <w:rFonts w:ascii="Arial" w:eastAsia="Times New Roman" w:hAnsi="Arial" w:cs="Arial"/>
        </w:rPr>
      </w:pPr>
      <w:r>
        <w:rPr>
          <w:rFonts w:ascii="Arial" w:hAnsi="Arial"/>
        </w:rPr>
        <w:t>1. tous les frais engagés lors de la participation,</w:t>
      </w:r>
    </w:p>
    <w:p w14:paraId="48F9FEEF" w14:textId="77777777" w:rsidR="00001328" w:rsidRDefault="00A4265D">
      <w:pPr>
        <w:autoSpaceDE w:val="0"/>
        <w:autoSpaceDN w:val="0"/>
        <w:adjustRightInd w:val="0"/>
        <w:spacing w:after="120" w:line="360" w:lineRule="auto"/>
        <w:ind w:left="567" w:hanging="283"/>
        <w:jc w:val="both"/>
        <w:rPr>
          <w:rFonts w:ascii="Arial" w:eastAsia="Times New Roman" w:hAnsi="Arial" w:cs="Arial"/>
        </w:rPr>
      </w:pPr>
      <w:r>
        <w:rPr>
          <w:rFonts w:ascii="Arial" w:hAnsi="Arial"/>
        </w:rPr>
        <w:t>2. le montant de l’ensemble des gains,</w:t>
      </w:r>
    </w:p>
    <w:p w14:paraId="39B602B9" w14:textId="77777777" w:rsidR="00001328" w:rsidRDefault="00A4265D">
      <w:pPr>
        <w:autoSpaceDE w:val="0"/>
        <w:autoSpaceDN w:val="0"/>
        <w:adjustRightInd w:val="0"/>
        <w:spacing w:after="120" w:line="360" w:lineRule="auto"/>
        <w:ind w:left="567" w:hanging="283"/>
        <w:jc w:val="both"/>
        <w:rPr>
          <w:rFonts w:ascii="Arial" w:eastAsia="Times New Roman" w:hAnsi="Arial" w:cs="Arial"/>
        </w:rPr>
      </w:pPr>
      <w:r>
        <w:rPr>
          <w:rFonts w:ascii="Arial" w:hAnsi="Arial"/>
        </w:rPr>
        <w:t>3. la date et le lieu de publication des gains,</w:t>
      </w:r>
    </w:p>
    <w:p w14:paraId="16933C44" w14:textId="77777777" w:rsidR="00001328" w:rsidRDefault="00A4265D">
      <w:pPr>
        <w:autoSpaceDE w:val="0"/>
        <w:autoSpaceDN w:val="0"/>
        <w:adjustRightInd w:val="0"/>
        <w:spacing w:after="120" w:line="360" w:lineRule="auto"/>
        <w:ind w:left="567" w:hanging="283"/>
        <w:jc w:val="both"/>
        <w:rPr>
          <w:rFonts w:ascii="Arial" w:eastAsia="Times New Roman" w:hAnsi="Arial" w:cs="Arial"/>
        </w:rPr>
      </w:pPr>
      <w:r>
        <w:rPr>
          <w:rFonts w:ascii="Arial" w:hAnsi="Arial"/>
        </w:rPr>
        <w:t>4. le pourcentage des versements pour les gains de la mise en jeu (taux de redistribution),</w:t>
      </w:r>
    </w:p>
    <w:p w14:paraId="297BB400" w14:textId="77777777" w:rsidR="00001328" w:rsidRDefault="00A4265D">
      <w:pPr>
        <w:autoSpaceDE w:val="0"/>
        <w:autoSpaceDN w:val="0"/>
        <w:adjustRightInd w:val="0"/>
        <w:spacing w:after="120" w:line="360" w:lineRule="auto"/>
        <w:ind w:left="567" w:hanging="283"/>
        <w:jc w:val="both"/>
        <w:rPr>
          <w:rFonts w:ascii="Arial" w:eastAsia="Times New Roman" w:hAnsi="Arial" w:cs="Arial"/>
        </w:rPr>
      </w:pPr>
      <w:r>
        <w:rPr>
          <w:rFonts w:ascii="Arial" w:hAnsi="Arial"/>
        </w:rPr>
        <w:t xml:space="preserve">5. les informations relatives aux probabilités de gain et de perte, </w:t>
      </w:r>
    </w:p>
    <w:p w14:paraId="09B53FCA" w14:textId="77777777" w:rsidR="00001328" w:rsidRDefault="00A4265D">
      <w:pPr>
        <w:autoSpaceDE w:val="0"/>
        <w:autoSpaceDN w:val="0"/>
        <w:adjustRightInd w:val="0"/>
        <w:spacing w:after="120" w:line="360" w:lineRule="auto"/>
        <w:ind w:left="567" w:hanging="283"/>
        <w:jc w:val="both"/>
        <w:rPr>
          <w:rFonts w:ascii="Arial" w:eastAsia="Times New Roman" w:hAnsi="Arial" w:cs="Arial"/>
        </w:rPr>
      </w:pPr>
      <w:r>
        <w:rPr>
          <w:rFonts w:ascii="Arial" w:hAnsi="Arial"/>
        </w:rPr>
        <w:t>6. l’heure limite de participation,</w:t>
      </w:r>
    </w:p>
    <w:p w14:paraId="095CEF6B" w14:textId="77777777" w:rsidR="00001328" w:rsidRDefault="00A4265D">
      <w:pPr>
        <w:autoSpaceDE w:val="0"/>
        <w:autoSpaceDN w:val="0"/>
        <w:adjustRightInd w:val="0"/>
        <w:spacing w:after="120" w:line="360" w:lineRule="auto"/>
        <w:ind w:left="567" w:hanging="283"/>
        <w:jc w:val="both"/>
        <w:rPr>
          <w:rFonts w:ascii="Arial" w:eastAsia="Times New Roman" w:hAnsi="Arial" w:cs="Arial"/>
        </w:rPr>
      </w:pPr>
      <w:r>
        <w:rPr>
          <w:rFonts w:ascii="Arial" w:hAnsi="Arial"/>
        </w:rPr>
        <w:t>7. la procédure permettant de déterminer le gagnant, notamment les informations relatives au mécanisme aléatoire permettant de générer des résultats de jeu tributaires du hasard,</w:t>
      </w:r>
    </w:p>
    <w:p w14:paraId="4D5996D7" w14:textId="77777777" w:rsidR="00001328" w:rsidRDefault="00A4265D">
      <w:pPr>
        <w:autoSpaceDE w:val="0"/>
        <w:autoSpaceDN w:val="0"/>
        <w:adjustRightInd w:val="0"/>
        <w:spacing w:after="120" w:line="360" w:lineRule="auto"/>
        <w:ind w:left="567" w:hanging="283"/>
        <w:jc w:val="both"/>
        <w:rPr>
          <w:rFonts w:ascii="Arial" w:eastAsia="Times New Roman" w:hAnsi="Arial" w:cs="Arial"/>
        </w:rPr>
      </w:pPr>
      <w:r>
        <w:rPr>
          <w:rFonts w:ascii="Arial" w:hAnsi="Arial"/>
        </w:rPr>
        <w:t>8. la manière dont les gains sont répartis entre les gagnants,</w:t>
      </w:r>
    </w:p>
    <w:p w14:paraId="00FC8E13" w14:textId="77777777" w:rsidR="00001328" w:rsidRDefault="00A4265D">
      <w:pPr>
        <w:autoSpaceDE w:val="0"/>
        <w:autoSpaceDN w:val="0"/>
        <w:adjustRightInd w:val="0"/>
        <w:spacing w:after="120" w:line="360" w:lineRule="auto"/>
        <w:ind w:left="567" w:hanging="283"/>
        <w:jc w:val="both"/>
        <w:rPr>
          <w:rFonts w:ascii="Arial" w:eastAsia="Times New Roman" w:hAnsi="Arial" w:cs="Arial"/>
        </w:rPr>
      </w:pPr>
      <w:r>
        <w:rPr>
          <w:rFonts w:ascii="Arial" w:hAnsi="Arial"/>
        </w:rPr>
        <w:t>9. le délai de forclusion indiquant la date à laquelle les gagnants doivent réclamer leur gain,</w:t>
      </w:r>
    </w:p>
    <w:p w14:paraId="73E32BD1" w14:textId="77777777" w:rsidR="00001328" w:rsidRDefault="00A4265D">
      <w:pPr>
        <w:autoSpaceDE w:val="0"/>
        <w:autoSpaceDN w:val="0"/>
        <w:adjustRightInd w:val="0"/>
        <w:spacing w:after="120" w:line="360" w:lineRule="auto"/>
        <w:ind w:left="567" w:hanging="283"/>
        <w:jc w:val="both"/>
        <w:rPr>
          <w:rFonts w:ascii="Arial" w:eastAsia="Times New Roman" w:hAnsi="Arial" w:cs="Arial"/>
        </w:rPr>
      </w:pPr>
      <w:r>
        <w:rPr>
          <w:rFonts w:ascii="Arial" w:hAnsi="Arial"/>
        </w:rPr>
        <w:t>10. le nom du détenteur de licence ainsi que ses coordonnées (adresse, courriel, téléphone),</w:t>
      </w:r>
    </w:p>
    <w:p w14:paraId="6D14E49D" w14:textId="77777777" w:rsidR="00001328" w:rsidRDefault="00A4265D">
      <w:pPr>
        <w:autoSpaceDE w:val="0"/>
        <w:autoSpaceDN w:val="0"/>
        <w:adjustRightInd w:val="0"/>
        <w:spacing w:after="120" w:line="360" w:lineRule="auto"/>
        <w:ind w:left="567" w:hanging="283"/>
        <w:jc w:val="both"/>
        <w:rPr>
          <w:rFonts w:ascii="Arial" w:eastAsia="Times New Roman" w:hAnsi="Arial" w:cs="Arial"/>
        </w:rPr>
      </w:pPr>
      <w:r>
        <w:rPr>
          <w:rFonts w:ascii="Arial" w:hAnsi="Arial"/>
        </w:rPr>
        <w:t>11. le numéro d’immatriculation au registre du commerce (si disponible),</w:t>
      </w:r>
    </w:p>
    <w:p w14:paraId="559351CC" w14:textId="77777777" w:rsidR="00001328" w:rsidRDefault="00A4265D">
      <w:pPr>
        <w:autoSpaceDE w:val="0"/>
        <w:autoSpaceDN w:val="0"/>
        <w:adjustRightInd w:val="0"/>
        <w:spacing w:after="120" w:line="360" w:lineRule="auto"/>
        <w:ind w:left="567" w:hanging="283"/>
        <w:jc w:val="both"/>
        <w:rPr>
          <w:rFonts w:ascii="Arial" w:eastAsia="Times New Roman" w:hAnsi="Arial" w:cs="Arial"/>
        </w:rPr>
      </w:pPr>
      <w:r>
        <w:rPr>
          <w:rFonts w:ascii="Arial" w:hAnsi="Arial"/>
        </w:rPr>
        <w:t>12. comment le joueur peut faire une réclamation, et</w:t>
      </w:r>
    </w:p>
    <w:p w14:paraId="0FB5D535" w14:textId="77777777" w:rsidR="00001328" w:rsidRDefault="00A4265D">
      <w:pPr>
        <w:autoSpaceDE w:val="0"/>
        <w:autoSpaceDN w:val="0"/>
        <w:adjustRightInd w:val="0"/>
        <w:spacing w:after="120" w:line="360" w:lineRule="auto"/>
        <w:ind w:left="567" w:hanging="283"/>
        <w:jc w:val="both"/>
        <w:rPr>
          <w:rFonts w:ascii="Arial" w:eastAsia="Times New Roman" w:hAnsi="Arial" w:cs="Arial"/>
        </w:rPr>
      </w:pPr>
      <w:r>
        <w:rPr>
          <w:rFonts w:ascii="Arial" w:hAnsi="Arial"/>
        </w:rPr>
        <w:t>13. la date de délivrance de la licence.</w:t>
      </w:r>
    </w:p>
    <w:p w14:paraId="4DC0FA6A" w14:textId="77777777" w:rsidR="00001328" w:rsidRDefault="00A4265D">
      <w:pPr>
        <w:spacing w:after="120" w:line="360" w:lineRule="auto"/>
        <w:jc w:val="both"/>
        <w:rPr>
          <w:rFonts w:ascii="Arial" w:eastAsia="Times New Roman" w:hAnsi="Arial" w:cs="Arial"/>
        </w:rPr>
      </w:pPr>
      <w:r>
        <w:rPr>
          <w:rFonts w:ascii="Arial" w:hAnsi="Arial"/>
        </w:rPr>
        <w:t>Une information concernant les gains maximaux doit être accompagnée d’une explication sur la probabilité de gain et de perte.</w:t>
      </w:r>
      <w:r>
        <w:rPr>
          <w:rFonts w:ascii="Times New Roman" w:hAnsi="Times New Roman"/>
          <w:sz w:val="24"/>
        </w:rPr>
        <w:t xml:space="preserve"> </w:t>
      </w:r>
      <w:r>
        <w:rPr>
          <w:rFonts w:ascii="Arial" w:hAnsi="Arial"/>
        </w:rPr>
        <w:t>Les joueurs et les autorités doivent pouvoir accéder facilement à ces informations.</w:t>
      </w:r>
    </w:p>
    <w:p w14:paraId="7F539C21" w14:textId="77777777" w:rsidR="00001328" w:rsidRDefault="00A4265D">
      <w:pPr>
        <w:spacing w:after="120" w:line="360" w:lineRule="auto"/>
        <w:jc w:val="both"/>
        <w:rPr>
          <w:rFonts w:ascii="Arial" w:hAnsi="Arial" w:cs="Arial"/>
        </w:rPr>
      </w:pPr>
      <w:r>
        <w:rPr>
          <w:rFonts w:ascii="Arial" w:hAnsi="Arial"/>
        </w:rPr>
        <w:t xml:space="preserve">(2) Les lots, billets, reçus de jeu et justificatifs comparables doivent contenir des informations sur le risque de dépendance lié au jeu de hasard en question et les aides possibles; dans le </w:t>
      </w:r>
      <w:r>
        <w:rPr>
          <w:rFonts w:ascii="Arial" w:hAnsi="Arial"/>
        </w:rPr>
        <w:lastRenderedPageBreak/>
        <w:t>cas des jeux de hasard proposés sur l’internet, un lien vers les offres correspondantes est présent conformément à l’article 6, paragraphe 2, phrase 3, point 5.</w:t>
      </w:r>
    </w:p>
    <w:p w14:paraId="4599A635" w14:textId="77777777" w:rsidR="00001328" w:rsidRDefault="00001328">
      <w:pPr>
        <w:spacing w:after="120" w:line="360" w:lineRule="auto"/>
        <w:rPr>
          <w:rFonts w:ascii="Arial" w:hAnsi="Arial" w:cs="Arial"/>
        </w:rPr>
      </w:pPr>
    </w:p>
    <w:p w14:paraId="328A21C9" w14:textId="77777777" w:rsidR="00001328" w:rsidRDefault="00A4265D">
      <w:pPr>
        <w:keepNext/>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8 Système d’interdiction des joueurs; consultation du système d’interdiction</w:t>
      </w:r>
    </w:p>
    <w:p w14:paraId="783EF063"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(1) Un système central transversal d’interdiction (article 23) est mis en place aux fins de la protection des joueurs et de la lutte contre la dépendance aux jeux de hasard.</w:t>
      </w:r>
    </w:p>
    <w:p w14:paraId="2198F409"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(2) Les joueurs frappés d’interdiction ne peuvent pas prendre part à des jeux de hasard publics. Est exclue de cette interdiction la participation à des loteries qui ne se tiennent pas plus de deux fois par semaine, à des loteries sous forme d’une épargne à primes et à des paris hippiques qui sont proposés par des associations qui exercent l’activité de totalisateur conformément à l’article premier de la loi sur les paris et les loteries ou sur un hippodrome national. Les loteries instantanées sur l’internet ne sont pas considérées comme des loteries au sens de la phrase 2.</w:t>
      </w:r>
    </w:p>
    <w:p w14:paraId="03D6D0AB"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(3) Les organisateurs et les agents de jeux de hasard non accessibles aux joueurs frappés d’interdiction sont tenus d’identifier les personnes souhaitant jouer en vérifiant une pièce d’identité officielle ou équivalent et en la comparant avec la liste rouge conformément à l'article 23. Dans le cas des jeux de hasard sur l’internet, l’identification est effectuée avant le recoupement à l’aide de procédés techniques adaptés. Les organisateurs et les agents de jeux de hasard doivent s’assurer que les joueurs frappés d’interdiction ne participent pas aux jeux de hasard. Dans le cas des jeux de hasard sur l’internet, le recoupement doit être effectué au moment où le fournisseur doit faire la transmission conformément à l’article 6h, paragraphe 3, phrase 1. Dans le domaine terrestre, la vérification doit se faire dans les bureaux de placement de paris, dans les arcades et dans les maisons de jeu à chaque entrée et également avant le premier jeu lors d’un séjour dans la salle de jeux concernée.</w:t>
      </w:r>
    </w:p>
    <w:p w14:paraId="630FE9F7"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hAnsi="Arial" w:cs="Arial"/>
        </w:rPr>
      </w:pPr>
      <w:r>
        <w:rPr>
          <w:rFonts w:ascii="Arial" w:hAnsi="Arial"/>
        </w:rPr>
        <w:t>(4) Les organisateurs et les agents de jeux de hasard non accessibles aux joueurs frappés d’interdiction ne doivent pas les inciter à demander une levée de l’interdiction. Aucun avantage tel que des bonus ou des remises ne peut être accordé aux joueurs dont l’interdiction a été levée.</w:t>
      </w:r>
    </w:p>
    <w:p w14:paraId="748F8B42" w14:textId="77777777" w:rsidR="00001328" w:rsidRDefault="00001328">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lang w:eastAsia="ar-SA"/>
        </w:rPr>
      </w:pPr>
    </w:p>
    <w:p w14:paraId="41DE5DB6"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8a Inscription et durée de l’interdiction</w:t>
      </w:r>
    </w:p>
    <w:p w14:paraId="0ABDD6FA"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 xml:space="preserve">(1) Les organisateurs et les agents de jeux de hasard non accessibles aux joueurs frappés d’interdiction interdisent les personnes qui en font la demande (auto-interdiction) ou celles dont ils savent, en raison d’informations fournies par leur personnel ou par des tiers, ou dont ils doivent supposer, en raison d’autres indices concrets, qu’elles sont exposées à un risque de dépendance au jeu ou qu’elles sont surendettées, qu’elles ne remplissent pas leurs obligations financières ou qu’elles misent des enjeux disproportionnés par rapport à leurs revenus ou à </w:t>
      </w:r>
      <w:r>
        <w:rPr>
          <w:rFonts w:ascii="Arial" w:hAnsi="Arial"/>
        </w:rPr>
        <w:lastRenderedPageBreak/>
        <w:t>leur patrimoine (interdiction par un tiers).</w:t>
      </w:r>
    </w:p>
    <w:p w14:paraId="2FECEFB7"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(2) Une demande d’auto-interdiction ou d’interdiction par un tiers peut également être introduite auprès de l’organisme chargé de la gestion de la liste rouge.</w:t>
      </w:r>
    </w:p>
    <w:p w14:paraId="2FB5107B"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(3) Avant la saisie d’une interdiction par un tiers, le joueur doit avoir la possibilité de présenter ses observations. L’opportunité et toute observation doivent être documentées.</w:t>
      </w:r>
    </w:p>
    <w:p w14:paraId="5045FFB8"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(4) Les organisateurs, les agents et, dans le cas du paragraphe 2, l’organisme chargé de la gestion de la liste rouge doivent saisir les données spécifiées à l’article 23, paragraphe 1 dans un fichier d’interdiction (liste rouge). La saisie doit intervenir même si toutes les données n’ont pas pu être collectées.</w:t>
      </w:r>
    </w:p>
    <w:p w14:paraId="28702929"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(5) La personne qui saisit l’interdiction informe immédiatement par écrit la personne concernée qu’une interdiction a été saisie à son encontre et l’informe de la procédure à suivre pour mettre fin à l’interdiction.</w:t>
      </w:r>
    </w:p>
    <w:p w14:paraId="71E7D246"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 xml:space="preserve">(6) L’interdiction dure au moins un an, à moins que la personne qui demande sa propre interdiction demande une durée différente qui ne peut toutefois être inférieure à trois mois. Si la durée demandée est inférieure à trois mois, il convient de saisir trois mois. </w:t>
      </w:r>
      <w:r>
        <w:rPr>
          <w:rFonts w:ascii="Arial" w:hAnsi="Arial"/>
          <w:strike/>
        </w:rPr>
        <w:t xml:space="preserve"> </w:t>
      </w:r>
    </w:p>
    <w:p w14:paraId="657AB31A"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(7) Les personnes liées par le paragraphe 1 doivent conserver les demandes d’auto-interdiction et les documents afférents à une interdiction par un tiers. En cas de cessation d’activité, de fusion, de faillite ou pour toute autre raison empêchant la conservation de ces documents par la personne ordonnant l’interdiction au sens du paragraphe 1, elle doit remettre tous les documents relatifs à l’interdiction à l’autorité chargée de la tenue de la liste rouge. S’il existe un successeur légal, l’autorité chargée de la tenue de la liste rouge peut lui attribuer les interdictions et lui remettre les documents associés pour conservation sous sa responsabilité.</w:t>
      </w:r>
    </w:p>
    <w:p w14:paraId="2F35C709" w14:textId="77777777" w:rsidR="00001328" w:rsidRDefault="00001328">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lang w:eastAsia="ar-SA"/>
        </w:rPr>
      </w:pPr>
    </w:p>
    <w:p w14:paraId="3D216EE6"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8b Levée de l’interdiction</w:t>
      </w:r>
    </w:p>
    <w:p w14:paraId="46A84419"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(1) Une levée de l’interdiction est possible uniquement sur demande écrite de la personne concernée.  Cela s’applique également si un délai précis a été indiqué lors de la demande d’interdiction pour sa durée. La demande peut être introduite au plus tôt après la période minimale d’interdiction conformément à l’article 8a, paragraphe 6. Si aucune demande n’est faite conformément à la phrase 1, l’interdiction n’est pas levée.</w:t>
      </w:r>
    </w:p>
    <w:p w14:paraId="4049450E"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(2) La demande de levée de l’interdiction doit être introduite auprès de l’organisme chargé de la gestion de la liste rouge. Il suffit de transmettre la demande par l’intermédiaire d’un organisateur ou d’un agent.</w:t>
      </w:r>
    </w:p>
    <w:p w14:paraId="55EAF8FC"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 xml:space="preserve">(3) En cas de demande de levée d’une auto-interdiction ou d’une interdiction par un tiers, l’autorité compétente chargée de la gestion de la liste rouge procède à la levée de l’interdiction par une mention idoine dans un fichier d’interdiction (liste rouge). L’interdiction sera levée après inscription, mais au plus tôt au bout d’une semaine en cas d’auto-interdiction et d’un </w:t>
      </w:r>
      <w:r>
        <w:rPr>
          <w:rFonts w:ascii="Arial" w:hAnsi="Arial"/>
        </w:rPr>
        <w:lastRenderedPageBreak/>
        <w:t>mois après réception de la demande par l’autorité en cas d’interdiction par un tiers. Le requérant doit être informé de la levée de l’interdiction.</w:t>
      </w:r>
    </w:p>
    <w:p w14:paraId="325EBFA7"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(4) En cas demande de levée d’une interdiction par un tiers, l’autorité compétente chargée de la gestion de la liste rouge doit dès réception informer l’organisateur ou l’agent qui a procédé à l’inscription de l’interdiction qu’une demande a été reçue. Si l’interdiction par un tiers est basée sur une notification de tiers, ils doivent également être informés de la demande et de la possibilité de soumettre une autre demande d’interdiction.</w:t>
      </w:r>
    </w:p>
    <w:p w14:paraId="77EB36EA" w14:textId="77777777" w:rsidR="00001328" w:rsidRDefault="00001328">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lang w:eastAsia="ar-SA"/>
        </w:rPr>
      </w:pPr>
    </w:p>
    <w:p w14:paraId="15A6B9A1" w14:textId="77777777" w:rsidR="00001328" w:rsidRDefault="00A4265D">
      <w:pPr>
        <w:keepNext/>
        <w:spacing w:after="120" w:line="360" w:lineRule="auto"/>
        <w:rPr>
          <w:rFonts w:ascii="Arial" w:hAnsi="Arial" w:cs="Arial"/>
          <w:b/>
        </w:rPr>
      </w:pPr>
      <w:r>
        <w:rPr>
          <w:rFonts w:ascii="Arial" w:hAnsi="Arial"/>
          <w:b/>
        </w:rPr>
        <w:t>Article 8c Coûts pour l’utilisation du système d’interdiction</w:t>
      </w:r>
    </w:p>
    <w:p w14:paraId="382C0A77" w14:textId="77777777" w:rsidR="00001328" w:rsidRDefault="00A4265D">
      <w:pPr>
        <w:spacing w:after="120" w:line="360" w:lineRule="auto"/>
        <w:jc w:val="both"/>
        <w:rPr>
          <w:rFonts w:ascii="Arial" w:hAnsi="Arial" w:cs="Arial"/>
        </w:rPr>
      </w:pPr>
      <w:r>
        <w:rPr>
          <w:rFonts w:ascii="Arial" w:hAnsi="Arial"/>
        </w:rPr>
        <w:t>La connexion au système d’interdiction et son utilisation sont payantes pour ceux qui sont liés par l’article 8, paragraphe 3. Le dépôt d’une demande d’interdiction et d’une demande de levée de l’interdiction est gratuit.</w:t>
      </w:r>
    </w:p>
    <w:p w14:paraId="0C9A3AD2" w14:textId="77777777" w:rsidR="00001328" w:rsidRDefault="00001328">
      <w:pPr>
        <w:spacing w:after="120" w:line="360" w:lineRule="auto"/>
        <w:rPr>
          <w:rFonts w:ascii="Arial" w:hAnsi="Arial" w:cs="Arial"/>
        </w:rPr>
      </w:pPr>
    </w:p>
    <w:p w14:paraId="13CF37A0" w14:textId="77777777" w:rsidR="00001328" w:rsidRDefault="00A4265D">
      <w:pPr>
        <w:spacing w:after="120" w:line="360" w:lineRule="auto"/>
        <w:jc w:val="both"/>
        <w:rPr>
          <w:rFonts w:ascii="Arial" w:hAnsi="Arial" w:cs="Arial"/>
          <w:b/>
        </w:rPr>
      </w:pPr>
      <w:r>
        <w:rPr>
          <w:rFonts w:ascii="Arial" w:hAnsi="Arial"/>
          <w:b/>
        </w:rPr>
        <w:t>Article 8d Transfert des données d’autres fichiers d’interdiction dans le système national transversal d’interdiction</w:t>
      </w:r>
    </w:p>
    <w:p w14:paraId="0F95A47C" w14:textId="77777777" w:rsidR="00001328" w:rsidRDefault="00A4265D">
      <w:pPr>
        <w:spacing w:after="120" w:line="360" w:lineRule="auto"/>
        <w:jc w:val="both"/>
        <w:rPr>
          <w:rFonts w:ascii="Arial" w:hAnsi="Arial" w:cs="Arial"/>
        </w:rPr>
      </w:pPr>
      <w:r>
        <w:rPr>
          <w:rFonts w:ascii="Arial" w:hAnsi="Arial"/>
        </w:rPr>
        <w:t>(1) Les données du système général d’interdiction créé par le premier traité d’État de modification du traité d’État relatif aux jeux de hasard et la liste rouge des arcades de la Hesse sont regroupées dans le système national transversal d’interdiction. Les listes rouges des arcades d’autres Länder peuvent également être transférées.</w:t>
      </w:r>
    </w:p>
    <w:p w14:paraId="7AD3D4BA" w14:textId="77777777" w:rsidR="00001328" w:rsidRDefault="00A4265D">
      <w:pPr>
        <w:spacing w:after="120" w:line="360" w:lineRule="auto"/>
        <w:jc w:val="both"/>
        <w:rPr>
          <w:rFonts w:ascii="Arial" w:hAnsi="Arial" w:cs="Arial"/>
        </w:rPr>
      </w:pPr>
      <w:r>
        <w:rPr>
          <w:rFonts w:ascii="Arial" w:hAnsi="Arial"/>
        </w:rPr>
        <w:t>(2) Les parties concernées en seront informées par avis public de l’organe antérieurement responsable du fichier transféré.</w:t>
      </w:r>
    </w:p>
    <w:p w14:paraId="2B94DFCE" w14:textId="77777777" w:rsidR="00001328" w:rsidRDefault="00A4265D">
      <w:pPr>
        <w:spacing w:after="120" w:line="360" w:lineRule="auto"/>
        <w:jc w:val="both"/>
        <w:rPr>
          <w:rFonts w:ascii="Arial" w:hAnsi="Arial" w:cs="Arial"/>
        </w:rPr>
      </w:pPr>
      <w:r>
        <w:rPr>
          <w:rFonts w:ascii="Arial" w:hAnsi="Arial"/>
        </w:rPr>
        <w:t>(3) Si les systèmes d’interdiction transférés prévoient des règles de levée de l’interdiction différentes de celles visées à l’article 8b, elles deviennent sans objet une fois le transfert terminé. La levée de l’interdiction est basée exclusivement sur l’article 8b.</w:t>
      </w:r>
    </w:p>
    <w:p w14:paraId="095A9B9C" w14:textId="77777777" w:rsidR="00001328" w:rsidRDefault="00001328">
      <w:pPr>
        <w:spacing w:after="120" w:line="360" w:lineRule="auto"/>
        <w:rPr>
          <w:rFonts w:ascii="Arial" w:hAnsi="Arial" w:cs="Arial"/>
        </w:rPr>
      </w:pPr>
    </w:p>
    <w:p w14:paraId="741064DE"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center"/>
        <w:rPr>
          <w:rFonts w:ascii="Arial" w:eastAsia="Times New Roman" w:hAnsi="Arial" w:cs="Arial"/>
          <w:b/>
        </w:rPr>
      </w:pPr>
      <w:r>
        <w:rPr>
          <w:rFonts w:ascii="Arial" w:hAnsi="Arial"/>
          <w:b/>
        </w:rPr>
        <w:t>Deuxième section</w:t>
      </w:r>
      <w:r>
        <w:rPr>
          <w:rFonts w:ascii="Arial" w:hAnsi="Arial"/>
          <w:b/>
        </w:rPr>
        <w:br/>
        <w:t>Missions de l’État</w:t>
      </w:r>
    </w:p>
    <w:p w14:paraId="33FA9781"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9 Surveillance des jeux de hasard</w:t>
      </w:r>
    </w:p>
    <w:p w14:paraId="2F92F745"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(1) La surveillance des jeux de hasard a pour mission de contrôler le respect des obligations juridico-publiques fondées sur le présent traité d’État et vise à faire cesser le jeu de hasard non autorisé ainsi que la publicité correspondante. L’autorité compétente pour tous les Länder ou dans chaque Land peut ordonner les dispositions nécessaires au cas par cas. Sans préjudice des autres mesures prévues par le présent traité d’État et d’autres dispositions légales, notamment, elle peut en particulier</w:t>
      </w:r>
    </w:p>
    <w:p w14:paraId="3424EFE1"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567" w:hanging="283"/>
        <w:jc w:val="both"/>
        <w:rPr>
          <w:rFonts w:ascii="Arial" w:eastAsia="Times New Roman" w:hAnsi="Arial" w:cs="Arial"/>
        </w:rPr>
      </w:pPr>
      <w:r>
        <w:rPr>
          <w:rFonts w:ascii="Arial" w:hAnsi="Arial"/>
        </w:rPr>
        <w:t>1.</w:t>
      </w:r>
      <w:r>
        <w:rPr>
          <w:rFonts w:ascii="Arial" w:hAnsi="Arial"/>
        </w:rPr>
        <w:tab/>
        <w:t xml:space="preserve">à tout moment demander des informations et la présentation de tous les documents, </w:t>
      </w:r>
      <w:r>
        <w:rPr>
          <w:rFonts w:ascii="Arial" w:hAnsi="Arial"/>
        </w:rPr>
        <w:lastRenderedPageBreak/>
        <w:t>données et preuves nécessaires à l’examen dans le cadre de la phrase 1, ainsi qu’avoir accès aux locaux et terrains commerciaux où ont lieu l’organisation et la transmission de jeux de hasard publics durant les heures d’ouverture et de travail habituelles aux fins de cette inspection,</w:t>
      </w:r>
    </w:p>
    <w:p w14:paraId="08134E1A"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567" w:hanging="283"/>
        <w:jc w:val="both"/>
        <w:rPr>
          <w:rFonts w:ascii="Arial" w:eastAsia="Times New Roman" w:hAnsi="Arial" w:cs="Arial"/>
        </w:rPr>
      </w:pPr>
      <w:r>
        <w:rPr>
          <w:rFonts w:ascii="Arial" w:hAnsi="Arial"/>
        </w:rPr>
        <w:t>2. définir des exigences applicables à l’organisation et au déroulement des jeux de hasard publics ainsi qu’à la distribution des jeux de hasard publics, à la publicité correspondante et au développement et à la transposition du concept social,</w:t>
      </w:r>
      <w:r>
        <w:rPr>
          <w:rFonts w:ascii="Arial" w:hAnsi="Arial"/>
        </w:rPr>
        <w:tab/>
      </w:r>
    </w:p>
    <w:p w14:paraId="67A7FA3C"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567" w:hanging="283"/>
        <w:jc w:val="both"/>
        <w:rPr>
          <w:rFonts w:ascii="Arial" w:eastAsia="Times New Roman" w:hAnsi="Arial" w:cs="Arial"/>
        </w:rPr>
      </w:pPr>
      <w:r>
        <w:rPr>
          <w:rFonts w:ascii="Arial" w:hAnsi="Arial"/>
        </w:rPr>
        <w:t>3. interdire l’organisation, le déroulement et la distribution des jeux de hasard non autorisés ainsi que la publicité correspondante,</w:t>
      </w:r>
      <w:r>
        <w:rPr>
          <w:rFonts w:ascii="Arial" w:hAnsi="Arial"/>
        </w:rPr>
        <w:tab/>
      </w:r>
    </w:p>
    <w:p w14:paraId="3237B1E1"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567" w:hanging="283"/>
        <w:jc w:val="both"/>
        <w:rPr>
          <w:rFonts w:ascii="Arial" w:eastAsia="Times New Roman" w:hAnsi="Arial" w:cs="Arial"/>
        </w:rPr>
      </w:pPr>
      <w:r>
        <w:rPr>
          <w:rFonts w:ascii="Arial" w:hAnsi="Arial"/>
        </w:rPr>
        <w:t>4.</w:t>
      </w:r>
      <w:r>
        <w:rPr>
          <w:rFonts w:ascii="Arial" w:hAnsi="Arial"/>
        </w:rPr>
        <w:tab/>
        <w:t xml:space="preserve">interdire aux parties prenantes à l’échange de paiements, notamment aux établissements de crédit et de services financiers, après la publication préalable des offres de jeux de hasard non autorisées, de participer aux paiements pour les jeux de hasard non autorisés et aux versements provenant des jeux de hasard non autorisés, sans qu’une intervention préalable de l’organisateur ou de l’agent de jeux de hasard par la surveillance des jeux de hasard soit nécessaire; il en va de même pour les cas visés à l’article 4, paragraphe 1, phrase 3; et </w:t>
      </w:r>
    </w:p>
    <w:p w14:paraId="1DAFD5AA" w14:textId="3E2BEA32"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567" w:hanging="283"/>
        <w:jc w:val="both"/>
        <w:rPr>
          <w:rFonts w:ascii="Arial" w:eastAsia="Times New Roman" w:hAnsi="Arial" w:cs="Arial"/>
        </w:rPr>
      </w:pPr>
      <w:r>
        <w:rPr>
          <w:rFonts w:ascii="Arial" w:hAnsi="Arial"/>
        </w:rPr>
        <w:t>5. après publication préalable des offres de jeux de hasard non autorisées, prendre des mesures pour interdire ces offres à l’encontre des fournisseurs responsables au sens des articles 8 à 10 de la loi sur les télémédias, en particulier les fournisseurs d’accès et les bureaux d’enregistrement, s’il s’avère impossible ou peu probant de prendre des mesures contre un organisateur ou un agent de ce jeu de hasard;</w:t>
      </w:r>
      <w:r>
        <w:rPr>
          <w:rFonts w:ascii="Arial" w:hAnsi="Arial"/>
        </w:rPr>
        <w:tab/>
        <w:t xml:space="preserve"> ces</w:t>
      </w:r>
      <w:r w:rsidR="007737D1">
        <w:rPr>
          <w:rFonts w:ascii="Arial" w:hAnsi="Arial"/>
        </w:rPr>
        <w:t xml:space="preserve"> </w:t>
      </w:r>
      <w:r>
        <w:rPr>
          <w:rFonts w:ascii="Arial" w:hAnsi="Arial"/>
        </w:rPr>
        <w:t xml:space="preserve">mesures peuvent également être prises si l’offre de jeux de hasard illégale est inextricablement liée à d’autres contenus. </w:t>
      </w:r>
    </w:p>
    <w:p w14:paraId="7DA494D3"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 xml:space="preserve">Le droit fondamental au secret des télécommunications (article 10, paragraphe 1, de la Loi fondamentale) est restreint par le règlement visé à la phrase 3, point 5. Les opérations de télécommunications visées à l’article 88, paragraphe 3, phrase 3, de la loi sur les télécommunications sont notamment concernées par cette disposition. </w:t>
      </w:r>
    </w:p>
    <w:p w14:paraId="2DEE5A17"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(1a) Dès lors que l’organisation ou la distribution de jeux de hasard non autorisés a lieu dans plusieurs Länder, ou que la publicité relative à ces jeux est assurée dans plusieurs Länder, ou qu’il est porté atteinte, de quelque manière que ce soit, aux obligations de service public au sens de la phrase 1, chaque Land concerné peut habiliter l’autorité compétente d’un autre Land à adopter et à faire appliquer les mesures nécessaires au cas par cas, avec effet également dans le Land concerné. La mise à exécution de ces mesures se fait conformément au droit du Land où se trouve l’autorité ainsi habilitée.</w:t>
      </w:r>
    </w:p>
    <w:p w14:paraId="2C02EC83"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napToGrid w:val="0"/>
        <w:spacing w:after="120" w:line="360" w:lineRule="auto"/>
        <w:jc w:val="both"/>
        <w:rPr>
          <w:rFonts w:ascii="Arial" w:eastAsia="Times New Roman" w:hAnsi="Arial" w:cs="Arial"/>
        </w:rPr>
      </w:pPr>
      <w:r>
        <w:rPr>
          <w:rFonts w:ascii="Arial" w:hAnsi="Arial"/>
        </w:rPr>
        <w:t xml:space="preserve">(2) Une action en opposition et une action en justice contre ces dispositions conformément aux paragraphes 1 et 1a n’ont aucun effet suspensif. En cas de mise à exécution des mesures visées aux paragraphes 1 et 1a par l’application d’astreintes, lesdites astreintes doivent être à </w:t>
      </w:r>
      <w:r>
        <w:rPr>
          <w:rFonts w:ascii="Arial" w:hAnsi="Arial"/>
        </w:rPr>
        <w:lastRenderedPageBreak/>
        <w:t xml:space="preserve">la mesure des intérêts économiques que représentent l’exécution ou la non-exécution de l’acte pour la personne contrainte. Dans le cas où la limite légale maximale prévue à cet effet s’avère insuffisante, celle-ci peut être dépassée. Les intérêts économiques de la personne contrainte doivent être évalués sur la base d’une appréciation réglementaire de la situation. </w:t>
      </w:r>
    </w:p>
    <w:p w14:paraId="0738345C"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napToGrid w:val="0"/>
        <w:spacing w:after="120" w:line="360" w:lineRule="auto"/>
        <w:jc w:val="both"/>
        <w:rPr>
          <w:rFonts w:ascii="Arial" w:eastAsia="Times New Roman" w:hAnsi="Arial" w:cs="Arial"/>
        </w:rPr>
      </w:pPr>
      <w:r>
        <w:rPr>
          <w:rFonts w:ascii="Arial" w:hAnsi="Arial"/>
        </w:rPr>
        <w:t>(2a) Pour l’accomplissement de leurs tâches, les autorités de surveillance des jeux de hasard peuvent effectuer des achats tests ou des jeux tests qui ne sont pas détectables comme étant des mesures de surveillance des jeux de hasard. À cet effet, les employés de la surveillance des jeux peuvent participer à des transactions légales sous une identité permanente modifiée (légende). À cette fin, des certificats appropriés peuvent être produits, achetés et utilisés, et les inscriptions nécessaires faites dans des registres, livres ou fichiers. Les autorités de surveillance des jeux de hasard sont habilitées à organiser des achats-tests ou jeux-tests à destination de personnes mineures dans l’exercice de leurs fonctions de surveillance. Pour la personne qui effectue l’achat test ou le jeu test, le jeu de hasard n’est pas considéré comme un jeu de hasard illégal.</w:t>
      </w:r>
    </w:p>
    <w:p w14:paraId="123D6DF0" w14:textId="77777777" w:rsidR="00001328" w:rsidRDefault="00A4265D">
      <w:pPr>
        <w:widowControl w:val="0"/>
        <w:tabs>
          <w:tab w:val="left" w:pos="766"/>
          <w:tab w:val="left" w:pos="1474"/>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 xml:space="preserve">(3) Les Länder coopèrent au sein de l’autorité de surveillance des jeux de hasard; ils peuvent également collaborer avec les autorités de surveillance compétentes des États membres de l’Union européenne et des États signataires de l’accord sur l’Espace économique européen, ainsi qu’échanger des données à cet effet, pour autant que cela soit nécessaire à l’exercice de leurs fonctions. Sauf disposition contraire du présent traité d’État, les licences prévues pour les organisateurs visés à l’article 10, paragraphe 2, sont approuvées par consensus par les Länder. </w:t>
      </w:r>
    </w:p>
    <w:p w14:paraId="59AF52B9" w14:textId="77777777" w:rsidR="00001328" w:rsidRDefault="00A4265D">
      <w:pPr>
        <w:widowControl w:val="0"/>
        <w:tabs>
          <w:tab w:val="left" w:pos="766"/>
          <w:tab w:val="left" w:pos="1474"/>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(3a) Dans l’accomplissement de leurs tâches, les autorités compétentes pour la surveillance des jeux de hasard collaborent avec les autorités répressives, les institutions de supervision des médias des Länder, l’agence fédérale des réseaux, l’agence fédérale de surveillance des services financiers et l’office fédéral des ententes et peuvent, dans la mesure où cela est nécessaire, échanger des données à cette fin. Cela s’applique de la même manière pour les institutions de supervision des médias des Länder en ce qui concerne la coopération avec les autorités de surveillance des jeux de hasard.</w:t>
      </w:r>
    </w:p>
    <w:p w14:paraId="36056870"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(4) Sauf stipulation contraire dans le présent traité d’État, la licence est accordée par l’autorité compétente pour le territoire du Land concerné ou pour une partie de ce territoire. Elle est révocable et accordée pour une durée limitée. Elle peut être assortie de dispositions annexes, également à posteriori. La licence ne peut être ni transférée ni remise à un tiers.</w:t>
      </w:r>
    </w:p>
    <w:p w14:paraId="08845361"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 xml:space="preserve">(5) La licence de lancement de nouvelles offres de jeux de hasard par les organisateurs visés à l’article 10, paragraphes 2 et 3, suppose que </w:t>
      </w:r>
    </w:p>
    <w:p w14:paraId="577F56AD"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ind w:left="567" w:hanging="283"/>
        <w:jc w:val="both"/>
        <w:rPr>
          <w:rFonts w:ascii="Arial" w:eastAsia="Times New Roman" w:hAnsi="Arial" w:cs="Arial"/>
        </w:rPr>
      </w:pPr>
      <w:r>
        <w:rPr>
          <w:rFonts w:ascii="Arial" w:hAnsi="Arial"/>
        </w:rPr>
        <w:t xml:space="preserve">1. le comité technique (article 10, paragraphe 1, phrase 2) a examiné et évalué au préalable les effets de la nouvelle offre en tenant compte des objectifs de l’article premier, et </w:t>
      </w:r>
    </w:p>
    <w:p w14:paraId="4B2D0BA8" w14:textId="77777777" w:rsidR="00001328" w:rsidRDefault="00A4265D">
      <w:pPr>
        <w:widowControl w:val="0"/>
        <w:tabs>
          <w:tab w:val="left" w:pos="56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ind w:left="567" w:hanging="283"/>
        <w:jc w:val="both"/>
        <w:rPr>
          <w:rFonts w:ascii="Arial" w:eastAsia="Times New Roman" w:hAnsi="Arial" w:cs="Arial"/>
        </w:rPr>
      </w:pPr>
      <w:r>
        <w:rPr>
          <w:rFonts w:ascii="Arial" w:hAnsi="Arial"/>
        </w:rPr>
        <w:t xml:space="preserve">2. après la mise en place de ce jeu de hasard, l’organisateur informe l’autorité ayant accordé </w:t>
      </w:r>
      <w:r>
        <w:rPr>
          <w:rFonts w:ascii="Arial" w:hAnsi="Arial"/>
        </w:rPr>
        <w:lastRenderedPageBreak/>
        <w:t xml:space="preserve">la licence des effets sociaux de la nouvelle offre. </w:t>
      </w:r>
    </w:p>
    <w:p w14:paraId="1A24F996"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pacing w:after="120" w:line="360" w:lineRule="auto"/>
        <w:jc w:val="both"/>
        <w:rPr>
          <w:rFonts w:ascii="Arial" w:eastAsia="Times New Roman" w:hAnsi="Arial" w:cs="Arial"/>
        </w:rPr>
      </w:pPr>
      <w:r>
        <w:rPr>
          <w:rFonts w:ascii="Arial" w:hAnsi="Arial"/>
        </w:rPr>
        <w:t>La mise en place de nouveaux circuits de distribution ou le développement significatif de circuits de distribution existants par des organisateurs ou des agents sont assimilés à une nouvelle offre de jeux de hasard.</w:t>
      </w:r>
    </w:p>
    <w:p w14:paraId="1787A2E5" w14:textId="77777777" w:rsidR="00001328" w:rsidRDefault="00A4265D">
      <w:pPr>
        <w:autoSpaceDE w:val="0"/>
        <w:spacing w:after="120" w:line="360" w:lineRule="auto"/>
        <w:jc w:val="both"/>
        <w:rPr>
          <w:rFonts w:ascii="Arial" w:eastAsia="Times New Roman" w:hAnsi="Arial" w:cs="Arial"/>
        </w:rPr>
      </w:pPr>
      <w:r>
        <w:rPr>
          <w:rFonts w:ascii="Arial" w:hAnsi="Arial"/>
        </w:rPr>
        <w:t>(6) Les informations relatives aux relations personnelles et factuelles d’une personne physique ou morale, ou d’une société de personnes, ainsi que les secrets industriels et commerciaux qui sont confiés ou communiqués, de quelque autre manière que ce soit, aux autorités compétentes, à leurs organes, à leurs agents ou aux tiers mandatés par ceux-ci dans le cadre de l’exercice de leurs fonctions, ne peuvent être divulgués sans autorisation. En outre, les dispositions de protection des données applicables dans le pays concerné sont applicables au traitement des données à caractère personnel.</w:t>
      </w:r>
    </w:p>
    <w:p w14:paraId="4980F5E5" w14:textId="77777777" w:rsidR="00001328" w:rsidRDefault="00A4265D">
      <w:pPr>
        <w:spacing w:after="120" w:line="360" w:lineRule="auto"/>
        <w:jc w:val="both"/>
        <w:rPr>
          <w:rFonts w:ascii="Arial" w:eastAsia="Times New Roman" w:hAnsi="Arial" w:cs="Arial"/>
        </w:rPr>
      </w:pPr>
      <w:r>
        <w:rPr>
          <w:rFonts w:ascii="Arial" w:hAnsi="Arial"/>
        </w:rPr>
        <w:t>(7) La surveillance des jeux de hasard ne peut pas être exercée par une autorité en charge des finances du Land ou de la gestion des contributions des organisateurs visés à l’article 10, paragraphes 2 et 3.</w:t>
      </w:r>
    </w:p>
    <w:p w14:paraId="73662FB3" w14:textId="77777777" w:rsidR="00001328" w:rsidRDefault="00A4265D">
      <w:pPr>
        <w:spacing w:after="120" w:line="360" w:lineRule="auto"/>
        <w:jc w:val="both"/>
        <w:rPr>
          <w:rFonts w:ascii="Arial" w:hAnsi="Arial" w:cs="Arial"/>
        </w:rPr>
      </w:pPr>
      <w:r>
        <w:rPr>
          <w:rFonts w:ascii="Arial" w:hAnsi="Arial"/>
        </w:rPr>
        <w:t>(8) L’autorité compétente publie une liste officielle commune sur l’internet, qui répertorie les organisateurs et agents de jeux de hasard détenteurs de licence ou de concession en vertu du présent traité d’État. Ne sont pas listés</w:t>
      </w:r>
    </w:p>
    <w:p w14:paraId="3240DA3E" w14:textId="77777777" w:rsidR="00001328" w:rsidRDefault="00A4265D">
      <w:pPr>
        <w:pStyle w:val="Liststycke"/>
        <w:numPr>
          <w:ilvl w:val="0"/>
          <w:numId w:val="21"/>
        </w:numPr>
        <w:spacing w:after="120" w:line="360" w:lineRule="auto"/>
        <w:ind w:left="567"/>
        <w:jc w:val="both"/>
        <w:rPr>
          <w:rFonts w:ascii="Arial" w:hAnsi="Arial" w:cs="Arial"/>
        </w:rPr>
      </w:pPr>
      <w:r>
        <w:rPr>
          <w:rFonts w:ascii="Arial" w:hAnsi="Arial"/>
        </w:rPr>
        <w:t>les exploitants d’arcades et les installateurs de machines à sous avec possibilité de gain conformément au décret sur le jeu dans sa version en vigueur,</w:t>
      </w:r>
    </w:p>
    <w:p w14:paraId="7D014BDE" w14:textId="77777777" w:rsidR="00001328" w:rsidRDefault="00A4265D">
      <w:pPr>
        <w:pStyle w:val="Liststycke"/>
        <w:numPr>
          <w:ilvl w:val="0"/>
          <w:numId w:val="21"/>
        </w:numPr>
        <w:spacing w:after="120" w:line="360" w:lineRule="auto"/>
        <w:ind w:left="567"/>
        <w:jc w:val="both"/>
        <w:rPr>
          <w:rFonts w:ascii="Arial" w:hAnsi="Arial" w:cs="Arial"/>
        </w:rPr>
      </w:pPr>
      <w:r>
        <w:rPr>
          <w:rFonts w:ascii="Arial" w:hAnsi="Arial"/>
        </w:rPr>
        <w:t>les bureaux de validation des organisateurs selon l’article 10, paragraphe 2,</w:t>
      </w:r>
    </w:p>
    <w:p w14:paraId="35C89190" w14:textId="77777777" w:rsidR="00001328" w:rsidRDefault="00A4265D">
      <w:pPr>
        <w:pStyle w:val="Liststycke"/>
        <w:numPr>
          <w:ilvl w:val="0"/>
          <w:numId w:val="21"/>
        </w:numPr>
        <w:spacing w:after="120" w:line="360" w:lineRule="auto"/>
        <w:ind w:left="567"/>
        <w:jc w:val="both"/>
        <w:rPr>
          <w:rFonts w:ascii="Arial" w:hAnsi="Arial" w:cs="Arial"/>
        </w:rPr>
      </w:pPr>
      <w:r>
        <w:rPr>
          <w:rFonts w:ascii="Arial" w:hAnsi="Arial"/>
        </w:rPr>
        <w:t xml:space="preserve">les opérateurs commerciaux de jeux qui opèrent dans un seul Land, </w:t>
      </w:r>
    </w:p>
    <w:p w14:paraId="6A851C59" w14:textId="77777777" w:rsidR="00001328" w:rsidRDefault="00A4265D">
      <w:pPr>
        <w:pStyle w:val="Liststycke"/>
        <w:numPr>
          <w:ilvl w:val="0"/>
          <w:numId w:val="21"/>
        </w:numPr>
        <w:spacing w:after="120" w:line="360" w:lineRule="auto"/>
        <w:ind w:left="567"/>
        <w:jc w:val="both"/>
        <w:rPr>
          <w:rFonts w:ascii="Arial" w:hAnsi="Arial" w:cs="Arial"/>
        </w:rPr>
      </w:pPr>
      <w:r>
        <w:rPr>
          <w:rFonts w:ascii="Arial" w:hAnsi="Arial"/>
        </w:rPr>
        <w:t>les points de vente locaux des encaisseurs de la loterie générale par classe des Länder,</w:t>
      </w:r>
    </w:p>
    <w:p w14:paraId="0F9D76C6" w14:textId="77777777" w:rsidR="00001328" w:rsidRDefault="00A4265D">
      <w:pPr>
        <w:pStyle w:val="Liststycke"/>
        <w:numPr>
          <w:ilvl w:val="0"/>
          <w:numId w:val="21"/>
        </w:numPr>
        <w:spacing w:after="120" w:line="360" w:lineRule="auto"/>
        <w:ind w:left="567"/>
        <w:jc w:val="both"/>
        <w:rPr>
          <w:rFonts w:ascii="Arial" w:hAnsi="Arial" w:cs="Arial"/>
        </w:rPr>
      </w:pPr>
      <w:r>
        <w:rPr>
          <w:rFonts w:ascii="Arial" w:hAnsi="Arial"/>
        </w:rPr>
        <w:t>les organisateurs de petites loteries selon l’article 18,</w:t>
      </w:r>
    </w:p>
    <w:p w14:paraId="26E247BF" w14:textId="77777777" w:rsidR="00001328" w:rsidRDefault="00A4265D">
      <w:pPr>
        <w:pStyle w:val="Liststycke"/>
        <w:numPr>
          <w:ilvl w:val="0"/>
          <w:numId w:val="21"/>
        </w:numPr>
        <w:spacing w:after="120" w:line="360" w:lineRule="auto"/>
        <w:ind w:left="567"/>
        <w:jc w:val="both"/>
        <w:rPr>
          <w:rFonts w:ascii="Arial" w:hAnsi="Arial" w:cs="Arial"/>
        </w:rPr>
      </w:pPr>
      <w:r>
        <w:rPr>
          <w:rFonts w:ascii="Arial" w:hAnsi="Arial"/>
        </w:rPr>
        <w:t>les opérateurs des bureaux locaux de placement des paris,</w:t>
      </w:r>
    </w:p>
    <w:p w14:paraId="51E73E9B" w14:textId="77777777" w:rsidR="00001328" w:rsidRDefault="00A4265D">
      <w:pPr>
        <w:pStyle w:val="Liststycke"/>
        <w:numPr>
          <w:ilvl w:val="0"/>
          <w:numId w:val="21"/>
        </w:numPr>
        <w:spacing w:after="120" w:line="360" w:lineRule="auto"/>
        <w:ind w:left="567"/>
        <w:jc w:val="both"/>
        <w:rPr>
          <w:rFonts w:ascii="Arial" w:hAnsi="Arial" w:cs="Arial"/>
        </w:rPr>
      </w:pPr>
      <w:r>
        <w:rPr>
          <w:rFonts w:ascii="Arial" w:hAnsi="Arial"/>
        </w:rPr>
        <w:t>les totalisateurs et preneurs de paris au sens de la loi sur les paris sportifs et les loteries.</w:t>
      </w:r>
    </w:p>
    <w:p w14:paraId="2F59A071" w14:textId="77777777" w:rsidR="00001328" w:rsidRDefault="00A4265D">
      <w:pPr>
        <w:spacing w:after="120" w:line="360" w:lineRule="auto"/>
        <w:jc w:val="both"/>
        <w:rPr>
          <w:rFonts w:ascii="Arial" w:hAnsi="Arial" w:cs="Arial"/>
        </w:rPr>
      </w:pPr>
      <w:r>
        <w:rPr>
          <w:rFonts w:ascii="Arial" w:hAnsi="Arial"/>
        </w:rPr>
        <w:t>La liste est mise à jour en fonction des besoins, mais au moins une fois par mois. L’autorité compétente fournit sur demande des informations sur l’état actuel de la liste. Les autorités supérieures de surveillance des jeux des Länder informent immédiatement l’autorité compétente de toute modification à apporter sur liste qui entre dans leur domaine de compétence.</w:t>
      </w:r>
    </w:p>
    <w:p w14:paraId="1C6CEA9E" w14:textId="77777777" w:rsidR="00001328" w:rsidRDefault="00001328">
      <w:pPr>
        <w:spacing w:after="120" w:line="360" w:lineRule="auto"/>
        <w:rPr>
          <w:rFonts w:ascii="Arial" w:eastAsia="Times New Roman" w:hAnsi="Arial" w:cs="Arial"/>
          <w:lang w:eastAsia="ar-SA"/>
        </w:rPr>
      </w:pPr>
    </w:p>
    <w:p w14:paraId="19716187"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9a Procédure uniforme des Länder</w:t>
      </w:r>
    </w:p>
    <w:p w14:paraId="2DB73F60"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Cs/>
        </w:rPr>
      </w:pPr>
      <w:r>
        <w:rPr>
          <w:rFonts w:ascii="Arial" w:hAnsi="Arial"/>
        </w:rPr>
        <w:t>(1) Chaque autorité compétente délivre avec effet pour tous les Länder</w:t>
      </w:r>
    </w:p>
    <w:p w14:paraId="6A071CB7" w14:textId="77777777" w:rsidR="00001328" w:rsidRDefault="00A4265D">
      <w:pPr>
        <w:spacing w:after="120" w:line="360" w:lineRule="auto"/>
        <w:ind w:left="567" w:hanging="283"/>
        <w:jc w:val="both"/>
        <w:rPr>
          <w:rFonts w:ascii="Arial" w:eastAsia="Times New Roman" w:hAnsi="Arial" w:cs="Arial"/>
          <w:bCs/>
        </w:rPr>
      </w:pPr>
      <w:r>
        <w:rPr>
          <w:rFonts w:ascii="Arial" w:hAnsi="Arial"/>
        </w:rPr>
        <w:t xml:space="preserve">1. les licences pour l’établissement conformément à l’article 10, paragraphe 3 et pour ses encaisseurs de loterie, </w:t>
      </w:r>
    </w:p>
    <w:p w14:paraId="2DE58654" w14:textId="77777777" w:rsidR="00001328" w:rsidRDefault="00A4265D">
      <w:pPr>
        <w:spacing w:after="120" w:line="360" w:lineRule="auto"/>
        <w:ind w:left="567" w:hanging="283"/>
        <w:jc w:val="both"/>
        <w:rPr>
          <w:rFonts w:ascii="Arial" w:eastAsia="Times New Roman" w:hAnsi="Arial" w:cs="Arial"/>
        </w:rPr>
      </w:pPr>
      <w:r>
        <w:rPr>
          <w:rFonts w:ascii="Arial" w:hAnsi="Arial"/>
        </w:rPr>
        <w:lastRenderedPageBreak/>
        <w:t>2. les licences pour un établissement géré conjointement conformément à l’article 10, paragraphe 2, phrase 1,</w:t>
      </w:r>
    </w:p>
    <w:p w14:paraId="595F02EE" w14:textId="77777777" w:rsidR="00001328" w:rsidRDefault="00A4265D">
      <w:pPr>
        <w:autoSpaceDE w:val="0"/>
        <w:spacing w:after="120" w:line="360" w:lineRule="auto"/>
        <w:ind w:left="567" w:hanging="283"/>
        <w:jc w:val="both"/>
        <w:rPr>
          <w:rFonts w:ascii="Arial" w:eastAsia="Times New Roman" w:hAnsi="Arial" w:cs="Arial"/>
        </w:rPr>
      </w:pPr>
      <w:r>
        <w:rPr>
          <w:rFonts w:ascii="Arial" w:hAnsi="Arial"/>
        </w:rPr>
        <w:t>3. les licences pour le courtage de paris sportifs sur l’internet, pour l’organisation de paris sportifs, de poker en ligne et de machines à sous virtuelles ainsi que la licence conformément à l’article 27, paragraphe 2, y compris les licences correspondantes, et</w:t>
      </w:r>
    </w:p>
    <w:p w14:paraId="2D004A11" w14:textId="77777777" w:rsidR="00001328" w:rsidRDefault="00A4265D">
      <w:pPr>
        <w:autoSpaceDE w:val="0"/>
        <w:spacing w:after="120" w:line="360" w:lineRule="auto"/>
        <w:ind w:left="567" w:hanging="283"/>
        <w:jc w:val="both"/>
        <w:rPr>
          <w:rFonts w:ascii="Arial" w:eastAsia="Times New Roman" w:hAnsi="Arial" w:cs="Arial"/>
        </w:rPr>
      </w:pPr>
      <w:r>
        <w:rPr>
          <w:rFonts w:ascii="Arial" w:hAnsi="Arial"/>
        </w:rPr>
        <w:t>4. les licences au sens de l’article 12, paragraphe 3.</w:t>
      </w:r>
    </w:p>
    <w:p w14:paraId="7F262D56" w14:textId="77777777" w:rsidR="00001328" w:rsidRDefault="00A4265D">
      <w:pPr>
        <w:snapToGrid w:val="0"/>
        <w:spacing w:after="120" w:line="360" w:lineRule="auto"/>
        <w:jc w:val="both"/>
        <w:rPr>
          <w:rFonts w:ascii="Arial" w:eastAsia="Times New Roman" w:hAnsi="Arial" w:cs="Arial"/>
        </w:rPr>
      </w:pPr>
      <w:r>
        <w:rPr>
          <w:rFonts w:ascii="Arial" w:hAnsi="Arial"/>
        </w:rPr>
        <w:t xml:space="preserve">(2) Dans les cas visés au paragraphe 1, l’autorité compétente pour l’octroi de la licence exerce face aux détenteurs de licence les fonctions de surveillance des jeux de hasard telles que définies à l’article 9, paragraphe 1 avec effet dans tous les Länder dès l’octroi de la licence; elle est habilitée à adopter, au cas par cas, les mesures jugées nécessaires, à veiller à leur exécution conformément au droit du Land juridiquement compétent, ainsi qu’à procéder à des actes officiels dans d’autres Länder à cet effet. L’autorité compétente visée à la phrase 1 contrôle notamment le respect des dispositions substantielles et accessoires de la licence et statue sur les mesures des articles 4a à 4d. L’article 9, paragraphes 2 et 2a, s’applique mutatis mutandis. </w:t>
      </w:r>
    </w:p>
    <w:p w14:paraId="76A64129" w14:textId="77777777" w:rsidR="00001328" w:rsidRDefault="00A4265D">
      <w:pPr>
        <w:snapToGrid w:val="0"/>
        <w:spacing w:after="120" w:line="360" w:lineRule="auto"/>
        <w:jc w:val="both"/>
        <w:rPr>
          <w:rFonts w:ascii="Arial" w:eastAsia="Times New Roman" w:hAnsi="Arial" w:cs="Arial"/>
        </w:rPr>
      </w:pPr>
      <w:r>
        <w:rPr>
          <w:rFonts w:ascii="Arial" w:hAnsi="Arial"/>
        </w:rPr>
        <w:t>(3) Il existe également une compétence unique d’une autorité pour tous les Länder concernant les mesures</w:t>
      </w:r>
    </w:p>
    <w:p w14:paraId="631ECB16" w14:textId="77777777" w:rsidR="00001328" w:rsidRDefault="00A4265D">
      <w:pPr>
        <w:snapToGrid w:val="0"/>
        <w:spacing w:after="120" w:line="360" w:lineRule="auto"/>
        <w:ind w:left="567" w:hanging="283"/>
        <w:jc w:val="both"/>
        <w:rPr>
          <w:rFonts w:ascii="Arial" w:eastAsia="Times New Roman" w:hAnsi="Arial" w:cs="Arial"/>
        </w:rPr>
      </w:pPr>
      <w:r>
        <w:rPr>
          <w:rFonts w:ascii="Arial" w:hAnsi="Arial"/>
        </w:rPr>
        <w:t>1. visées à l’article 9, paragraphe 1, phrase 3, point 4 et point 5 dans le cas des jeux de hasard interdits offerts dans plus d’un Land, et</w:t>
      </w:r>
    </w:p>
    <w:p w14:paraId="2F61FB50" w14:textId="77777777" w:rsidR="00001328" w:rsidRDefault="00A4265D">
      <w:pPr>
        <w:snapToGrid w:val="0"/>
        <w:spacing w:after="120" w:line="360" w:lineRule="auto"/>
        <w:ind w:left="567" w:hanging="283"/>
        <w:jc w:val="both"/>
        <w:rPr>
          <w:rFonts w:ascii="Arial" w:eastAsia="Times New Roman" w:hAnsi="Arial" w:cs="Arial"/>
        </w:rPr>
      </w:pPr>
      <w:r>
        <w:rPr>
          <w:rFonts w:ascii="Arial" w:hAnsi="Arial"/>
        </w:rPr>
        <w:t>2. de surveillance des jeux de hasard en raison de jeux de hasard publics interdits et de leur publicité, qui est proposée sur l’internet dans plus d’un Land.</w:t>
      </w:r>
    </w:p>
    <w:p w14:paraId="5CF2EA40" w14:textId="77777777" w:rsidR="00001328" w:rsidRDefault="00A4265D">
      <w:pPr>
        <w:snapToGrid w:val="0"/>
        <w:spacing w:after="120" w:line="360" w:lineRule="auto"/>
        <w:jc w:val="both"/>
        <w:rPr>
          <w:rFonts w:ascii="Arial" w:eastAsia="Times New Roman" w:hAnsi="Arial" w:cs="Arial"/>
        </w:rPr>
      </w:pPr>
      <w:r>
        <w:rPr>
          <w:rFonts w:ascii="Arial" w:hAnsi="Arial"/>
        </w:rPr>
        <w:t>La phrase 1, point 2, ne s’applique pas aux jeux de casino en ligne non autorisés qui sont organisés ou distribués par un organisateur qui a obtenu une licence valide pour l’organisation de jeux de casino en ligne dans le cadre de la licence.</w:t>
      </w:r>
    </w:p>
    <w:p w14:paraId="6E11904F" w14:textId="77777777" w:rsidR="00001328" w:rsidRDefault="00A4265D">
      <w:pPr>
        <w:snapToGrid w:val="0"/>
        <w:spacing w:after="120" w:line="360" w:lineRule="auto"/>
        <w:jc w:val="both"/>
        <w:rPr>
          <w:rFonts w:ascii="Arial" w:eastAsia="Times New Roman" w:hAnsi="Arial" w:cs="Arial"/>
        </w:rPr>
      </w:pPr>
      <w:r>
        <w:rPr>
          <w:rFonts w:ascii="Arial" w:hAnsi="Arial"/>
        </w:rPr>
        <w:t>(4) Les autorités compétentes au sens des paragraphes 1 et 2 facturent les actes officiels dans l’accomplissement des tâches visées aux paragraphes 1 à 3 (redevances et honoraires). Pour l’octroi d’une licence pour l’organisation d’un jeu de hasard, sont perçus, pour les mises ou paris approuvés ou attendus</w:t>
      </w:r>
    </w:p>
    <w:p w14:paraId="32DA1897" w14:textId="77777777" w:rsidR="00001328" w:rsidRDefault="00A4265D">
      <w:pPr>
        <w:pStyle w:val="Liststycke"/>
        <w:numPr>
          <w:ilvl w:val="0"/>
          <w:numId w:val="23"/>
        </w:numPr>
        <w:snapToGrid w:val="0"/>
        <w:spacing w:after="120" w:line="360" w:lineRule="auto"/>
        <w:ind w:left="567"/>
        <w:jc w:val="both"/>
        <w:rPr>
          <w:rFonts w:ascii="Arial" w:eastAsia="Times New Roman" w:hAnsi="Arial" w:cs="Arial"/>
        </w:rPr>
      </w:pPr>
      <w:r>
        <w:rPr>
          <w:rFonts w:ascii="Arial" w:hAnsi="Arial"/>
        </w:rPr>
        <w:t>jusqu’à 40 millions d’euros, une redevance de 0,2 % des mises ou paris, au moins 100 euros,</w:t>
      </w:r>
    </w:p>
    <w:p w14:paraId="73EE364A" w14:textId="77777777" w:rsidR="00001328" w:rsidRDefault="00A4265D">
      <w:pPr>
        <w:pStyle w:val="Liststycke"/>
        <w:numPr>
          <w:ilvl w:val="0"/>
          <w:numId w:val="23"/>
        </w:numPr>
        <w:snapToGrid w:val="0"/>
        <w:spacing w:after="120" w:line="360" w:lineRule="auto"/>
        <w:ind w:left="567"/>
        <w:jc w:val="both"/>
        <w:rPr>
          <w:rFonts w:ascii="Arial" w:eastAsia="Times New Roman" w:hAnsi="Arial" w:cs="Arial"/>
        </w:rPr>
      </w:pPr>
      <w:r>
        <w:rPr>
          <w:rFonts w:ascii="Arial" w:hAnsi="Arial"/>
        </w:rPr>
        <w:t>de 40 millions d’euros à 65 millions d’euros, une redevance de 80 000 euros plus 0,16 % des mises ou paris excédant 40 millions d’euros,</w:t>
      </w:r>
    </w:p>
    <w:p w14:paraId="14A5A222" w14:textId="77777777" w:rsidR="00001328" w:rsidRDefault="00A4265D">
      <w:pPr>
        <w:pStyle w:val="Liststycke"/>
        <w:numPr>
          <w:ilvl w:val="0"/>
          <w:numId w:val="23"/>
        </w:numPr>
        <w:snapToGrid w:val="0"/>
        <w:spacing w:after="120" w:line="360" w:lineRule="auto"/>
        <w:ind w:left="567"/>
        <w:jc w:val="both"/>
        <w:rPr>
          <w:rFonts w:ascii="Arial" w:eastAsia="Times New Roman" w:hAnsi="Arial" w:cs="Arial"/>
        </w:rPr>
      </w:pPr>
      <w:r>
        <w:rPr>
          <w:rFonts w:ascii="Arial" w:hAnsi="Arial"/>
        </w:rPr>
        <w:t>de 65 millions d’euros à 130 millions d’euros, une redevance de 120 000 euros plus 0,1 % des mises ou paris excédant 65 millions d’euros,</w:t>
      </w:r>
    </w:p>
    <w:p w14:paraId="31499F89" w14:textId="77777777" w:rsidR="00001328" w:rsidRDefault="00A4265D">
      <w:pPr>
        <w:pStyle w:val="Liststycke"/>
        <w:numPr>
          <w:ilvl w:val="0"/>
          <w:numId w:val="23"/>
        </w:numPr>
        <w:snapToGrid w:val="0"/>
        <w:spacing w:after="120" w:line="360" w:lineRule="auto"/>
        <w:ind w:left="567"/>
        <w:jc w:val="both"/>
        <w:rPr>
          <w:rFonts w:ascii="Arial" w:eastAsia="Times New Roman" w:hAnsi="Arial" w:cs="Arial"/>
        </w:rPr>
      </w:pPr>
      <w:r>
        <w:rPr>
          <w:rFonts w:ascii="Arial" w:hAnsi="Arial"/>
        </w:rPr>
        <w:t xml:space="preserve">au-delà de 130 millions d’euros, une redevance de 185 000 euros plus 0,6 pour mille des mises ou paris excédant 130 millions d’euros; </w:t>
      </w:r>
    </w:p>
    <w:p w14:paraId="707A128C" w14:textId="77777777" w:rsidR="00001328" w:rsidRDefault="00A4265D">
      <w:pPr>
        <w:snapToGrid w:val="0"/>
        <w:spacing w:after="120" w:line="360" w:lineRule="auto"/>
        <w:jc w:val="both"/>
        <w:rPr>
          <w:rFonts w:ascii="Arial" w:eastAsia="Times New Roman" w:hAnsi="Arial" w:cs="Arial"/>
        </w:rPr>
      </w:pPr>
      <w:r>
        <w:rPr>
          <w:rFonts w:ascii="Arial" w:hAnsi="Arial"/>
        </w:rPr>
        <w:lastRenderedPageBreak/>
        <w:t>il convient de prendre comme base le total des mises ou paris approuvés ou attendus dans tous les Länder participants.  Pour les licences visées au paragraphe 1, points 1, 2 et 4, la redevance selon la phrase 2 est réduite de moitié. Si la licence est accordée pour plusieurs années ou événements consécutifs, le calcul est effectué séparément pour chaque année et chaque événement, la redevance selon les phrases 2 et 3 étant réduite de 10 % pour les années suivantes ou les événements ultérieurs. Pour l’octroi d’une licence de distribution d’un jeu de hasard, une redevance de 50 % de la redevance visée aux phrases 2 et 3 est exigée; la phrase 4 doit être appliquée par analogie. Une redevance de 500 à 500 000 euros est exigée pour les injonctions à remédier ou à mettre fin à des situations illégales et pour les autres injonctions émanant des autorités de surveillance des jeux; la charge administrative associée à l’acte officiel de toutes les autorités et instances participantes doit être prise en compte. Par ailleurs, les prescriptions en matière de coûts de chaque Land du siège des autorités intervenantes s’appliquent.</w:t>
      </w:r>
    </w:p>
    <w:p w14:paraId="16268584" w14:textId="77777777" w:rsidR="00001328" w:rsidRDefault="00A4265D">
      <w:pPr>
        <w:spacing w:after="120" w:line="360" w:lineRule="auto"/>
        <w:jc w:val="both"/>
        <w:rPr>
          <w:rFonts w:ascii="Arial" w:eastAsia="Times New Roman" w:hAnsi="Arial" w:cs="Arial"/>
        </w:rPr>
      </w:pPr>
      <w:r>
        <w:rPr>
          <w:rFonts w:ascii="Arial" w:hAnsi="Arial"/>
          <w:strike/>
        </w:rPr>
        <w:t xml:space="preserve"> </w:t>
      </w:r>
    </w:p>
    <w:p w14:paraId="5EDCC7C8"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rPr>
          <w:rFonts w:ascii="Arial" w:eastAsia="Times New Roman" w:hAnsi="Arial" w:cs="Arial"/>
          <w:b/>
        </w:rPr>
      </w:pPr>
      <w:r>
        <w:rPr>
          <w:rFonts w:ascii="Arial" w:hAnsi="Arial"/>
          <w:b/>
        </w:rPr>
        <w:t>Article 10 Garantie d’une offre suffisante en jeux de hasard</w:t>
      </w:r>
    </w:p>
    <w:p w14:paraId="56E931A6"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(1) Afin d’atteindre les objectifs visés à l’article premier, les Länder ont pour mission réglementaire de garantir une offre suffisante en jeux de hasard. Ils sont conseillés en cela par un comité consultatif spécialisé. Il est composé de personnes disposant de connaissances scientifiques ou pratiques particulières concernant les objectifs énoncés à l’article premier.</w:t>
      </w:r>
    </w:p>
    <w:p w14:paraId="4B22A005"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(2) Sur une base légale, les Länder peuvent remplir cette mission publique eux-mêmes, par l’intermédiaire d’un organisme public conjointement géré par tous les Länder signataires, de personnes morales de droit public ou de sociétés de droit privé auxquelles sont associées de manière essentielle, directement ou indirectement, des personnes morales de droit public. Un exercice commun des compétences ou par l’entremise d’un autre Land respectant les conditions énoncées à la phrase 1 peut être rendu possible par la conclusion d’un accord administratif.</w:t>
      </w:r>
    </w:p>
    <w:p w14:paraId="0A61BD2E"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(3) Seul un organisme de droit public, appuyé par l’ensemble des Länder signataires, peut assurer l’organisation de loteries par classes.</w:t>
      </w:r>
    </w:p>
    <w:p w14:paraId="62A34D9F"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(4) Les Länder limitent le nombre des bureaux de validation afin d’atteindre les objectifs définis à l’article premier.</w:t>
      </w:r>
    </w:p>
    <w:p w14:paraId="2DE5CAA5"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(5) Il faut garantir qu’une part significative des recettes provenant des jeux de hasard mentionnés aux paragraphes 2 et 3 est employée pour promouvoir des objectifs publics ou d’intérêt général, au profit d’églises ou d’organismes caritatifs.</w:t>
      </w:r>
    </w:p>
    <w:p w14:paraId="639BD569" w14:textId="77777777" w:rsidR="00001328" w:rsidRDefault="00A4265D">
      <w:pPr>
        <w:spacing w:after="120" w:line="360" w:lineRule="auto"/>
        <w:jc w:val="both"/>
        <w:rPr>
          <w:rFonts w:ascii="Arial" w:eastAsia="Times New Roman" w:hAnsi="Arial" w:cs="Arial"/>
        </w:rPr>
      </w:pPr>
      <w:r>
        <w:rPr>
          <w:rFonts w:ascii="Arial" w:hAnsi="Arial"/>
        </w:rPr>
        <w:t>(6) Les personnes autres que celles visées aux paragraphes 2 et 3 ne sont autorisées qu’à organiser des loteries et des jeux de hasard au sens des réglementations de la troisième section.</w:t>
      </w:r>
    </w:p>
    <w:p w14:paraId="6C570332" w14:textId="77777777" w:rsidR="00001328" w:rsidRDefault="00001328">
      <w:pPr>
        <w:spacing w:after="120" w:line="360" w:lineRule="auto"/>
        <w:rPr>
          <w:rFonts w:ascii="Arial" w:eastAsia="Times New Roman" w:hAnsi="Arial" w:cs="Arial"/>
          <w:lang w:eastAsia="de-DE"/>
        </w:rPr>
      </w:pPr>
    </w:p>
    <w:p w14:paraId="61227E23"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11 Prévention de la dépendance, aide contre la dépendance et recherches sur la dépendance</w:t>
      </w:r>
    </w:p>
    <w:p w14:paraId="034DF0FE" w14:textId="77777777" w:rsidR="00001328" w:rsidRDefault="00A4265D">
      <w:pPr>
        <w:spacing w:after="120" w:line="360" w:lineRule="auto"/>
        <w:jc w:val="both"/>
        <w:rPr>
          <w:rFonts w:ascii="Arial" w:eastAsia="Times New Roman" w:hAnsi="Arial" w:cs="Arial"/>
        </w:rPr>
      </w:pPr>
      <w:r>
        <w:rPr>
          <w:rFonts w:ascii="Arial" w:hAnsi="Arial"/>
        </w:rPr>
        <w:t>Les Länder garantissent des mesures de prévention de la dépendance, des offres de conseil correspondantes et le suivi de la recherche scientifique afin de prévenir et de lutter contre les risques de dépendance liés aux jeux de hasard.</w:t>
      </w:r>
    </w:p>
    <w:p w14:paraId="6022DF71" w14:textId="77777777" w:rsidR="00001328" w:rsidRDefault="00001328">
      <w:pPr>
        <w:spacing w:after="120" w:line="360" w:lineRule="auto"/>
        <w:rPr>
          <w:rFonts w:ascii="Arial" w:eastAsia="Times New Roman" w:hAnsi="Arial" w:cs="Arial"/>
          <w:lang w:eastAsia="ar-SA"/>
        </w:rPr>
      </w:pPr>
    </w:p>
    <w:p w14:paraId="34E2E179" w14:textId="77777777" w:rsidR="00001328" w:rsidRDefault="00A4265D">
      <w:pPr>
        <w:keepNext/>
        <w:keepLines/>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center"/>
        <w:rPr>
          <w:rFonts w:ascii="Arial" w:eastAsia="Times New Roman" w:hAnsi="Arial" w:cs="Arial"/>
          <w:b/>
        </w:rPr>
      </w:pPr>
      <w:r>
        <w:rPr>
          <w:rFonts w:ascii="Arial" w:hAnsi="Arial"/>
          <w:b/>
        </w:rPr>
        <w:t>Troisième section</w:t>
      </w:r>
      <w:r>
        <w:rPr>
          <w:rFonts w:ascii="Arial" w:hAnsi="Arial"/>
          <w:b/>
        </w:rPr>
        <w:br/>
        <w:t>Loteries à faible potentiel de risque</w:t>
      </w:r>
    </w:p>
    <w:p w14:paraId="7EF0AD41" w14:textId="77777777" w:rsidR="00001328" w:rsidRDefault="00A4265D">
      <w:pPr>
        <w:keepNext/>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12 Licence</w:t>
      </w:r>
    </w:p>
    <w:p w14:paraId="72338FB2"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(1) La licence d’organisation d’une loterie ou d’un tirage au sort conformément à l’article 4, paragraphe 1, ne peut être accordée à des personnes autres que celles mentionnées à l’article 10, paragraphes 2 et 3, que si</w:t>
      </w:r>
    </w:p>
    <w:p w14:paraId="3F1C8DE2" w14:textId="77777777" w:rsidR="00001328" w:rsidRDefault="00A4265D">
      <w:pPr>
        <w:widowControl w:val="0"/>
        <w:suppressAutoHyphens/>
        <w:snapToGrid w:val="0"/>
        <w:spacing w:after="120" w:line="360" w:lineRule="auto"/>
        <w:ind w:left="567" w:hanging="283"/>
        <w:jc w:val="both"/>
        <w:rPr>
          <w:rFonts w:ascii="Arial" w:eastAsia="Times New Roman" w:hAnsi="Arial" w:cs="Arial"/>
        </w:rPr>
      </w:pPr>
      <w:r>
        <w:rPr>
          <w:rFonts w:ascii="Arial" w:hAnsi="Arial"/>
        </w:rPr>
        <w:t>1.</w:t>
      </w:r>
      <w:r>
        <w:rPr>
          <w:rFonts w:ascii="Arial" w:hAnsi="Arial"/>
        </w:rPr>
        <w:tab/>
        <w:t>aucun motif de refus au sens de l’article 13 ne s’oppose à l’organisation,</w:t>
      </w:r>
    </w:p>
    <w:p w14:paraId="457BF86F" w14:textId="77777777" w:rsidR="00001328" w:rsidRDefault="00A4265D">
      <w:pPr>
        <w:widowControl w:val="0"/>
        <w:suppressAutoHyphens/>
        <w:snapToGrid w:val="0"/>
        <w:spacing w:after="120" w:line="360" w:lineRule="auto"/>
        <w:ind w:left="567" w:hanging="283"/>
        <w:jc w:val="both"/>
        <w:rPr>
          <w:rFonts w:ascii="Arial" w:eastAsia="Times New Roman" w:hAnsi="Arial" w:cs="Arial"/>
        </w:rPr>
      </w:pPr>
      <w:r>
        <w:rPr>
          <w:rFonts w:ascii="Arial" w:hAnsi="Arial"/>
        </w:rPr>
        <w:t>2.</w:t>
      </w:r>
      <w:r>
        <w:rPr>
          <w:rFonts w:ascii="Arial" w:hAnsi="Arial"/>
        </w:rPr>
        <w:tab/>
        <w:t>les conditions citées à l’article 14, à l’article 15, paragraphes 1 et 2, et à l’article 16, paragraphe 3, sont remplies,</w:t>
      </w:r>
    </w:p>
    <w:p w14:paraId="3FF6924A" w14:textId="77777777" w:rsidR="00001328" w:rsidRDefault="00A4265D">
      <w:pPr>
        <w:widowControl w:val="0"/>
        <w:suppressAutoHyphens/>
        <w:snapToGrid w:val="0"/>
        <w:spacing w:after="120" w:line="360" w:lineRule="auto"/>
        <w:ind w:left="567" w:hanging="283"/>
        <w:jc w:val="both"/>
        <w:rPr>
          <w:rFonts w:ascii="Arial" w:eastAsia="Times New Roman" w:hAnsi="Arial" w:cs="Arial"/>
        </w:rPr>
      </w:pPr>
      <w:r>
        <w:rPr>
          <w:rFonts w:ascii="Arial" w:hAnsi="Arial"/>
        </w:rPr>
        <w:t>3.</w:t>
      </w:r>
      <w:r>
        <w:rPr>
          <w:rFonts w:ascii="Arial" w:hAnsi="Arial"/>
        </w:rPr>
        <w:tab/>
        <w:t>l’objectif économique de l’organisation ne dépasse pas l’effet promotionnel lié à la mise à disposition de gains, et</w:t>
      </w:r>
    </w:p>
    <w:p w14:paraId="71570429" w14:textId="77777777" w:rsidR="00001328" w:rsidRDefault="00A4265D">
      <w:pPr>
        <w:widowControl w:val="0"/>
        <w:suppressAutoHyphens/>
        <w:snapToGrid w:val="0"/>
        <w:spacing w:after="120" w:line="360" w:lineRule="auto"/>
        <w:ind w:left="567" w:hanging="283"/>
        <w:jc w:val="both"/>
        <w:rPr>
          <w:rFonts w:ascii="Arial" w:eastAsia="Times New Roman" w:hAnsi="Arial" w:cs="Arial"/>
        </w:rPr>
      </w:pPr>
      <w:r>
        <w:rPr>
          <w:rFonts w:ascii="Arial" w:hAnsi="Arial"/>
        </w:rPr>
        <w:t>4.</w:t>
      </w:r>
      <w:r>
        <w:rPr>
          <w:rFonts w:ascii="Arial" w:hAnsi="Arial"/>
        </w:rPr>
        <w:tab/>
        <w:t>la sécurité ou l’ordre public, ou les relations de la République fédérale d’Allemagne avec d’autres États ne sont pas susceptibles d’être perturbées par l’organisation proprement dite ou par la réalisation de l’objectif de l’organisation ou par l’emploi du bénéfice net.</w:t>
      </w:r>
    </w:p>
    <w:p w14:paraId="32478C96" w14:textId="77777777" w:rsidR="00001328" w:rsidRDefault="00A4265D">
      <w:pPr>
        <w:keepNext/>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jc w:val="both"/>
        <w:rPr>
          <w:rFonts w:ascii="Arial" w:eastAsia="Times New Roman" w:hAnsi="Arial" w:cs="Arial"/>
        </w:rPr>
      </w:pPr>
      <w:r>
        <w:rPr>
          <w:rFonts w:ascii="Arial" w:hAnsi="Arial"/>
        </w:rPr>
        <w:t>Le point 3 de la phrase 1 n’est pas d’application pour des loteries se déroulant sous la forme d’une épargne à primes, si une part de 25 % au plus du montant de la participation est employée comme part pour la loterie d’épargne à primes.</w:t>
      </w:r>
    </w:p>
    <w:p w14:paraId="7DE91B59" w14:textId="77777777" w:rsidR="00001328" w:rsidRDefault="00A4265D">
      <w:pPr>
        <w:keepNext/>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jc w:val="both"/>
        <w:rPr>
          <w:rFonts w:ascii="Arial" w:eastAsia="Times New Roman" w:hAnsi="Arial" w:cs="Arial"/>
        </w:rPr>
      </w:pPr>
      <w:r>
        <w:rPr>
          <w:rFonts w:ascii="Arial" w:hAnsi="Arial"/>
        </w:rPr>
        <w:t>(2) La licence doit également préciser dans quelle mesure les exigences prévues aux articles 6 à 7 doivent être remplies.</w:t>
      </w:r>
    </w:p>
    <w:p w14:paraId="72CB22C2" w14:textId="77777777" w:rsidR="00001328" w:rsidRDefault="00A4265D">
      <w:pPr>
        <w:spacing w:after="120" w:line="360" w:lineRule="auto"/>
        <w:jc w:val="both"/>
        <w:rPr>
          <w:rFonts w:ascii="Arial" w:eastAsia="Times New Roman" w:hAnsi="Arial" w:cs="Arial"/>
        </w:rPr>
      </w:pPr>
      <w:r>
        <w:rPr>
          <w:rFonts w:ascii="Arial" w:hAnsi="Arial"/>
        </w:rPr>
        <w:t>(3) Si une loterie est organisée dans tous les Länder conformément à un plan de jeu harmonisé au niveau suprarégional, la licence relative à sa mise en œuvre doit être délivrée selon une procédure uniforme au niveau des Länder. Si une loterie doit être organisée dans certains Länder seulement conformément à un plan de jeu harmonisé au niveau suprarégional, le Land dans lequel est situé le siège de l’organisateur peut également accorder une autorisation au nom des Länder qui ont donné mandat à cette fin.</w:t>
      </w:r>
    </w:p>
    <w:p w14:paraId="76016F60" w14:textId="77777777" w:rsidR="00001328" w:rsidRDefault="00001328">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lang w:eastAsia="ar-SA"/>
        </w:rPr>
      </w:pPr>
    </w:p>
    <w:p w14:paraId="301A9C4E" w14:textId="77777777" w:rsidR="00001328" w:rsidRDefault="00A4265D">
      <w:pPr>
        <w:keepNext/>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lastRenderedPageBreak/>
        <w:t>Article 13 Motifs du refus</w:t>
      </w:r>
    </w:p>
    <w:p w14:paraId="07EB1B81"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(1) Une licence ne peut pas être octroyée si l’organisation est contraire à l’article 4, paragraphes 2 à 5. Il s’agit en particulier des cas où, en raison de l’offre existante en jeux de hasard, l’organisation de la loterie est susceptible de favoriser d’une manière particulière l’instinct ludique, compte tenu notamment du nombre des jeux de hasard déjà organisés, ou de leur nature ou déroulement.</w:t>
      </w:r>
    </w:p>
    <w:p w14:paraId="618ADC0F" w14:textId="77777777" w:rsidR="00001328" w:rsidRDefault="00A4265D">
      <w:pPr>
        <w:keepNext/>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 xml:space="preserve">(2) La licence ne peut par ailleurs pas être octroyée si </w:t>
      </w:r>
    </w:p>
    <w:p w14:paraId="27290E22" w14:textId="77777777" w:rsidR="00001328" w:rsidRDefault="00A4265D">
      <w:pPr>
        <w:keepNext/>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ind w:left="567" w:hanging="283"/>
        <w:jc w:val="both"/>
        <w:rPr>
          <w:rFonts w:ascii="Arial" w:eastAsia="Times New Roman" w:hAnsi="Arial" w:cs="Arial"/>
        </w:rPr>
      </w:pPr>
      <w:r>
        <w:rPr>
          <w:rFonts w:ascii="Arial" w:hAnsi="Arial"/>
        </w:rPr>
        <w:t xml:space="preserve">1. le plan de jeu prévoit que </w:t>
      </w:r>
    </w:p>
    <w:p w14:paraId="6D0FEA4B" w14:textId="77777777" w:rsidR="00001328" w:rsidRDefault="00A4265D">
      <w:pPr>
        <w:widowControl w:val="0"/>
        <w:suppressAutoHyphens/>
        <w:spacing w:after="120" w:line="360" w:lineRule="auto"/>
        <w:ind w:left="851" w:hanging="284"/>
        <w:jc w:val="both"/>
        <w:rPr>
          <w:rFonts w:ascii="Arial" w:eastAsia="Times New Roman" w:hAnsi="Arial" w:cs="Arial"/>
        </w:rPr>
      </w:pPr>
      <w:r>
        <w:rPr>
          <w:rFonts w:ascii="Arial" w:hAnsi="Arial"/>
        </w:rPr>
        <w:t xml:space="preserve">a) les résultats des tirages doivent être publiés plus de deux fois par semaine, </w:t>
      </w:r>
    </w:p>
    <w:p w14:paraId="452C7B2E" w14:textId="77777777" w:rsidR="004C126C" w:rsidRDefault="00A4265D" w:rsidP="004C126C">
      <w:pPr>
        <w:widowControl w:val="0"/>
        <w:suppressAutoHyphens/>
        <w:spacing w:after="120" w:line="360" w:lineRule="auto"/>
        <w:ind w:left="851" w:hanging="284"/>
        <w:jc w:val="both"/>
        <w:rPr>
          <w:rFonts w:ascii="Arial" w:hAnsi="Arial"/>
        </w:rPr>
      </w:pPr>
      <w:r>
        <w:rPr>
          <w:rFonts w:ascii="Arial" w:hAnsi="Arial"/>
        </w:rPr>
        <w:t>b) le gain maximum est supérieur à trois millions d’euros, ou</w:t>
      </w:r>
    </w:p>
    <w:p w14:paraId="7F471E0B" w14:textId="48944A8B" w:rsidR="00001328" w:rsidRDefault="00A4265D" w:rsidP="004C126C">
      <w:pPr>
        <w:widowControl w:val="0"/>
        <w:suppressAutoHyphens/>
        <w:spacing w:after="120" w:line="360" w:lineRule="auto"/>
        <w:ind w:left="851" w:hanging="284"/>
        <w:jc w:val="both"/>
        <w:rPr>
          <w:rFonts w:ascii="Arial" w:eastAsia="Times New Roman" w:hAnsi="Arial" w:cs="Arial"/>
        </w:rPr>
      </w:pPr>
      <w:r>
        <w:rPr>
          <w:rFonts w:ascii="Arial" w:hAnsi="Arial"/>
        </w:rPr>
        <w:t>c)</w:t>
      </w:r>
      <w:r w:rsidR="004C126C">
        <w:rPr>
          <w:rFonts w:ascii="Arial" w:eastAsia="Times New Roman" w:hAnsi="Arial" w:cs="Arial"/>
        </w:rPr>
        <w:t xml:space="preserve"> </w:t>
      </w:r>
      <w:r>
        <w:rPr>
          <w:rFonts w:ascii="Arial" w:hAnsi="Arial"/>
        </w:rPr>
        <w:t xml:space="preserve">des parts de l’enjeu payé par le joueur doivent être collectées pour constituer les gains de tirages ultérieurs (jackpot régulier), </w:t>
      </w:r>
    </w:p>
    <w:p w14:paraId="66588B86" w14:textId="77777777" w:rsidR="00001328" w:rsidRDefault="00A4265D">
      <w:pPr>
        <w:spacing w:after="120" w:line="360" w:lineRule="auto"/>
        <w:ind w:left="284"/>
        <w:rPr>
          <w:rFonts w:ascii="Arial" w:eastAsia="Times New Roman" w:hAnsi="Arial" w:cs="Arial"/>
        </w:rPr>
      </w:pPr>
      <w:r>
        <w:rPr>
          <w:rFonts w:ascii="Arial" w:hAnsi="Arial"/>
        </w:rPr>
        <w:t xml:space="preserve">ou </w:t>
      </w:r>
    </w:p>
    <w:p w14:paraId="6DED7383" w14:textId="77777777" w:rsidR="00001328" w:rsidRDefault="00A4265D">
      <w:pPr>
        <w:spacing w:after="120" w:line="360" w:lineRule="auto"/>
        <w:ind w:left="567" w:hanging="283"/>
        <w:rPr>
          <w:rFonts w:ascii="Arial" w:eastAsia="Times New Roman" w:hAnsi="Arial" w:cs="Arial"/>
        </w:rPr>
      </w:pPr>
      <w:r>
        <w:rPr>
          <w:rFonts w:ascii="Arial" w:hAnsi="Arial"/>
        </w:rPr>
        <w:t>2. une participation interactive, avec une publication rapide des gains, est possible par l’intermédiaire d’un service de radiodiffusion et de télémédias.</w:t>
      </w:r>
    </w:p>
    <w:p w14:paraId="49754EA4" w14:textId="77777777" w:rsidR="00001328" w:rsidRDefault="00001328">
      <w:pPr>
        <w:spacing w:after="120" w:line="360" w:lineRule="auto"/>
        <w:rPr>
          <w:rFonts w:ascii="Arial" w:eastAsia="Times New Roman" w:hAnsi="Arial" w:cs="Arial"/>
          <w:lang w:eastAsia="ar-SA"/>
        </w:rPr>
      </w:pPr>
    </w:p>
    <w:p w14:paraId="3456D2B4"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rPr>
          <w:rFonts w:ascii="Arial" w:eastAsia="Times New Roman" w:hAnsi="Arial" w:cs="Arial"/>
          <w:b/>
        </w:rPr>
      </w:pPr>
      <w:r>
        <w:rPr>
          <w:rFonts w:ascii="Arial" w:hAnsi="Arial"/>
          <w:b/>
        </w:rPr>
        <w:t>Article 14 Organisateur</w:t>
      </w:r>
    </w:p>
    <w:p w14:paraId="01DE172A"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rPr>
          <w:rFonts w:ascii="Arial" w:eastAsia="Times New Roman" w:hAnsi="Arial" w:cs="Arial"/>
        </w:rPr>
      </w:pPr>
      <w:r>
        <w:rPr>
          <w:rFonts w:ascii="Arial" w:hAnsi="Arial"/>
        </w:rPr>
        <w:t xml:space="preserve">(1) Une licence peut seulement être délivrée si l’organisateur </w:t>
      </w:r>
    </w:p>
    <w:p w14:paraId="402B5C95"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ind w:left="567" w:hanging="283"/>
        <w:jc w:val="both"/>
        <w:rPr>
          <w:rFonts w:ascii="Arial" w:eastAsia="Times New Roman" w:hAnsi="Arial" w:cs="Arial"/>
        </w:rPr>
      </w:pPr>
      <w:r>
        <w:rPr>
          <w:rFonts w:ascii="Arial" w:hAnsi="Arial"/>
        </w:rPr>
        <w:t xml:space="preserve">1. remplit les conditions prévues à l’article 5, paragraphe 1, point 9, de la loi relative à l’impôt sur les sociétés, et </w:t>
      </w:r>
      <w:r>
        <w:rPr>
          <w:rFonts w:ascii="Arial" w:hAnsi="Arial"/>
        </w:rPr>
        <w:tab/>
        <w:t xml:space="preserve"> </w:t>
      </w:r>
    </w:p>
    <w:p w14:paraId="5A8B8E0E"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ind w:left="567" w:hanging="283"/>
        <w:jc w:val="both"/>
        <w:rPr>
          <w:rFonts w:ascii="Arial" w:eastAsia="Times New Roman" w:hAnsi="Arial" w:cs="Arial"/>
        </w:rPr>
      </w:pPr>
      <w:r>
        <w:rPr>
          <w:rFonts w:ascii="Arial" w:hAnsi="Arial"/>
        </w:rPr>
        <w:t xml:space="preserve">2. est fiable, offre notamment la garantie que l’organisation est réalisée de manière conforme et compréhensible pour les joueurs ainsi que pour l’autorité de délivrance des licences et que le revenu net est utilisé conformément à l’usage prévu. </w:t>
      </w:r>
      <w:r>
        <w:rPr>
          <w:rFonts w:ascii="Arial" w:hAnsi="Arial"/>
        </w:rPr>
        <w:tab/>
        <w:t xml:space="preserve"> </w:t>
      </w:r>
    </w:p>
    <w:p w14:paraId="36D59C55" w14:textId="77777777" w:rsidR="00001328" w:rsidRDefault="00A4265D">
      <w:pPr>
        <w:widowControl w:val="0"/>
        <w:suppressAutoHyphens/>
        <w:snapToGrid w:val="0"/>
        <w:spacing w:after="120" w:line="360" w:lineRule="auto"/>
        <w:jc w:val="both"/>
        <w:rPr>
          <w:rFonts w:ascii="Arial" w:eastAsia="Times New Roman" w:hAnsi="Arial" w:cs="Arial"/>
        </w:rPr>
      </w:pPr>
      <w:r>
        <w:rPr>
          <w:rFonts w:ascii="Arial" w:hAnsi="Arial"/>
        </w:rPr>
        <w:t>Le point 1 de la phrase 1 n’est pas d’application pour les organisateurs visés à l’article 10, paragraphes 2 et 3, pour les loteries organisées par la collectivité de droit public «Bayerisches Rotes Kreuz» (Croix rouge bavaroise) et pour les manifestations se déroulant sous la forme d’une épargne à primes (article 12, paragraphe 1, phrase 2).</w:t>
      </w:r>
    </w:p>
    <w:p w14:paraId="3BDB3C46" w14:textId="77777777" w:rsidR="00001328" w:rsidRDefault="00A4265D">
      <w:pPr>
        <w:widowControl w:val="0"/>
        <w:suppressAutoHyphens/>
        <w:snapToGrid w:val="0"/>
        <w:spacing w:after="120" w:line="360" w:lineRule="auto"/>
        <w:jc w:val="both"/>
        <w:rPr>
          <w:rFonts w:ascii="Arial" w:eastAsia="Times New Roman" w:hAnsi="Arial" w:cs="Arial"/>
        </w:rPr>
      </w:pPr>
      <w:r>
        <w:rPr>
          <w:rFonts w:ascii="Arial" w:hAnsi="Arial"/>
        </w:rPr>
        <w:t xml:space="preserve">(2) Si le déroulement de la manifestation doit être confié entièrement ou majoritairement à un tiers, la licence ne peut être accordée que si le déroulement de la manifestation n’est pas susceptible de porter préjudice à la transparence et à la possibilité d’un contrôle de la manifestation, et si le tiers </w:t>
      </w:r>
    </w:p>
    <w:p w14:paraId="5766E666" w14:textId="77777777" w:rsidR="004C126C" w:rsidRDefault="00A4265D" w:rsidP="004C126C">
      <w:pPr>
        <w:widowControl w:val="0"/>
        <w:tabs>
          <w:tab w:val="left" w:pos="56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170" w:firstLine="142"/>
        <w:jc w:val="both"/>
        <w:rPr>
          <w:rFonts w:ascii="Arial" w:hAnsi="Arial"/>
        </w:rPr>
      </w:pPr>
      <w:r>
        <w:rPr>
          <w:rFonts w:ascii="Arial" w:hAnsi="Arial"/>
        </w:rPr>
        <w:t>1.</w:t>
      </w:r>
      <w:r w:rsidR="004C126C">
        <w:rPr>
          <w:rFonts w:ascii="Arial" w:hAnsi="Arial"/>
        </w:rPr>
        <w:t xml:space="preserve"> </w:t>
      </w:r>
      <w:r>
        <w:rPr>
          <w:rFonts w:ascii="Arial" w:hAnsi="Arial"/>
        </w:rPr>
        <w:t>remplit les exigences du paragraphe 1, point 2 et</w:t>
      </w:r>
    </w:p>
    <w:p w14:paraId="08DE34C0" w14:textId="2DDCEC6D" w:rsidR="00001328" w:rsidRDefault="00A4265D" w:rsidP="004C126C">
      <w:pPr>
        <w:widowControl w:val="0"/>
        <w:tabs>
          <w:tab w:val="left" w:pos="56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170" w:firstLine="142"/>
        <w:jc w:val="both"/>
        <w:rPr>
          <w:rFonts w:ascii="Arial" w:eastAsia="Times New Roman" w:hAnsi="Arial" w:cs="Arial"/>
        </w:rPr>
      </w:pPr>
      <w:r>
        <w:rPr>
          <w:rFonts w:ascii="Arial" w:hAnsi="Arial"/>
        </w:rPr>
        <w:t xml:space="preserve">2. est soumis aux consignes de l’organisateur en ce qui concerne le déroulement de la </w:t>
      </w:r>
      <w:r w:rsidR="004C126C">
        <w:rPr>
          <w:rFonts w:ascii="Arial" w:hAnsi="Arial"/>
        </w:rPr>
        <w:br/>
        <w:t xml:space="preserve">       </w:t>
      </w:r>
      <w:r>
        <w:rPr>
          <w:rFonts w:ascii="Arial" w:hAnsi="Arial"/>
        </w:rPr>
        <w:t>manifestation, et n’a aucune influence légale ou réelle déterminante sur l’organisateur.</w:t>
      </w:r>
    </w:p>
    <w:p w14:paraId="4F9A57C1" w14:textId="77777777" w:rsidR="00001328" w:rsidRDefault="00001328">
      <w:pPr>
        <w:spacing w:after="120" w:line="360" w:lineRule="auto"/>
        <w:rPr>
          <w:rFonts w:ascii="Arial" w:hAnsi="Arial" w:cs="Arial"/>
        </w:rPr>
      </w:pPr>
    </w:p>
    <w:p w14:paraId="6F25752E"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rPr>
          <w:rFonts w:ascii="Arial" w:eastAsia="Times New Roman" w:hAnsi="Arial" w:cs="Arial"/>
          <w:b/>
        </w:rPr>
      </w:pPr>
      <w:r>
        <w:rPr>
          <w:rFonts w:ascii="Arial" w:hAnsi="Arial"/>
          <w:b/>
        </w:rPr>
        <w:t>Article 15 Plan de jeu, calcul et déroulement de l’organisation</w:t>
      </w:r>
    </w:p>
    <w:p w14:paraId="0B0D5F66"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(1) Le revenu net, le montant du gain et les frais doivent s’équilibrer de manière appropriée conformément au plan de jeu; les frais d’organisation doivent être réduits au minimum. Le revenu net est le montant correspondant à la somme des contreparties après déduction des frais, du montant du gain et des taxes. Une somme correspondant au moins à 30 % des enjeux encaissés doit être prévue dans le plan de jeu pour le bénéfice net ainsi que pour la somme des gains, et il ne doit y avoir aucune raison permettant de supposer que ce pourcentage ne sera pas atteint. Lors du dépôt de la demande, un calcul doit être présenté dont découlent les frais d’organisation prévisionnels, le montant du gain, les taxes et le revenu net. S’il s’avère après l’attribution de la licence que les coûts calculés seront vraisemblablement dépassés, l’autorité compétente devra être informée sans délai, et un nouveau calcul devra être présenté.</w:t>
      </w:r>
    </w:p>
    <w:p w14:paraId="1B117EEF"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(2) Les coûts des tiers au sens de l’article 14, paragraphe 2 ne peuvent être pris en compte dans les coûts de la loterie que dans la mesure où ils répondent aux principes d’une gestion rentable. La rémunération des tiers ne doit pas être calculée en fonction du chiffre d’affaires.</w:t>
      </w:r>
    </w:p>
    <w:p w14:paraId="093F571E"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(3) L’organisateur doit présenter à l’autorité compétente tous les documents et fournir tous les renseignements nécessaires au contrôle du déroulement réglementaire de la loterie. Il doit en particulier présenter un décompte incluant le montant réel des recettes, du bénéfice net, de la répartition des gains et des coûts de la manifestation.</w:t>
      </w:r>
    </w:p>
    <w:p w14:paraId="5DFDC787" w14:textId="77777777" w:rsidR="00001328" w:rsidRDefault="00A4265D">
      <w:pPr>
        <w:spacing w:after="120" w:line="360" w:lineRule="auto"/>
        <w:jc w:val="both"/>
        <w:rPr>
          <w:rFonts w:ascii="Arial" w:eastAsia="Times New Roman" w:hAnsi="Arial" w:cs="Arial"/>
        </w:rPr>
      </w:pPr>
      <w:r>
        <w:rPr>
          <w:rFonts w:ascii="Arial" w:hAnsi="Arial"/>
        </w:rPr>
        <w:t>(4) L’autorité compétente peut, aux frais de l’organisateur, mandater un expert-comptable agréé ou demander que celui-ci soit mandaté par l’organisateur, afin que soit établi et présenté à l’autorité un rapport permettant de contrôler la planification ou le déroulement réglementaire de la loterie, concernant en particulier la conformité des coûts de la loterie. Les coûts du rapport sont des coûts à la charge de la loterie.</w:t>
      </w:r>
    </w:p>
    <w:p w14:paraId="6BDC77A2" w14:textId="77777777" w:rsidR="00001328" w:rsidRDefault="00001328">
      <w:pPr>
        <w:spacing w:after="120" w:line="360" w:lineRule="auto"/>
        <w:rPr>
          <w:rFonts w:ascii="Arial" w:eastAsia="Times New Roman" w:hAnsi="Arial" w:cs="Arial"/>
          <w:lang w:eastAsia="ar-SA"/>
        </w:rPr>
      </w:pPr>
    </w:p>
    <w:p w14:paraId="03E669C8"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16 Utilisation du revenu net</w:t>
      </w:r>
    </w:p>
    <w:p w14:paraId="3974CEBC"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 xml:space="preserve">(1) Le revenu net de la manifestation doit être employé dans les meilleurs délais pour l’usage prévu dans la licence. </w:t>
      </w:r>
    </w:p>
    <w:p w14:paraId="512BDB29"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(2) Si l’organisateur souhaite employer le bénéfice net à des fins autres que les objectifs publics ou d’intérêt général, au profit d’églises ou d’organismes caritatifs, tels que définis dans la licence, ou si l’usage prévu ne peut pas être réalisé ou ne peut pas être réalisé dans les meilleurs délais, il doit en informer sans délai l’autorité compétente. Celle-ci peut définir à nouveau l’usage prévu après consultation de l’organisateur.</w:t>
      </w:r>
    </w:p>
    <w:p w14:paraId="1A839E12" w14:textId="77777777" w:rsidR="00001328" w:rsidRDefault="00A4265D">
      <w:pPr>
        <w:spacing w:after="120" w:line="360" w:lineRule="auto"/>
        <w:jc w:val="both"/>
        <w:rPr>
          <w:rFonts w:ascii="Arial" w:eastAsia="Times New Roman" w:hAnsi="Arial" w:cs="Arial"/>
        </w:rPr>
      </w:pPr>
      <w:r>
        <w:rPr>
          <w:rFonts w:ascii="Arial" w:hAnsi="Arial"/>
        </w:rPr>
        <w:t>(3) Une part appropriée du revenu net doit être employée dans le Land dans lequel la loterie est organisée.</w:t>
      </w:r>
    </w:p>
    <w:p w14:paraId="4653DAC7" w14:textId="77777777" w:rsidR="00001328" w:rsidRDefault="00001328">
      <w:pPr>
        <w:spacing w:after="120" w:line="360" w:lineRule="auto"/>
        <w:jc w:val="both"/>
        <w:rPr>
          <w:rFonts w:ascii="Arial" w:hAnsi="Arial" w:cs="Arial"/>
        </w:rPr>
      </w:pPr>
    </w:p>
    <w:p w14:paraId="19FCCDA7"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rPr>
          <w:rFonts w:ascii="Arial" w:eastAsia="Times New Roman" w:hAnsi="Arial" w:cs="Arial"/>
          <w:b/>
        </w:rPr>
      </w:pPr>
      <w:r>
        <w:rPr>
          <w:rFonts w:ascii="Arial" w:hAnsi="Arial"/>
          <w:b/>
        </w:rPr>
        <w:lastRenderedPageBreak/>
        <w:t>Article 17 Forme et contenu de la licence</w:t>
      </w:r>
    </w:p>
    <w:p w14:paraId="126A2C7A"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La licence est accordée par écrit. Elle définit en particulier</w:t>
      </w:r>
    </w:p>
    <w:p w14:paraId="0E390FA0"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1. l’organisateur, et dans le cas de l’article 14, paragraphe 2, le tiers,</w:t>
      </w:r>
    </w:p>
    <w:p w14:paraId="3E1935A8" w14:textId="77777777" w:rsidR="00001328" w:rsidRDefault="00A4265D">
      <w:pPr>
        <w:widowControl w:val="0"/>
        <w:tabs>
          <w:tab w:val="left" w:pos="0"/>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284" w:hanging="284"/>
        <w:jc w:val="both"/>
        <w:rPr>
          <w:rFonts w:ascii="Arial" w:eastAsia="Times New Roman" w:hAnsi="Arial" w:cs="Arial"/>
        </w:rPr>
      </w:pPr>
      <w:r>
        <w:rPr>
          <w:rFonts w:ascii="Arial" w:hAnsi="Arial"/>
        </w:rPr>
        <w:t xml:space="preserve">2. </w:t>
      </w:r>
      <w:r>
        <w:rPr>
          <w:rFonts w:ascii="Arial" w:hAnsi="Arial"/>
        </w:rPr>
        <w:tab/>
        <w:t>la nature, le lieu ou le secteur, ainsi que le début et la durée de l’organisation,</w:t>
      </w:r>
    </w:p>
    <w:p w14:paraId="682C4146" w14:textId="77777777" w:rsidR="00001328" w:rsidRDefault="00A4265D">
      <w:pPr>
        <w:widowControl w:val="0"/>
        <w:tabs>
          <w:tab w:val="left" w:pos="0"/>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284" w:hanging="284"/>
        <w:jc w:val="both"/>
        <w:rPr>
          <w:rFonts w:ascii="Arial" w:eastAsia="Times New Roman" w:hAnsi="Arial" w:cs="Arial"/>
        </w:rPr>
      </w:pPr>
      <w:r>
        <w:rPr>
          <w:rFonts w:ascii="Arial" w:hAnsi="Arial"/>
        </w:rPr>
        <w:t>3.</w:t>
      </w:r>
      <w:r>
        <w:rPr>
          <w:rFonts w:ascii="Arial" w:hAnsi="Arial"/>
        </w:rPr>
        <w:tab/>
        <w:t>l’usage prévu pour le revenu net, la nature et la manière dont est réalisé le contrôle de l’usage prévu, ainsi que le moment auquel le contrôle doit être réalisé,</w:t>
      </w:r>
    </w:p>
    <w:p w14:paraId="04D11311" w14:textId="77777777" w:rsidR="00001328" w:rsidRDefault="00A4265D">
      <w:pPr>
        <w:keepNext/>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ind w:left="284" w:hanging="284"/>
        <w:jc w:val="both"/>
        <w:rPr>
          <w:rFonts w:ascii="Arial" w:eastAsia="Times New Roman" w:hAnsi="Arial" w:cs="Arial"/>
        </w:rPr>
      </w:pPr>
      <w:r>
        <w:rPr>
          <w:rFonts w:ascii="Arial" w:hAnsi="Arial"/>
        </w:rPr>
        <w:t xml:space="preserve">4. le plan de jeu et </w:t>
      </w:r>
    </w:p>
    <w:p w14:paraId="63D53795" w14:textId="77777777" w:rsidR="00001328" w:rsidRDefault="00A4265D">
      <w:pPr>
        <w:spacing w:after="120" w:line="360" w:lineRule="auto"/>
        <w:ind w:left="284" w:hanging="284"/>
        <w:jc w:val="both"/>
        <w:rPr>
          <w:rFonts w:ascii="Arial" w:eastAsia="Times New Roman" w:hAnsi="Arial" w:cs="Arial"/>
        </w:rPr>
      </w:pPr>
      <w:r>
        <w:rPr>
          <w:rFonts w:ascii="Arial" w:hAnsi="Arial"/>
        </w:rPr>
        <w:t>5. le mode de commercialisation.</w:t>
      </w:r>
    </w:p>
    <w:p w14:paraId="05C2491E" w14:textId="77777777" w:rsidR="00001328" w:rsidRDefault="00001328">
      <w:pPr>
        <w:spacing w:after="120" w:line="360" w:lineRule="auto"/>
        <w:rPr>
          <w:rFonts w:ascii="Arial" w:eastAsia="Times New Roman" w:hAnsi="Arial" w:cs="Arial"/>
          <w:lang w:eastAsia="ar-SA"/>
        </w:rPr>
      </w:pPr>
    </w:p>
    <w:p w14:paraId="097BAC4A" w14:textId="77777777" w:rsidR="00001328" w:rsidRDefault="00A4265D">
      <w:pPr>
        <w:keepNext/>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18 Petites loteries</w:t>
      </w:r>
    </w:p>
    <w:p w14:paraId="688D42AF"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Les Länder peuvent déroger aux réglementations du traité d’État pour des loteries lorsque</w:t>
      </w:r>
    </w:p>
    <w:p w14:paraId="0E442F6F"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ind w:left="567" w:hanging="283"/>
        <w:jc w:val="both"/>
        <w:rPr>
          <w:rFonts w:ascii="Arial" w:eastAsia="Times New Roman" w:hAnsi="Arial" w:cs="Arial"/>
        </w:rPr>
      </w:pPr>
      <w:r>
        <w:rPr>
          <w:rFonts w:ascii="Arial" w:hAnsi="Arial"/>
        </w:rPr>
        <w:t xml:space="preserve">1. </w:t>
      </w:r>
      <w:r>
        <w:rPr>
          <w:rFonts w:ascii="Arial" w:hAnsi="Arial"/>
        </w:rPr>
        <w:tab/>
        <w:t xml:space="preserve">le montant total des enjeux encaissés ne dépasse pas la somme de 40 000 euros, </w:t>
      </w:r>
    </w:p>
    <w:p w14:paraId="68DC7277"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ind w:left="567" w:hanging="283"/>
        <w:jc w:val="both"/>
        <w:rPr>
          <w:rFonts w:ascii="Arial" w:eastAsia="Times New Roman" w:hAnsi="Arial" w:cs="Arial"/>
        </w:rPr>
      </w:pPr>
      <w:r>
        <w:rPr>
          <w:rFonts w:ascii="Arial" w:hAnsi="Arial"/>
        </w:rPr>
        <w:t>2.</w:t>
      </w:r>
      <w:r>
        <w:rPr>
          <w:rFonts w:ascii="Arial" w:hAnsi="Arial"/>
        </w:rPr>
        <w:tab/>
        <w:t xml:space="preserve">le revenu net est employé exclusivement et directement à des fins d’intérêt général, au profit d’églises ou d’organismes caritatifs, et </w:t>
      </w:r>
    </w:p>
    <w:p w14:paraId="6C202176" w14:textId="77777777" w:rsidR="00001328" w:rsidRDefault="00A4265D">
      <w:pPr>
        <w:spacing w:after="120" w:line="360" w:lineRule="auto"/>
        <w:ind w:left="567" w:hanging="283"/>
        <w:jc w:val="both"/>
        <w:rPr>
          <w:rFonts w:ascii="Arial" w:eastAsia="Times New Roman" w:hAnsi="Arial" w:cs="Arial"/>
        </w:rPr>
      </w:pPr>
      <w:r>
        <w:rPr>
          <w:rFonts w:ascii="Arial" w:hAnsi="Arial"/>
        </w:rPr>
        <w:t>3.</w:t>
      </w:r>
      <w:r>
        <w:rPr>
          <w:rFonts w:ascii="Arial" w:hAnsi="Arial"/>
        </w:rPr>
        <w:tab/>
        <w:t>le revenu net et le total des gains s’élèvent respectivement à 25 % au moins des enjeux encaissés.</w:t>
      </w:r>
    </w:p>
    <w:p w14:paraId="27B08ABA" w14:textId="77777777" w:rsidR="00001328" w:rsidRDefault="00001328">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center"/>
        <w:rPr>
          <w:rFonts w:ascii="Arial" w:eastAsia="Times New Roman" w:hAnsi="Arial" w:cs="Arial"/>
          <w:b/>
          <w:lang w:eastAsia="ar-SA"/>
        </w:rPr>
      </w:pPr>
    </w:p>
    <w:p w14:paraId="3AC6D9E9"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center"/>
        <w:rPr>
          <w:rFonts w:ascii="Arial" w:eastAsia="Times New Roman" w:hAnsi="Arial" w:cs="Arial"/>
          <w:b/>
        </w:rPr>
      </w:pPr>
      <w:r>
        <w:rPr>
          <w:rFonts w:ascii="Arial" w:hAnsi="Arial"/>
          <w:b/>
        </w:rPr>
        <w:t>Quatrième section</w:t>
      </w:r>
      <w:r>
        <w:rPr>
          <w:rFonts w:ascii="Arial" w:hAnsi="Arial"/>
          <w:b/>
        </w:rPr>
        <w:br/>
        <w:t>Agent professionnel</w:t>
      </w:r>
      <w:r>
        <w:rPr>
          <w:rFonts w:ascii="Arial" w:hAnsi="Arial"/>
          <w:b/>
        </w:rPr>
        <w:br/>
      </w:r>
    </w:p>
    <w:p w14:paraId="79A29F66"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rPr>
          <w:rFonts w:ascii="Arial" w:eastAsia="Times New Roman" w:hAnsi="Arial" w:cs="Arial"/>
        </w:rPr>
      </w:pPr>
      <w:r w:rsidRPr="004C126C">
        <w:rPr>
          <w:rFonts w:ascii="Arial" w:hAnsi="Arial"/>
          <w:b/>
          <w:bCs/>
        </w:rPr>
        <w:t>Article 19 Agent professionnel</w:t>
      </w:r>
      <w:r>
        <w:rPr>
          <w:rFonts w:ascii="Arial" w:hAnsi="Arial"/>
        </w:rPr>
        <w:br/>
        <w:t>(1) Outre les articles 4 à 8d, et sans préjudice d’autres réglementations légales, les dispositions suivantes s’appliquent pour les activités de l’agent professionnel:</w:t>
      </w:r>
    </w:p>
    <w:p w14:paraId="6ECA1180" w14:textId="77777777" w:rsidR="00001328" w:rsidRDefault="00A4265D">
      <w:pPr>
        <w:keepNext/>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ind w:left="567" w:hanging="283"/>
        <w:jc w:val="both"/>
        <w:rPr>
          <w:rFonts w:ascii="Arial" w:eastAsia="Times New Roman" w:hAnsi="Arial" w:cs="Arial"/>
        </w:rPr>
      </w:pPr>
      <w:r>
        <w:rPr>
          <w:rFonts w:ascii="Arial" w:hAnsi="Arial"/>
        </w:rPr>
        <w:t xml:space="preserve">1. </w:t>
      </w:r>
      <w:r>
        <w:rPr>
          <w:rFonts w:ascii="Arial" w:hAnsi="Arial"/>
        </w:rPr>
        <w:tab/>
        <w:t>L’agent professionnel doit transmettre à l’organisateur deux tiers au moins des enjeux encaissés auprès des joueurs pour participer au jeu. Il est tenu de faire confirmer cette opération par l’intermédiaire d’un mandataire dûment habilité à exercer, de manière indépendante, la profession de conseiller juridique ou fiscal afin de soumettre l’attestation y afférente à l’autorité chargée de délivrer les autorisations. Avant conclusion d’un contrat, il doit indiquer aux joueurs sous forme écrite, de façon claire et compréhensible, le montant qui doit être transmis à l’organisateur pour la participation au jeu, et doit en informer l’organisateur immédiatement après transmission du bulletin de jeu.</w:t>
      </w:r>
    </w:p>
    <w:p w14:paraId="590E48AB" w14:textId="77777777" w:rsidR="00001328" w:rsidRDefault="00A4265D">
      <w:pPr>
        <w:keepNext/>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ind w:left="567" w:hanging="283"/>
        <w:jc w:val="both"/>
        <w:rPr>
          <w:rFonts w:ascii="Arial" w:eastAsia="Times New Roman" w:hAnsi="Arial" w:cs="Arial"/>
        </w:rPr>
      </w:pPr>
      <w:r>
        <w:rPr>
          <w:rFonts w:ascii="Arial" w:hAnsi="Arial"/>
        </w:rPr>
        <w:t xml:space="preserve">2. </w:t>
      </w:r>
      <w:r>
        <w:rPr>
          <w:rFonts w:ascii="Arial" w:hAnsi="Arial"/>
        </w:rPr>
        <w:tab/>
        <w:t xml:space="preserve">Les agents professionnels ainsi que les tiers mandatés par eux ou par des personnes intéressées au sens de l’article 3, paragraphe 8 sont tenus de révéler la transaction à </w:t>
      </w:r>
      <w:r>
        <w:rPr>
          <w:rFonts w:ascii="Arial" w:hAnsi="Arial"/>
        </w:rPr>
        <w:lastRenderedPageBreak/>
        <w:t xml:space="preserve">l’organisateur à chaque participation au jeu. </w:t>
      </w:r>
    </w:p>
    <w:p w14:paraId="1406BAFD"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567" w:hanging="283"/>
        <w:jc w:val="both"/>
        <w:rPr>
          <w:rFonts w:ascii="Arial" w:eastAsia="Times New Roman" w:hAnsi="Arial" w:cs="Arial"/>
        </w:rPr>
      </w:pPr>
      <w:r>
        <w:rPr>
          <w:rFonts w:ascii="Arial" w:hAnsi="Arial"/>
        </w:rPr>
        <w:t xml:space="preserve">3. </w:t>
      </w:r>
      <w:r>
        <w:rPr>
          <w:rFonts w:ascii="Arial" w:hAnsi="Arial"/>
        </w:rPr>
        <w:tab/>
        <w:t>Les agents professionnels sont obligés de veiller à ce que, en cas de conclusion d’un contrat, un mandataire, habilité à exercer une profession indépendante de conseil juridique ou fiscal, soit chargé de la conservation des bulletins de jeu et de faire valoir le droit aux gains vis-à-vis de l’organisateur. Lors de la conclusion du contrat, un droit de consultation des quittances de jeu qui ont été transmises pour son compte doit être accordé au joueur. Si le joueur ne fait pas valoir un droit à un gain dans un délai de trois mois auprès du mandataire, le montant du gain est reversé à l’organisateur.</w:t>
      </w:r>
    </w:p>
    <w:p w14:paraId="614040D8"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 xml:space="preserve">(2) Si des agents professionnels exercent dans plusieurs ou dans tous les Länder, les licences visées à l’article 4, paragraphe 1, phrase 1 et paragraphe 4, phrase 1 sont attribuées conjointement par l’autorité centrale compétente. L’article 9a, paragraphes 2 et 4, s’applique par analogie. </w:t>
      </w:r>
    </w:p>
    <w:p w14:paraId="79047C80" w14:textId="77777777" w:rsidR="00001328" w:rsidRDefault="00A4265D">
      <w:pPr>
        <w:spacing w:after="120" w:line="360" w:lineRule="auto"/>
        <w:rPr>
          <w:rFonts w:ascii="Arial" w:hAnsi="Arial" w:cs="Arial"/>
        </w:rPr>
      </w:pPr>
      <w:r>
        <w:rPr>
          <w:rFonts w:ascii="Arial" w:hAnsi="Arial"/>
        </w:rPr>
        <w:t>(3) L’article 4, paragraphe 6, est applicable par analogie.</w:t>
      </w:r>
    </w:p>
    <w:p w14:paraId="3C293921" w14:textId="77777777" w:rsidR="00001328" w:rsidRDefault="00001328">
      <w:pPr>
        <w:spacing w:after="120" w:line="360" w:lineRule="auto"/>
        <w:rPr>
          <w:rFonts w:ascii="Arial" w:hAnsi="Arial" w:cs="Arial"/>
        </w:rPr>
      </w:pPr>
    </w:p>
    <w:p w14:paraId="14817FEE"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center"/>
        <w:rPr>
          <w:rFonts w:ascii="Arial" w:eastAsia="Times New Roman" w:hAnsi="Arial" w:cs="Arial"/>
          <w:b/>
        </w:rPr>
      </w:pPr>
      <w:r>
        <w:rPr>
          <w:rFonts w:ascii="Arial" w:hAnsi="Arial"/>
          <w:b/>
        </w:rPr>
        <w:t>Cinquième section:</w:t>
      </w:r>
      <w:r>
        <w:rPr>
          <w:rFonts w:ascii="Arial" w:hAnsi="Arial"/>
          <w:b/>
        </w:rPr>
        <w:br/>
        <w:t>Réglementations spéciales</w:t>
      </w:r>
    </w:p>
    <w:p w14:paraId="4715983D"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20 Maisons de jeu</w:t>
      </w:r>
    </w:p>
    <w:p w14:paraId="227E40A4"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Aux fins de la réalisation des objectifs énoncés au paragraphe 1, il convient de limiter le nombre de maisons de jeu dans chaque Land.</w:t>
      </w:r>
    </w:p>
    <w:p w14:paraId="60829D4E" w14:textId="77777777" w:rsidR="00001328" w:rsidRDefault="00A4265D">
      <w:pPr>
        <w:spacing w:after="120" w:line="360" w:lineRule="auto"/>
        <w:rPr>
          <w:rFonts w:ascii="Arial" w:hAnsi="Arial" w:cs="Arial"/>
        </w:rPr>
      </w:pPr>
      <w:r>
        <w:rPr>
          <w:rFonts w:ascii="Arial" w:hAnsi="Arial"/>
          <w:strike/>
        </w:rPr>
        <w:t xml:space="preserve"> </w:t>
      </w:r>
    </w:p>
    <w:p w14:paraId="0DD9AF5A"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21 Paris sportifs</w:t>
      </w:r>
    </w:p>
    <w:p w14:paraId="7328C664"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(1) Les paris sportifs peuvent être autorisés en tant que paris combinés ou paris simples sur le résultat d’événements sportifs ou de sections d’événements sportifs (paris sur les résultats) ainsi que sur des événements individuels pendant l’événement sportif ou sur une combinaison de ces événements (paris sur les événements).</w:t>
      </w:r>
    </w:p>
    <w:p w14:paraId="7E4FDB17"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(1a) La conception des paris sportifs ne doit pas aller à l’encontre des objectifs de l’article premier. Les paris sportifs sur des événements sportifs dans lesquels seuls ou majoritairement des mineurs sont impliqués sont interdits, sauf s’il s’agit de grands événements sportifs nationaux ou internationaux. Il en va de même pour les événements sportifs auxquels seuls ou majoritairement des amateurs participent. Les paris sportifs susceptibles d’être manipulés de manière significative ou mettant en danger l’intégrité de la compétition sportive ne sont pas autorisés; cela s’applique en particulier aux événements qu’un participant à un événement sportif peut provoquer arbitrairement. Les paris sportifs sur la survenance d’un comportement illégal ou la sanction d’un comportement illégal ou prétendument illégal ne sont pas autorisés.</w:t>
      </w:r>
    </w:p>
    <w:p w14:paraId="58950FCB"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jc w:val="both"/>
        <w:rPr>
          <w:rFonts w:ascii="Arial" w:eastAsia="Times New Roman" w:hAnsi="Arial" w:cs="Arial"/>
        </w:rPr>
      </w:pPr>
      <w:r>
        <w:rPr>
          <w:rFonts w:ascii="Arial" w:hAnsi="Arial"/>
        </w:rPr>
        <w:t xml:space="preserve">(2) La distribution de paris sportifs est interdite dans tout bâtiment ou ensemble de bâtiments </w:t>
      </w:r>
      <w:r>
        <w:rPr>
          <w:rFonts w:ascii="Arial" w:hAnsi="Arial"/>
        </w:rPr>
        <w:lastRenderedPageBreak/>
        <w:t xml:space="preserve">accueillant une maison de jeu ou une arcade. </w:t>
      </w:r>
    </w:p>
    <w:p w14:paraId="698BC41F"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(3) L’organisation, la distribution et la vente directe de paris sportifs doivent être séparées sur le plan organisationnel, légal, économique et personnel de l’organisation d’événements sportifs et de l’exploitation d’équipements utilisés pour des manifestations sportives.</w:t>
      </w:r>
      <w:r>
        <w:rPr>
          <w:rFonts w:ascii="Arial" w:hAnsi="Arial"/>
          <w:i/>
        </w:rPr>
        <w:t xml:space="preserve"> </w:t>
      </w:r>
      <w:r>
        <w:rPr>
          <w:rFonts w:ascii="Arial" w:hAnsi="Arial"/>
        </w:rPr>
        <w:t xml:space="preserve">Les parties intéressées susceptibles d’influencer, directement ou indirectement, l’issue d’un pari, ainsi que les tiers mandatés par ces personnes, ne peuvent ni conclure de paris sportifs portant sur l’issue ou le déroulement d’un événement sportif, ni favoriser la prise de paris par l’intermédiaire de tiers. Les organisateurs de paris sportifs sont tenus de participer à un système d’alerte précoce indépendant, qui sert à empêcher la manipulation de la compétition sportive et permet de l’identifier à un stade précoce. Les organisateurs informent immédiatement les autorités de toute anomalie, participent à l’enquête et fournissent les informations disponibles. L’autorité en charge de l’octroi de la licence peut demander d’autres mesures appropriées pour éviter la manipulation des paris. </w:t>
      </w:r>
    </w:p>
    <w:p w14:paraId="31EFD040"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jc w:val="both"/>
        <w:rPr>
          <w:rFonts w:ascii="Arial" w:eastAsia="Times New Roman" w:hAnsi="Arial" w:cs="Arial"/>
        </w:rPr>
      </w:pPr>
      <w:r>
        <w:rPr>
          <w:rFonts w:ascii="Arial" w:hAnsi="Arial"/>
        </w:rPr>
        <w:t>(4) Il est interdit d’associer la radiodiffusion et la télédiffusion d’événements sportifs à l’organisation ou à la distribution de paris sportifs. Les paris pendant le déroulement de l’événement sportif peuvent être placés uniquement s’il s’agit</w:t>
      </w:r>
    </w:p>
    <w:p w14:paraId="39164F97" w14:textId="77777777" w:rsidR="004C126C" w:rsidRDefault="00A4265D" w:rsidP="004C126C">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ind w:left="567" w:hanging="283"/>
        <w:jc w:val="both"/>
        <w:rPr>
          <w:rFonts w:ascii="Arial" w:hAnsi="Arial"/>
        </w:rPr>
      </w:pPr>
      <w:r>
        <w:rPr>
          <w:rFonts w:ascii="Arial" w:hAnsi="Arial"/>
        </w:rPr>
        <w:t>1.</w:t>
      </w:r>
      <w:r w:rsidR="004C126C">
        <w:rPr>
          <w:rFonts w:ascii="Arial" w:hAnsi="Arial"/>
        </w:rPr>
        <w:t xml:space="preserve"> </w:t>
      </w:r>
      <w:r>
        <w:rPr>
          <w:rFonts w:ascii="Arial" w:hAnsi="Arial"/>
        </w:rPr>
        <w:t>de paris sur le score final ou</w:t>
      </w:r>
    </w:p>
    <w:p w14:paraId="6D2BE9FB" w14:textId="27F82C59" w:rsidR="00001328" w:rsidRDefault="00A4265D" w:rsidP="004C126C">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ind w:left="567" w:hanging="283"/>
        <w:jc w:val="both"/>
        <w:rPr>
          <w:rFonts w:ascii="Arial" w:eastAsia="Times New Roman" w:hAnsi="Arial" w:cs="Arial"/>
        </w:rPr>
      </w:pPr>
      <w:r>
        <w:rPr>
          <w:rFonts w:ascii="Arial" w:hAnsi="Arial"/>
        </w:rPr>
        <w:t xml:space="preserve">2. de paris sur le prochain but, le prochain set ou un élément similaire d’un résultat final dans des sports dans lesquels il se produit régulièrement un petit nombre de ces événements au total, en particulier dans le football, le hockey, le hockey sur glace ou le volley-ball. </w:t>
      </w:r>
    </w:p>
    <w:p w14:paraId="48BC3F77"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jc w:val="both"/>
        <w:rPr>
          <w:rFonts w:ascii="Arial" w:eastAsia="Times New Roman" w:hAnsi="Arial" w:cs="Arial"/>
        </w:rPr>
      </w:pPr>
      <w:r>
        <w:rPr>
          <w:rFonts w:ascii="Arial" w:hAnsi="Arial"/>
        </w:rPr>
        <w:t>(5) Les paris sportifs ne peuvent être proposés que si le type et la présentation ont été préalablement approuvés par l’autorité compétente. La licence d’offrir un pari est accordée sur demande. Dans la licence, l’autorité compétente peut se référer à une liste de paris autorisés publiée sur le site web de l’autorité. La licence pour offrir de nouveaux paris est considérée comme accordée pour les paris qui figurent déjà dans la liste visée à la phrase 3 si l’organisateur a notifié à l’autorité compétente son intention d’offrir ces paris et celle-ci ne s’y est pas opposée dans un délai de deux semaines. La permission d’offrir un pari peut être retirée à moins qu’elle ne soit réémise au moment du retrait. La licence selon la phrase 4 ne s’applique pas si le pari concerné est supprimé de la liste visée à la phrase 3. Les organisateurs de paris sportifs sont tenus de vérifier la liste visée à la phrase 3 régulièrement, au moins une fois par mois.</w:t>
      </w:r>
    </w:p>
    <w:p w14:paraId="78DB86AD"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jc w:val="both"/>
        <w:rPr>
          <w:rFonts w:ascii="Arial" w:hAnsi="Arial" w:cs="Arial"/>
        </w:rPr>
      </w:pPr>
      <w:r>
        <w:rPr>
          <w:rFonts w:ascii="Arial" w:hAnsi="Arial"/>
        </w:rPr>
        <w:t xml:space="preserve">(6) Les organisateurs de paris sportifs et les organisateurs d’événements sportifs peuvent collecter et traiter les noms et les dates de naissance des participants à la compétition tels que définis par l'article 3, paragraphe 6, de la Convention du Conseil de l'Europe sur la manipulation des compétitions sportives du 18 septembre 2014 aux fins de contrôler l'interdiction prévue à l'alinéa 3 phrase 2 et, ce faisant, peuvent également les transmettre </w:t>
      </w:r>
      <w:r>
        <w:rPr>
          <w:rFonts w:ascii="Arial" w:hAnsi="Arial"/>
        </w:rPr>
        <w:lastRenderedPageBreak/>
        <w:t>entre eux et à l'autorité de surveillance des jeux compétente. Les données personnelles doivent être traitées séparément des autres données et supprimées immédiatement si elles ne sont plus nécessaires pour contrôler l’interdiction des paris.</w:t>
      </w:r>
    </w:p>
    <w:p w14:paraId="18CAA1DF"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jc w:val="both"/>
        <w:rPr>
          <w:rFonts w:ascii="Arial" w:hAnsi="Arial" w:cs="Arial"/>
        </w:rPr>
      </w:pPr>
      <w:r>
        <w:rPr>
          <w:rFonts w:ascii="Arial" w:hAnsi="Arial"/>
        </w:rPr>
        <w:t>(7) Une licence pour la distribution de paris sportifs sur l'Internet ne peut être accordée que dans les conditions de l’article 4a, paragraphe 1, point 1, lettres a, b et d, point 2, lettres a et c et point 3, lettres b à e.  Les articles 4b, 4c, paragraphes 1 et 2 et 4d sont applicables mutatis mutandis.</w:t>
      </w:r>
    </w:p>
    <w:p w14:paraId="30B0A7C7" w14:textId="77777777" w:rsidR="00001328" w:rsidRDefault="00001328">
      <w:pPr>
        <w:spacing w:after="120" w:line="360" w:lineRule="auto"/>
        <w:rPr>
          <w:rFonts w:ascii="Arial" w:hAnsi="Arial" w:cs="Arial"/>
        </w:rPr>
      </w:pPr>
    </w:p>
    <w:p w14:paraId="042146E0" w14:textId="77777777" w:rsidR="00001328" w:rsidRDefault="00A4265D">
      <w:pPr>
        <w:keepNext/>
        <w:spacing w:after="120" w:line="360" w:lineRule="auto"/>
        <w:rPr>
          <w:rFonts w:ascii="Arial" w:hAnsi="Arial" w:cs="Arial"/>
          <w:b/>
        </w:rPr>
      </w:pPr>
      <w:r>
        <w:rPr>
          <w:rFonts w:ascii="Arial" w:hAnsi="Arial"/>
          <w:b/>
        </w:rPr>
        <w:t>Article 21a Bureaux de placement des paris</w:t>
      </w:r>
    </w:p>
    <w:p w14:paraId="0BA8C117" w14:textId="77777777" w:rsidR="00001328" w:rsidRDefault="00A4265D">
      <w:pPr>
        <w:spacing w:after="120" w:line="360" w:lineRule="auto"/>
        <w:jc w:val="both"/>
        <w:rPr>
          <w:rFonts w:ascii="Arial" w:eastAsia="Times New Roman" w:hAnsi="Arial" w:cs="Arial"/>
        </w:rPr>
      </w:pPr>
      <w:r>
        <w:rPr>
          <w:rFonts w:ascii="Arial" w:hAnsi="Arial"/>
        </w:rPr>
        <w:t>(1) Les Länder limitent le nombre des bureaux de placement des paris afin d’atteindre les objectifs définis à l’article premier. La distribution de paris au sein de ces bureaux est soumise à l’obtention de la licence visée à l’article 4, paragraphe 1, phrase 1; l’article 29, paragraphe 2, phrase 2, s’applique par analogie.</w:t>
      </w:r>
    </w:p>
    <w:p w14:paraId="64044E4B" w14:textId="77777777" w:rsidR="00001328" w:rsidRDefault="00A4265D">
      <w:pPr>
        <w:spacing w:after="120" w:line="360" w:lineRule="auto"/>
        <w:jc w:val="both"/>
        <w:rPr>
          <w:rFonts w:ascii="Arial" w:hAnsi="Arial" w:cs="Arial"/>
        </w:rPr>
      </w:pPr>
      <w:r>
        <w:rPr>
          <w:rFonts w:ascii="Arial" w:hAnsi="Arial"/>
        </w:rPr>
        <w:t>(2) Les ventes stationnaires et la distribution de paris sportifs en dehors des bureaux de placement des paris sont interdites.</w:t>
      </w:r>
    </w:p>
    <w:p w14:paraId="143C8344" w14:textId="77777777" w:rsidR="00001328" w:rsidRDefault="00A4265D">
      <w:pPr>
        <w:spacing w:after="120" w:line="360" w:lineRule="auto"/>
        <w:jc w:val="both"/>
        <w:rPr>
          <w:rFonts w:ascii="Arial" w:hAnsi="Arial" w:cs="Arial"/>
        </w:rPr>
      </w:pPr>
      <w:r>
        <w:rPr>
          <w:rFonts w:ascii="Arial" w:hAnsi="Arial"/>
        </w:rPr>
        <w:t>(3) Seuls les paris d’un organisateur peuvent être vendus ou distribués dans un bureau de placement des paris.</w:t>
      </w:r>
    </w:p>
    <w:p w14:paraId="70849062" w14:textId="77777777" w:rsidR="00001328" w:rsidRDefault="00A4265D">
      <w:pPr>
        <w:spacing w:after="120" w:line="360" w:lineRule="auto"/>
        <w:jc w:val="both"/>
        <w:rPr>
          <w:rFonts w:ascii="Arial" w:hAnsi="Arial" w:cs="Arial"/>
        </w:rPr>
      </w:pPr>
      <w:r>
        <w:rPr>
          <w:rFonts w:ascii="Arial" w:hAnsi="Arial"/>
        </w:rPr>
        <w:t>(4) Si l’organisateur, dont les paris sportifs sont vendus ou distribués dans le bureau de placement des paris, ou l’agent propose également des paris sportifs sur Internet et si un compte de jeu conformément à l’article 6a a été créé pour un joueur auprès de cet organisateur ou agent, les paris effectués par un joueur dans les agences de paris doivent être enregistrés sur son compte de jeu. Les paiements effectués pour les paris effectués dans le bureau de placement des paris ne doivent pas être comptabilisés dans la limite de dépôt qui s’applique à tous les fournisseurs conformément à l’article 6c, paragraphe 1, à moins que les dépôts ou les gains provenant de paris sportifs qui ont été conclus dans le bureau de placement des paris sportifs soient crédités sur le compte de jeu conformément à l’article 6a et puissent être utilisés comme paris pour le jeu sur l'Internet. Les organisateurs et les agents doivent s’en assurer en prenant les mesures techniques appropriées.</w:t>
      </w:r>
    </w:p>
    <w:p w14:paraId="28A3E0C9" w14:textId="77777777" w:rsidR="00001328" w:rsidRDefault="00A4265D">
      <w:pPr>
        <w:spacing w:after="120" w:line="360" w:lineRule="auto"/>
        <w:jc w:val="both"/>
        <w:rPr>
          <w:rFonts w:ascii="Arial" w:hAnsi="Arial" w:cs="Arial"/>
        </w:rPr>
      </w:pPr>
      <w:r>
        <w:rPr>
          <w:rFonts w:ascii="Arial" w:hAnsi="Arial"/>
        </w:rPr>
        <w:t>(5) Les modalités détaillées concernant les bureaux de placement des paris sont fixées par les dispositions d’application arrêtées par les Länder.</w:t>
      </w:r>
    </w:p>
    <w:p w14:paraId="31F34920" w14:textId="77777777" w:rsidR="00001328" w:rsidRDefault="00001328">
      <w:pPr>
        <w:spacing w:after="120" w:line="360" w:lineRule="auto"/>
        <w:rPr>
          <w:rFonts w:ascii="Arial" w:hAnsi="Arial" w:cs="Arial"/>
        </w:rPr>
      </w:pPr>
    </w:p>
    <w:p w14:paraId="5D491CC0"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22 Loteries avec un jackpot programmé; loteries instantanées</w:t>
      </w:r>
    </w:p>
    <w:p w14:paraId="58E0E091"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 xml:space="preserve">(1) Afin de favoriser la réalisation des objectifs énoncés à l’article premier, il convient de fixer le montant des jackpots liés à un plan de gain dans l’acte d’autorisation. Le nombre de loteries à jackpot programmé pouvant être organisées ne doit pas excéder deux loteries par semaine. L’organisation de loteries à jackpot programmé en collaboration avec d’autres organisateurs </w:t>
      </w:r>
      <w:r>
        <w:rPr>
          <w:rFonts w:ascii="Arial" w:hAnsi="Arial"/>
        </w:rPr>
        <w:lastRenderedPageBreak/>
        <w:t>internationaux est autorisée. Il convient en outre d’évaluer les effets de telles opérations sur la population au moyen d’une étude de suivi scientifique.</w:t>
      </w:r>
    </w:p>
    <w:p w14:paraId="46140D51" w14:textId="77777777" w:rsidR="00001328" w:rsidRDefault="00A4265D">
      <w:pPr>
        <w:spacing w:after="120" w:line="360" w:lineRule="auto"/>
        <w:jc w:val="both"/>
        <w:rPr>
          <w:rFonts w:ascii="Arial" w:eastAsia="Times New Roman" w:hAnsi="Arial" w:cs="Arial"/>
        </w:rPr>
      </w:pPr>
      <w:r>
        <w:rPr>
          <w:rFonts w:ascii="Arial" w:hAnsi="Arial"/>
        </w:rPr>
        <w:t xml:space="preserve">(2) Pour l’organisation des loteries instantanées, afin d’atteindre les objectifs de l’article premier, la licence doit prévoir des dispositions limitatives quant au type et à la disposition de la loterie, par exemple les gains maximaux et les plans de gains, les opportunités de vente et les possibilités publicitaires. </w:t>
      </w:r>
    </w:p>
    <w:p w14:paraId="0A4FB2D2" w14:textId="77777777" w:rsidR="00001328" w:rsidRDefault="00A4265D">
      <w:pPr>
        <w:spacing w:after="120" w:line="360" w:lineRule="auto"/>
        <w:rPr>
          <w:rFonts w:ascii="Arial" w:eastAsia="Times New Roman" w:hAnsi="Arial" w:cs="Arial"/>
        </w:rPr>
      </w:pPr>
      <w:r>
        <w:rPr>
          <w:rFonts w:ascii="Arial" w:hAnsi="Arial"/>
          <w:strike/>
        </w:rPr>
        <w:t xml:space="preserve"> </w:t>
      </w:r>
    </w:p>
    <w:p w14:paraId="2E8BE653" w14:textId="77777777" w:rsidR="00001328" w:rsidRDefault="00A4265D">
      <w:pPr>
        <w:spacing w:after="120" w:line="360" w:lineRule="auto"/>
        <w:jc w:val="both"/>
        <w:rPr>
          <w:rFonts w:ascii="Arial" w:eastAsia="Times New Roman" w:hAnsi="Arial" w:cs="Arial"/>
          <w:b/>
        </w:rPr>
      </w:pPr>
      <w:r>
        <w:rPr>
          <w:rFonts w:ascii="Arial" w:hAnsi="Arial"/>
          <w:b/>
        </w:rPr>
        <w:t>Article 22a Jeux de machines à sous virtuelles</w:t>
      </w:r>
    </w:p>
    <w:p w14:paraId="480FD54B" w14:textId="77777777" w:rsidR="00001328" w:rsidRDefault="00A4265D">
      <w:pPr>
        <w:spacing w:after="120" w:line="360" w:lineRule="auto"/>
        <w:jc w:val="both"/>
        <w:rPr>
          <w:rFonts w:ascii="Arial" w:eastAsia="Times New Roman" w:hAnsi="Arial" w:cs="Arial"/>
        </w:rPr>
      </w:pPr>
      <w:r>
        <w:rPr>
          <w:rFonts w:ascii="Arial" w:hAnsi="Arial"/>
        </w:rPr>
        <w:t>(1) La conception de machines à sous virtuelles ne doit pas aller à l’encontre des objectifs de l’article premier. Les détenteurs d'un permis pour l'exploitation de jeux de machines à sous virtuelles ne peuvent offrir un jeu de machines à sous virtuelles que si cela a été autorisé par l'autorité compétente à leur demande. L’autorité doit être munie d’une version du jeu dans le but d’accorder la licence. Des modifications substantielles du jeu de machines à sous virtuelles après la délivrance d’une licence conformément à la phrase 2 nécessitent l’autorisation de l’autorité responsable. La licence selon la phrase 2 peut être révoquée à tout moment, à moins qu’elle ne doive être à nouveau accordée au moment de la révocation. Les machines à sous virtuelles qui ne sont pas autorisées en vertu de la phrase 2 sont des jeux de hasard non autorisés.</w:t>
      </w:r>
    </w:p>
    <w:p w14:paraId="2276819A" w14:textId="77777777" w:rsidR="00001328" w:rsidRDefault="00A4265D">
      <w:pPr>
        <w:spacing w:after="120" w:line="360" w:lineRule="auto"/>
        <w:jc w:val="both"/>
        <w:rPr>
          <w:rFonts w:ascii="Arial" w:eastAsia="Times New Roman" w:hAnsi="Arial" w:cs="Arial"/>
        </w:rPr>
      </w:pPr>
      <w:r>
        <w:rPr>
          <w:rFonts w:ascii="Arial" w:hAnsi="Arial"/>
        </w:rPr>
        <w:t>(2) Les machines à sous virtuelles qui correspondent à des jeux de table avec des banquiers, en particulier la roulette, le blackjack ou le baccara, qui sont conventionnellement organisés dans les casinos, ne sont pas autorisées.</w:t>
      </w:r>
    </w:p>
    <w:p w14:paraId="3756C53E" w14:textId="77777777" w:rsidR="00001328" w:rsidRDefault="00A4265D">
      <w:pPr>
        <w:spacing w:after="120" w:line="360" w:lineRule="auto"/>
        <w:jc w:val="both"/>
        <w:rPr>
          <w:rFonts w:ascii="Arial" w:eastAsia="Times New Roman" w:hAnsi="Arial" w:cs="Arial"/>
        </w:rPr>
      </w:pPr>
      <w:r>
        <w:rPr>
          <w:rFonts w:ascii="Arial" w:hAnsi="Arial"/>
        </w:rPr>
        <w:t>(3) Les chances de gain doivent être aléatoires et les mêmes opportunités ouvertes à chaque joueur. Les règles du jeu et le plan de gain doivent être faciles d’accès et faciles à comprendre pour le joueur. Les joueurs doivent être en mesure de voir la probabilité de gagner le prix maximal et le ratio de paiement moyen d’une mise en euros. La notification doit être faite là où le pari peut être fait.</w:t>
      </w:r>
    </w:p>
    <w:p w14:paraId="16D99C44" w14:textId="77777777" w:rsidR="00001328" w:rsidRDefault="00A4265D">
      <w:pPr>
        <w:spacing w:after="120" w:line="360" w:lineRule="auto"/>
        <w:jc w:val="both"/>
        <w:rPr>
          <w:rFonts w:ascii="Arial" w:eastAsia="Times New Roman" w:hAnsi="Arial" w:cs="Arial"/>
        </w:rPr>
      </w:pPr>
      <w:r>
        <w:rPr>
          <w:rFonts w:ascii="Arial" w:hAnsi="Arial"/>
        </w:rPr>
        <w:t>(4) Un jeu de machine à sous virtuelle ne peut commencer qu’après une déclaration correspondante du joueur qui ne peut être donnée qu’après la fin du jeu précédent. En particulier, les programmes qui permettent à un autre jeu de démarrer automatiquement après la fin du jeu précédent et les déclarations d’un joueur de participer à plusieurs jeux consécutifs ne sont pas autorisés.</w:t>
      </w:r>
    </w:p>
    <w:p w14:paraId="354C8DC8" w14:textId="77777777" w:rsidR="00001328" w:rsidRDefault="00A4265D">
      <w:pPr>
        <w:spacing w:after="120" w:line="360" w:lineRule="auto"/>
        <w:jc w:val="both"/>
        <w:rPr>
          <w:rFonts w:ascii="Arial" w:eastAsia="Times New Roman" w:hAnsi="Arial" w:cs="Arial"/>
        </w:rPr>
      </w:pPr>
      <w:r>
        <w:rPr>
          <w:rFonts w:ascii="Arial" w:hAnsi="Arial"/>
        </w:rPr>
        <w:t>(5) Les mises et gains ne peuvent être effectués qu’en euros et en centimes. La conversion des montants numéraires en d’autres devises, points ou autres unités avant, pendant ou après le jeu ou à la suite du jeu n’est pas autorisée.</w:t>
      </w:r>
    </w:p>
    <w:p w14:paraId="54E80A85" w14:textId="77777777" w:rsidR="00001328" w:rsidRDefault="00A4265D">
      <w:pPr>
        <w:spacing w:after="120" w:line="360" w:lineRule="auto"/>
        <w:jc w:val="both"/>
        <w:rPr>
          <w:rFonts w:ascii="Arial" w:eastAsia="Times New Roman" w:hAnsi="Arial" w:cs="Arial"/>
        </w:rPr>
      </w:pPr>
      <w:r>
        <w:rPr>
          <w:rFonts w:ascii="Arial" w:hAnsi="Arial"/>
        </w:rPr>
        <w:t>(6) Un jeu doit durer en moyenne au moins cinq secondes. Un jeu commence par la déclaration au sens du paragraphe 4, phrase 1 et se termine par l’affichage du résultat.</w:t>
      </w:r>
    </w:p>
    <w:p w14:paraId="64E87A7D" w14:textId="77777777" w:rsidR="00001328" w:rsidRDefault="00A4265D">
      <w:pPr>
        <w:spacing w:after="120" w:line="360" w:lineRule="auto"/>
        <w:jc w:val="both"/>
        <w:rPr>
          <w:rFonts w:ascii="Arial" w:eastAsia="Times New Roman" w:hAnsi="Arial" w:cs="Arial"/>
        </w:rPr>
      </w:pPr>
      <w:r>
        <w:rPr>
          <w:rFonts w:ascii="Arial" w:hAnsi="Arial"/>
        </w:rPr>
        <w:lastRenderedPageBreak/>
        <w:t>(7) La mise ne peut excéder un euro par jeu. L’autorité responsable de l’octroi de la licence peut ajuster la mise maximale par jeu visée à la phrase 1 aux conditions modifiées, afin atteindre les objectifs de l’article premier.</w:t>
      </w:r>
    </w:p>
    <w:p w14:paraId="45AFF603" w14:textId="77777777" w:rsidR="00001328" w:rsidRDefault="00A4265D">
      <w:pPr>
        <w:spacing w:after="120" w:line="360" w:lineRule="auto"/>
        <w:jc w:val="both"/>
        <w:rPr>
          <w:rFonts w:ascii="Arial" w:eastAsia="Times New Roman" w:hAnsi="Arial" w:cs="Arial"/>
        </w:rPr>
      </w:pPr>
      <w:r>
        <w:rPr>
          <w:rFonts w:ascii="Arial" w:hAnsi="Arial"/>
        </w:rPr>
        <w:t>(8) Un gain doit consister en un multiple de la mise déterminée avant le début de la partie. Les mises, les gains ou les parties de paris ou les gains ne peuvent pas être accumulés dans le but de créer des gains pour de futurs jeux (interdiction de jackpot).</w:t>
      </w:r>
    </w:p>
    <w:p w14:paraId="0A7D9A73" w14:textId="77777777" w:rsidR="00001328" w:rsidRDefault="00A4265D">
      <w:pPr>
        <w:spacing w:after="120" w:line="360" w:lineRule="auto"/>
        <w:jc w:val="both"/>
        <w:rPr>
          <w:rFonts w:ascii="Arial" w:eastAsia="Times New Roman" w:hAnsi="Arial" w:cs="Arial"/>
        </w:rPr>
      </w:pPr>
      <w:r>
        <w:rPr>
          <w:rFonts w:ascii="Arial" w:hAnsi="Arial"/>
        </w:rPr>
        <w:t>(9) L’article 6h, paragraphe 7, phrases 2 et 3, doit être appliqué à condition que le joueur ne puisse continuer à participer à des machines à sous virtuelles que cinq minutes après confirmation de la notification.</w:t>
      </w:r>
    </w:p>
    <w:p w14:paraId="0F9ADA96" w14:textId="77777777" w:rsidR="00001328" w:rsidRDefault="00A4265D">
      <w:pPr>
        <w:spacing w:after="120" w:line="360" w:lineRule="auto"/>
        <w:jc w:val="both"/>
        <w:rPr>
          <w:rFonts w:ascii="Arial" w:eastAsia="Times New Roman" w:hAnsi="Arial" w:cs="Arial"/>
        </w:rPr>
      </w:pPr>
      <w:r>
        <w:rPr>
          <w:rFonts w:ascii="Arial" w:hAnsi="Arial"/>
        </w:rPr>
        <w:t>(10) Il est interdit de jouer simultanément sur plusieurs machines à sous virtuelles. Cela vaut également pour jouer au même jeu. Les détenteurs de licence doivent s’en assurer en prenant les mesures techniques appropriées. Les joueurs ne doivent voir qu’un seul jeu à la fois.</w:t>
      </w:r>
    </w:p>
    <w:p w14:paraId="42C077CC" w14:textId="77777777" w:rsidR="00001328" w:rsidRDefault="00A4265D">
      <w:pPr>
        <w:spacing w:after="120" w:line="360" w:lineRule="auto"/>
        <w:jc w:val="both"/>
        <w:rPr>
          <w:rFonts w:ascii="Arial" w:eastAsia="Times New Roman" w:hAnsi="Arial" w:cs="Arial"/>
        </w:rPr>
      </w:pPr>
      <w:r>
        <w:rPr>
          <w:rFonts w:ascii="Arial" w:hAnsi="Arial"/>
        </w:rPr>
        <w:t>(11) Dans le cadre de l’organisation et de l’auto-distribution de machines à sous virtuelles ou de la publicité à cet effet, l’utilisation des termes «casino» ou «jeux de casino» n’est pas autorisée.</w:t>
      </w:r>
    </w:p>
    <w:p w14:paraId="6CC095A3" w14:textId="77777777" w:rsidR="00001328" w:rsidRDefault="00A4265D">
      <w:pPr>
        <w:spacing w:after="120" w:line="360" w:lineRule="auto"/>
        <w:jc w:val="both"/>
        <w:rPr>
          <w:rFonts w:ascii="Arial" w:eastAsia="Times New Roman" w:hAnsi="Arial" w:cs="Arial"/>
        </w:rPr>
      </w:pPr>
      <w:r>
        <w:rPr>
          <w:rFonts w:ascii="Arial" w:hAnsi="Arial"/>
        </w:rPr>
        <w:t>(12) L’organisation de jeux de machines à sous virtuelles n’est autorisée que via l’internet. La vente stationnaire de jeux de machines à sous virtuelles est interdite.</w:t>
      </w:r>
    </w:p>
    <w:p w14:paraId="333987D3" w14:textId="77777777" w:rsidR="00001328" w:rsidRDefault="00001328">
      <w:pPr>
        <w:spacing w:after="120" w:line="360" w:lineRule="auto"/>
        <w:jc w:val="both"/>
        <w:rPr>
          <w:rFonts w:ascii="Arial" w:eastAsia="Times New Roman" w:hAnsi="Arial" w:cs="Arial"/>
          <w:lang w:eastAsia="ar-SA"/>
        </w:rPr>
      </w:pPr>
    </w:p>
    <w:p w14:paraId="411C7C00" w14:textId="77777777" w:rsidR="00001328" w:rsidRDefault="00A4265D">
      <w:pPr>
        <w:spacing w:after="120" w:line="360" w:lineRule="auto"/>
        <w:jc w:val="both"/>
        <w:rPr>
          <w:rFonts w:ascii="Arial" w:eastAsia="Times New Roman" w:hAnsi="Arial" w:cs="Arial"/>
          <w:b/>
        </w:rPr>
      </w:pPr>
      <w:r>
        <w:rPr>
          <w:rFonts w:ascii="Arial" w:hAnsi="Arial"/>
          <w:b/>
        </w:rPr>
        <w:t>Article 22b Poker en ligne</w:t>
      </w:r>
    </w:p>
    <w:p w14:paraId="7CCDD760" w14:textId="77777777" w:rsidR="00001328" w:rsidRDefault="00A4265D">
      <w:pPr>
        <w:spacing w:after="120" w:line="360" w:lineRule="auto"/>
        <w:jc w:val="both"/>
        <w:rPr>
          <w:rFonts w:ascii="Arial" w:eastAsia="Times New Roman" w:hAnsi="Arial" w:cs="Arial"/>
        </w:rPr>
      </w:pPr>
      <w:r>
        <w:rPr>
          <w:rFonts w:ascii="Arial" w:hAnsi="Arial"/>
        </w:rPr>
        <w:t>(1) Les détenteurs de licence pour l'organisation du poker en ligne ne peuvent proposer des variantes individuelles du jeu de poker en ligne que si la variante proposée dans chaque cas a été préalablement autorisée par l’autorité compétente à leur demande. Ils doivent transmettre les règles du jeu prévues à l’autorité compétente. Des modifications importantes des règles du jeu après la délivrance d’une licence conformément à la phrase 1 nécessitent l’autorisation de l’autorité compétente. La licence selon la phrase 1 peut être révoquée à tout moment, à moins qu’elle ne doive être à nouveau accordée au moment de la révocation. La licence selon la phrase 1 ne peut être accordée que si la variante ne va pas à l’encontre des objectifs de l’article premier. Les variantes de poker en ligne non autorisées par la phrase 1 sont des jeux de hasard non autorisés.</w:t>
      </w:r>
    </w:p>
    <w:p w14:paraId="7FCC73BC" w14:textId="77777777" w:rsidR="00001328" w:rsidRDefault="00A4265D">
      <w:pPr>
        <w:spacing w:after="120" w:line="360" w:lineRule="auto"/>
        <w:jc w:val="both"/>
        <w:rPr>
          <w:rFonts w:ascii="Arial" w:eastAsia="Times New Roman" w:hAnsi="Arial" w:cs="Arial"/>
        </w:rPr>
      </w:pPr>
      <w:r>
        <w:rPr>
          <w:rFonts w:ascii="Arial" w:hAnsi="Arial"/>
        </w:rPr>
        <w:t>(2) L’autorisation visée à la sous-section 1, première phrase, comprend le contenu et les dispositions accessoires pour l’organisation de variantes de jeux de poker en ligne:</w:t>
      </w:r>
    </w:p>
    <w:p w14:paraId="6180E8DC" w14:textId="77777777" w:rsidR="00001328" w:rsidRDefault="00A4265D">
      <w:pPr>
        <w:spacing w:after="120" w:line="360" w:lineRule="auto"/>
        <w:ind w:left="567" w:hanging="283"/>
        <w:jc w:val="both"/>
        <w:rPr>
          <w:rFonts w:ascii="Arial" w:eastAsia="Times New Roman" w:hAnsi="Arial" w:cs="Arial"/>
        </w:rPr>
      </w:pPr>
      <w:r>
        <w:rPr>
          <w:rFonts w:ascii="Arial" w:hAnsi="Arial"/>
        </w:rPr>
        <w:t>1.</w:t>
      </w:r>
      <w:r>
        <w:rPr>
          <w:rFonts w:ascii="Arial" w:hAnsi="Arial"/>
        </w:rPr>
        <w:tab/>
        <w:t xml:space="preserve">limites maximales pour les mises minimales par main, </w:t>
      </w:r>
    </w:p>
    <w:p w14:paraId="2972199D" w14:textId="77777777" w:rsidR="00001328" w:rsidRDefault="00A4265D">
      <w:pPr>
        <w:spacing w:after="120" w:line="360" w:lineRule="auto"/>
        <w:ind w:left="567" w:hanging="283"/>
        <w:jc w:val="both"/>
        <w:rPr>
          <w:rFonts w:ascii="Arial" w:eastAsia="Times New Roman" w:hAnsi="Arial" w:cs="Arial"/>
        </w:rPr>
      </w:pPr>
      <w:r>
        <w:rPr>
          <w:rFonts w:ascii="Arial" w:hAnsi="Arial"/>
        </w:rPr>
        <w:t>2.</w:t>
      </w:r>
      <w:r>
        <w:rPr>
          <w:rFonts w:ascii="Arial" w:hAnsi="Arial"/>
        </w:rPr>
        <w:tab/>
        <w:t xml:space="preserve">montants maximaux pour le montant qu’un joueur peut avoir à une table virtuelle et </w:t>
      </w:r>
    </w:p>
    <w:p w14:paraId="194D5FC6" w14:textId="77777777" w:rsidR="00001328" w:rsidRDefault="00A4265D">
      <w:pPr>
        <w:spacing w:after="120" w:line="360" w:lineRule="auto"/>
        <w:ind w:left="567" w:hanging="283"/>
        <w:jc w:val="both"/>
        <w:rPr>
          <w:rFonts w:ascii="Arial" w:eastAsia="Times New Roman" w:hAnsi="Arial" w:cs="Arial"/>
        </w:rPr>
      </w:pPr>
      <w:r>
        <w:rPr>
          <w:rFonts w:ascii="Arial" w:hAnsi="Arial"/>
        </w:rPr>
        <w:t>3.</w:t>
      </w:r>
      <w:r>
        <w:rPr>
          <w:rFonts w:ascii="Arial" w:hAnsi="Arial"/>
        </w:rPr>
        <w:tab/>
        <w:t xml:space="preserve">montants maximaux pour le montant payable pour participer ou continuer à participer à un tournoi de poker en ligne.  </w:t>
      </w:r>
    </w:p>
    <w:p w14:paraId="485FEA33" w14:textId="77777777" w:rsidR="00001328" w:rsidRDefault="00A4265D">
      <w:pPr>
        <w:spacing w:after="120" w:line="360" w:lineRule="auto"/>
        <w:jc w:val="both"/>
        <w:rPr>
          <w:rFonts w:ascii="Arial" w:eastAsia="Times New Roman" w:hAnsi="Arial" w:cs="Arial"/>
        </w:rPr>
      </w:pPr>
      <w:r>
        <w:rPr>
          <w:rFonts w:ascii="Arial" w:hAnsi="Arial"/>
        </w:rPr>
        <w:lastRenderedPageBreak/>
        <w:t>D'autres contenus et dispositions auxiliaires pour l'organisation des variantes de jeux de poker en ligne peuvent être fournis dans le permis en vertu de la sous-section 1, phrase 1 si cela sert à mieux atteindre les objectifs du § 1, également par la suite.</w:t>
      </w:r>
    </w:p>
    <w:p w14:paraId="22A87401" w14:textId="77777777" w:rsidR="00001328" w:rsidRDefault="00A4265D">
      <w:pPr>
        <w:spacing w:after="120" w:line="360" w:lineRule="auto"/>
        <w:jc w:val="both"/>
        <w:rPr>
          <w:rFonts w:ascii="Arial" w:eastAsia="Times New Roman" w:hAnsi="Arial" w:cs="Arial"/>
        </w:rPr>
      </w:pPr>
      <w:r>
        <w:rPr>
          <w:rFonts w:ascii="Arial" w:hAnsi="Arial"/>
        </w:rPr>
        <w:t>(3) Seules les personnes physiques peuvent jouer les unes contre les autres. Les organisateurs doivent prendre les mesures appropriées pour y parvenir. Si des personnes physiques utilisent des programmes qui jouent automatiquement en leur nom, il s’agit d’un jeu illégal pour ces personnes.</w:t>
      </w:r>
    </w:p>
    <w:p w14:paraId="33771D29" w14:textId="77777777" w:rsidR="00001328" w:rsidRDefault="00A4265D">
      <w:pPr>
        <w:spacing w:after="120" w:line="360" w:lineRule="auto"/>
        <w:jc w:val="both"/>
        <w:rPr>
          <w:rFonts w:ascii="Arial" w:eastAsia="Times New Roman" w:hAnsi="Arial" w:cs="Arial"/>
        </w:rPr>
      </w:pPr>
      <w:r>
        <w:rPr>
          <w:rFonts w:ascii="Arial" w:hAnsi="Arial"/>
        </w:rPr>
        <w:t>(4) L’affectation d’un joueur à l’une des tables virtuelles avec la même gamme de jeux doit être aléatoire. Une sélection de la table par le joueur n’est pas autorisée.</w:t>
      </w:r>
    </w:p>
    <w:p w14:paraId="7BA67CB7" w14:textId="77777777" w:rsidR="00001328" w:rsidRDefault="00A4265D">
      <w:pPr>
        <w:spacing w:after="120" w:line="360" w:lineRule="auto"/>
        <w:jc w:val="both"/>
        <w:rPr>
          <w:rFonts w:ascii="Arial" w:eastAsia="Times New Roman" w:hAnsi="Arial" w:cs="Arial"/>
        </w:rPr>
      </w:pPr>
      <w:r>
        <w:rPr>
          <w:rFonts w:ascii="Arial" w:hAnsi="Arial"/>
        </w:rPr>
        <w:t>(5) Il est interdit de jouer simultanément à plusieurs parties de poker en ligne. Les organisateurs doivent s’en assurer en prenant les mesures techniques appropriées. L’autorité responsable de l’octroi de la licence peut autoriser le jeu simultané sur un maximum de quatre tables virtuelles pour mieux atteindre les objectifs de l’article premier.</w:t>
      </w:r>
    </w:p>
    <w:p w14:paraId="3D0B7BFB" w14:textId="77777777" w:rsidR="00001328" w:rsidRDefault="00001328">
      <w:pPr>
        <w:spacing w:after="120" w:line="360" w:lineRule="auto"/>
        <w:jc w:val="both"/>
        <w:rPr>
          <w:rFonts w:ascii="Arial" w:eastAsia="Times New Roman" w:hAnsi="Arial" w:cs="Arial"/>
          <w:b/>
          <w:lang w:eastAsia="ar-SA"/>
        </w:rPr>
      </w:pPr>
    </w:p>
    <w:p w14:paraId="7CA01DA1" w14:textId="77777777" w:rsidR="00001328" w:rsidRDefault="00A4265D">
      <w:pPr>
        <w:spacing w:after="120" w:line="360" w:lineRule="auto"/>
        <w:jc w:val="both"/>
        <w:rPr>
          <w:rFonts w:ascii="Arial" w:eastAsia="Times New Roman" w:hAnsi="Arial" w:cs="Arial"/>
          <w:b/>
        </w:rPr>
      </w:pPr>
      <w:r>
        <w:rPr>
          <w:rFonts w:ascii="Arial" w:hAnsi="Arial"/>
          <w:b/>
        </w:rPr>
        <w:t>Article 22c Jeux de casino en ligne</w:t>
      </w:r>
    </w:p>
    <w:p w14:paraId="259D9457" w14:textId="77777777" w:rsidR="00001328" w:rsidRDefault="00A4265D">
      <w:pPr>
        <w:spacing w:after="120" w:line="360" w:lineRule="auto"/>
        <w:jc w:val="both"/>
        <w:rPr>
          <w:rFonts w:ascii="Arial" w:eastAsia="Times New Roman" w:hAnsi="Arial" w:cs="Arial"/>
        </w:rPr>
      </w:pPr>
      <w:r>
        <w:rPr>
          <w:rFonts w:ascii="Arial" w:hAnsi="Arial"/>
        </w:rPr>
        <w:t>(1) Les Länder peuvent organiser des jeux de casino en ligne pour leur territoire sur une base légale</w:t>
      </w:r>
    </w:p>
    <w:p w14:paraId="295081FB" w14:textId="77777777" w:rsidR="00001328" w:rsidRDefault="00A4265D">
      <w:pPr>
        <w:pStyle w:val="Liststycke"/>
        <w:numPr>
          <w:ilvl w:val="0"/>
          <w:numId w:val="17"/>
        </w:numPr>
        <w:spacing w:after="120" w:line="360" w:lineRule="auto"/>
        <w:ind w:left="567" w:hanging="283"/>
        <w:jc w:val="both"/>
        <w:rPr>
          <w:rFonts w:ascii="Arial" w:eastAsia="Times New Roman" w:hAnsi="Arial" w:cs="Arial"/>
        </w:rPr>
      </w:pPr>
      <w:r>
        <w:rPr>
          <w:rFonts w:ascii="Arial" w:hAnsi="Arial"/>
        </w:rPr>
        <w:t>eux-mêmes, par l’intermédiaire une personne morale de droit public ou d’une société de droit privé dans laquelle des personnes morales de droit public ont une participation directe ou indirecte ou</w:t>
      </w:r>
    </w:p>
    <w:p w14:paraId="109752C1" w14:textId="77777777" w:rsidR="00001328" w:rsidRDefault="00A4265D">
      <w:pPr>
        <w:pStyle w:val="Liststycke"/>
        <w:numPr>
          <w:ilvl w:val="0"/>
          <w:numId w:val="17"/>
        </w:numPr>
        <w:spacing w:after="120" w:line="360" w:lineRule="auto"/>
        <w:ind w:left="567" w:hanging="283"/>
        <w:jc w:val="both"/>
        <w:rPr>
          <w:rFonts w:ascii="Arial" w:eastAsia="Times New Roman" w:hAnsi="Arial" w:cs="Arial"/>
        </w:rPr>
      </w:pPr>
      <w:r>
        <w:rPr>
          <w:rFonts w:ascii="Arial" w:hAnsi="Arial"/>
        </w:rPr>
        <w:t>délivrer un permis, et au plus autant que pourrait être permis pour les maisons de jeu au sens de l’article 20 en vertu de la loi sur les maisons de jeu du Land dans sa version du 17 janvier 2020.</w:t>
      </w:r>
    </w:p>
    <w:p w14:paraId="184E5E0E" w14:textId="77777777" w:rsidR="00001328" w:rsidRDefault="00A4265D">
      <w:pPr>
        <w:pStyle w:val="Liststycke"/>
        <w:spacing w:after="120" w:line="360" w:lineRule="auto"/>
        <w:ind w:left="0"/>
        <w:jc w:val="both"/>
        <w:rPr>
          <w:rFonts w:ascii="Arial" w:eastAsia="Times New Roman" w:hAnsi="Arial" w:cs="Arial"/>
        </w:rPr>
      </w:pPr>
      <w:r>
        <w:rPr>
          <w:rFonts w:ascii="Arial" w:hAnsi="Arial"/>
        </w:rPr>
        <w:t>Les concessions visées à la phrase 1, point 2 sont limitées dans le temps.</w:t>
      </w:r>
    </w:p>
    <w:p w14:paraId="117AEB72" w14:textId="77777777" w:rsidR="00001328" w:rsidRDefault="00A4265D">
      <w:pPr>
        <w:spacing w:after="120" w:line="360" w:lineRule="auto"/>
        <w:jc w:val="both"/>
        <w:rPr>
          <w:rFonts w:ascii="Arial" w:eastAsia="Times New Roman" w:hAnsi="Arial" w:cs="Arial"/>
        </w:rPr>
      </w:pPr>
      <w:r>
        <w:rPr>
          <w:rFonts w:ascii="Arial" w:hAnsi="Arial"/>
        </w:rPr>
        <w:t>(2) Sur la base d’un accord administratif, une organisation conjointe ou l’organisation par le biais d’un organisateur au sens du paragraphe 1, phrase 1, point 1 d’un autre Land est possible. Sur une base légale, les Länder peuvent accorder des concessions conjointes conformément au paragraphe 1, phrase 1, point 2 pour leurs territoires; dans ce cas, le nombre de concessions est limité au nombre total de concessions autorisées dans les Länder coopérants.</w:t>
      </w:r>
    </w:p>
    <w:p w14:paraId="33A73C45" w14:textId="77777777" w:rsidR="00001328" w:rsidRDefault="00A4265D">
      <w:pPr>
        <w:spacing w:after="120" w:line="360" w:lineRule="auto"/>
        <w:jc w:val="both"/>
        <w:rPr>
          <w:rFonts w:ascii="Arial" w:eastAsia="Times New Roman" w:hAnsi="Arial" w:cs="Arial"/>
        </w:rPr>
      </w:pPr>
      <w:r>
        <w:rPr>
          <w:rFonts w:ascii="Arial" w:hAnsi="Arial"/>
        </w:rPr>
        <w:t>(3) Les concessions doivent être révoquées si le détenteur de la concession ne tient pas compte de la limitation sur le territoire du concessionnaire conformément aux paragraphes 1 ou 2.</w:t>
      </w:r>
    </w:p>
    <w:p w14:paraId="31C00453" w14:textId="77777777" w:rsidR="00001328" w:rsidRDefault="00A4265D">
      <w:pPr>
        <w:spacing w:after="120" w:line="360" w:lineRule="auto"/>
        <w:jc w:val="both"/>
        <w:rPr>
          <w:rFonts w:ascii="Arial" w:eastAsia="Times New Roman" w:hAnsi="Arial" w:cs="Arial"/>
        </w:rPr>
      </w:pPr>
      <w:r>
        <w:rPr>
          <w:rFonts w:ascii="Arial" w:hAnsi="Arial"/>
        </w:rPr>
        <w:t xml:space="preserve">(4) La transmission audiovisuelle ou purement visuelle de machines à sous depuis une maison de jeu ou des arcades ou d’autres lieux où des machines à sous au sens de l’article 33c, paragraphe 1, phrase 1, du code du commerce sont installées, ou d’autres jeux au sens de </w:t>
      </w:r>
      <w:r>
        <w:rPr>
          <w:rFonts w:ascii="Arial" w:hAnsi="Arial"/>
        </w:rPr>
        <w:lastRenderedPageBreak/>
        <w:t>l’article 33d, paragraphe 1, phrase 1, du code du commerce, ainsi que la participation à ces jeux sur l’internet sont interdites.</w:t>
      </w:r>
    </w:p>
    <w:p w14:paraId="2E72B527" w14:textId="77777777" w:rsidR="00001328" w:rsidRDefault="00A4265D">
      <w:pPr>
        <w:spacing w:after="120" w:line="360" w:lineRule="auto"/>
        <w:jc w:val="both"/>
        <w:rPr>
          <w:rFonts w:ascii="Arial" w:eastAsia="Times New Roman" w:hAnsi="Arial" w:cs="Arial"/>
        </w:rPr>
      </w:pPr>
      <w:r>
        <w:rPr>
          <w:rFonts w:ascii="Arial" w:hAnsi="Arial"/>
        </w:rPr>
        <w:t xml:space="preserve">(5) Les modalités détaillées sont fixées par les dispositions arrêtées par les Länder. </w:t>
      </w:r>
    </w:p>
    <w:p w14:paraId="019C5A36" w14:textId="77777777" w:rsidR="00001328" w:rsidRDefault="00001328">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center"/>
        <w:rPr>
          <w:rFonts w:ascii="Arial" w:eastAsia="Times New Roman" w:hAnsi="Arial" w:cs="Arial"/>
          <w:b/>
          <w:lang w:eastAsia="ar-SA"/>
        </w:rPr>
      </w:pPr>
    </w:p>
    <w:p w14:paraId="663D7034" w14:textId="77777777" w:rsidR="00001328" w:rsidRDefault="00A4265D">
      <w:pPr>
        <w:keepNext/>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center"/>
        <w:rPr>
          <w:rFonts w:ascii="Arial" w:eastAsia="Times New Roman" w:hAnsi="Arial" w:cs="Arial"/>
          <w:b/>
        </w:rPr>
      </w:pPr>
      <w:r>
        <w:rPr>
          <w:rFonts w:ascii="Arial" w:hAnsi="Arial"/>
          <w:b/>
        </w:rPr>
        <w:t>Sixième section</w:t>
      </w:r>
      <w:r>
        <w:rPr>
          <w:rFonts w:ascii="Arial" w:hAnsi="Arial"/>
          <w:b/>
        </w:rPr>
        <w:br/>
        <w:t>Protection des données</w:t>
      </w:r>
    </w:p>
    <w:p w14:paraId="5E0669A2" w14:textId="77777777" w:rsidR="00001328" w:rsidRDefault="00001328">
      <w:pPr>
        <w:keepNext/>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lang w:eastAsia="ar-SA"/>
        </w:rPr>
      </w:pPr>
    </w:p>
    <w:p w14:paraId="370F62FD" w14:textId="77777777" w:rsidR="00001328" w:rsidRDefault="00A4265D">
      <w:pPr>
        <w:keepNext/>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b/>
        </w:rPr>
        <w:t>Article 23 Liste rouge, traitement des données</w:t>
      </w:r>
    </w:p>
    <w:p w14:paraId="64555668"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jc w:val="both"/>
        <w:rPr>
          <w:rFonts w:ascii="Arial" w:eastAsia="Times New Roman" w:hAnsi="Arial" w:cs="Arial"/>
        </w:rPr>
      </w:pPr>
      <w:r>
        <w:rPr>
          <w:rFonts w:ascii="Arial" w:hAnsi="Arial"/>
        </w:rPr>
        <w:t>(1) La liste rouge, qui est conservée de manière centralisée par l’autorité compétente, sert à traiter les données nécessaires à une interdiction. Les données suivantes peuvent être traitées:</w:t>
      </w:r>
    </w:p>
    <w:p w14:paraId="38E0AD19"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jc w:val="both"/>
        <w:rPr>
          <w:rFonts w:ascii="Arial" w:eastAsia="Times New Roman" w:hAnsi="Arial" w:cs="Arial"/>
        </w:rPr>
      </w:pPr>
      <w:r>
        <w:rPr>
          <w:rFonts w:ascii="Arial" w:hAnsi="Arial"/>
        </w:rPr>
        <w:t xml:space="preserve">1. noms de famille, prénoms, noms de naissance,  </w:t>
      </w:r>
    </w:p>
    <w:p w14:paraId="1E5D5F57"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jc w:val="both"/>
        <w:rPr>
          <w:rFonts w:ascii="Arial" w:eastAsia="Times New Roman" w:hAnsi="Arial" w:cs="Arial"/>
        </w:rPr>
      </w:pPr>
      <w:r>
        <w:rPr>
          <w:rFonts w:ascii="Arial" w:hAnsi="Arial"/>
        </w:rPr>
        <w:t xml:space="preserve">2. pseudonymes, faux noms utilisés,  </w:t>
      </w:r>
    </w:p>
    <w:p w14:paraId="7F1F5C7A"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jc w:val="both"/>
        <w:rPr>
          <w:rFonts w:ascii="Arial" w:eastAsia="Times New Roman" w:hAnsi="Arial" w:cs="Arial"/>
        </w:rPr>
      </w:pPr>
      <w:r>
        <w:rPr>
          <w:rFonts w:ascii="Arial" w:hAnsi="Arial"/>
        </w:rPr>
        <w:t xml:space="preserve">3. date de naissance,  </w:t>
      </w:r>
    </w:p>
    <w:p w14:paraId="712BA649"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jc w:val="both"/>
        <w:rPr>
          <w:rFonts w:ascii="Arial" w:eastAsia="Times New Roman" w:hAnsi="Arial" w:cs="Arial"/>
        </w:rPr>
      </w:pPr>
      <w:r>
        <w:rPr>
          <w:rFonts w:ascii="Arial" w:hAnsi="Arial"/>
        </w:rPr>
        <w:t xml:space="preserve">4. lieu de naissance,  </w:t>
      </w:r>
    </w:p>
    <w:p w14:paraId="32972300"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jc w:val="both"/>
        <w:rPr>
          <w:rFonts w:ascii="Arial" w:eastAsia="Times New Roman" w:hAnsi="Arial" w:cs="Arial"/>
        </w:rPr>
      </w:pPr>
      <w:r>
        <w:rPr>
          <w:rFonts w:ascii="Arial" w:hAnsi="Arial"/>
        </w:rPr>
        <w:t xml:space="preserve">5. adresse,  </w:t>
      </w:r>
    </w:p>
    <w:p w14:paraId="6B2680CD"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jc w:val="both"/>
        <w:rPr>
          <w:rFonts w:ascii="Arial" w:eastAsia="Times New Roman" w:hAnsi="Arial" w:cs="Arial"/>
        </w:rPr>
      </w:pPr>
      <w:r>
        <w:rPr>
          <w:rFonts w:ascii="Arial" w:hAnsi="Arial"/>
        </w:rPr>
        <w:t xml:space="preserve">6. photographies,  </w:t>
      </w:r>
    </w:p>
    <w:p w14:paraId="3F283574"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jc w:val="both"/>
        <w:rPr>
          <w:rFonts w:ascii="Arial" w:eastAsia="Times New Roman" w:hAnsi="Arial" w:cs="Arial"/>
        </w:rPr>
      </w:pPr>
      <w:r>
        <w:rPr>
          <w:rFonts w:ascii="Arial" w:hAnsi="Arial"/>
        </w:rPr>
        <w:t xml:space="preserve">7. motif de l'interdiction,  </w:t>
      </w:r>
    </w:p>
    <w:p w14:paraId="04977C16"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jc w:val="both"/>
        <w:rPr>
          <w:rFonts w:ascii="Arial" w:eastAsia="Times New Roman" w:hAnsi="Arial" w:cs="Arial"/>
        </w:rPr>
      </w:pPr>
      <w:r>
        <w:rPr>
          <w:rFonts w:ascii="Arial" w:hAnsi="Arial"/>
        </w:rPr>
        <w:t xml:space="preserve">8. durée de l'interdiction, et  </w:t>
      </w:r>
    </w:p>
    <w:p w14:paraId="427FFC68"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jc w:val="both"/>
        <w:rPr>
          <w:rFonts w:ascii="Arial" w:eastAsia="Times New Roman" w:hAnsi="Arial" w:cs="Arial"/>
        </w:rPr>
      </w:pPr>
      <w:r>
        <w:rPr>
          <w:rFonts w:ascii="Arial" w:hAnsi="Arial"/>
        </w:rPr>
        <w:t xml:space="preserve">9. l'établissement déclarant. </w:t>
      </w:r>
    </w:p>
    <w:p w14:paraId="43030643"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jc w:val="both"/>
        <w:rPr>
          <w:rFonts w:ascii="Arial" w:eastAsia="Times New Roman" w:hAnsi="Arial" w:cs="Arial"/>
        </w:rPr>
      </w:pPr>
      <w:r>
        <w:rPr>
          <w:rFonts w:ascii="Arial" w:hAnsi="Arial"/>
        </w:rPr>
        <w:t>Les documents ayant entraîné l’interdiction peuvent également être traités.</w:t>
      </w:r>
    </w:p>
    <w:p w14:paraId="66140211"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(2) Les données enregistrées doivent être transmises en quantités nécessaires aux organismes en charge du contrôle des interdictions de jeu. Les données peuvent également être transférées par l’intermédiaire de procédures d’appel automatisées.</w:t>
      </w:r>
    </w:p>
    <w:p w14:paraId="28A03C31"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(3) La transmission de requêtes statistiques et de données d’accès à des fins de contrôle de l’utilisation par l’autorité compétente est autorisée.</w:t>
      </w:r>
    </w:p>
    <w:p w14:paraId="2631DA80"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(4) Des protocoles doivent être établis sur les informations fournies ainsi que sur les accès au système électronique.</w:t>
      </w:r>
    </w:p>
    <w:p w14:paraId="61982AE7"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 xml:space="preserve">(5) Les données sont effacées six ans après l’expiration de l’interdiction. </w:t>
      </w:r>
      <w:r>
        <w:rPr>
          <w:rFonts w:ascii="Arial" w:hAnsi="Arial"/>
          <w:strike/>
        </w:rPr>
        <w:t xml:space="preserve"> </w:t>
      </w:r>
    </w:p>
    <w:p w14:paraId="25B2C7EC"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 xml:space="preserve">(6) Le responsable du traitement au sens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(JO L 119 </w:t>
      </w:r>
      <w:r>
        <w:rPr>
          <w:rFonts w:ascii="Arial" w:hAnsi="Arial"/>
        </w:rPr>
        <w:lastRenderedPageBreak/>
        <w:t>du 4.5.2016, p. 1, L 314, 22.11.2016, p. 72), pour les données à caractère personnel du joueur bloqué, est la personne qui a saisi les données. Dans le cas de l’article 8a, paragraphe 7, phrase 2, il s’agit de l’autorité responsable de la gestion du fichier d’interdiction. Si l’autorité responsable de la gestion du fichier d’interdiction transfère l’attribution des interdictions au successeur légal conformément à l’article 8a, paragraphe 7, phrase 2, celui-ci est également responsable au sens du règlement (UE) 2016/679.</w:t>
      </w:r>
    </w:p>
    <w:p w14:paraId="56AC60B4"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(7) Sans préjudice du droit à l’information de la personne concernée conformément à l’article 15 du règlement (UE) 2016/679, la possibilité d’obtenir des informations auprès de l’autorité responsable de la gestion du fichier d’interdiction n’est pas affectée.</w:t>
      </w:r>
    </w:p>
    <w:p w14:paraId="2E06CD88" w14:textId="77777777" w:rsidR="00001328" w:rsidRDefault="00001328">
      <w:pPr>
        <w:spacing w:after="120" w:line="360" w:lineRule="auto"/>
        <w:rPr>
          <w:rFonts w:ascii="Arial" w:hAnsi="Arial" w:cs="Arial"/>
        </w:rPr>
      </w:pPr>
    </w:p>
    <w:p w14:paraId="5607A2B6"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center"/>
        <w:rPr>
          <w:rFonts w:ascii="Arial" w:eastAsia="Times New Roman" w:hAnsi="Arial" w:cs="Arial"/>
          <w:b/>
        </w:rPr>
      </w:pPr>
      <w:r>
        <w:rPr>
          <w:rFonts w:ascii="Arial" w:hAnsi="Arial"/>
          <w:b/>
        </w:rPr>
        <w:t>Septième section</w:t>
      </w:r>
      <w:r>
        <w:rPr>
          <w:rFonts w:ascii="Arial" w:hAnsi="Arial"/>
          <w:b/>
        </w:rPr>
        <w:br/>
        <w:t>Arcades</w:t>
      </w:r>
    </w:p>
    <w:p w14:paraId="7DFA04D1"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24 Licences</w:t>
      </w:r>
    </w:p>
    <w:p w14:paraId="7B97CAEC" w14:textId="77777777" w:rsidR="00001328" w:rsidRDefault="00A4265D">
      <w:pPr>
        <w:suppressAutoHyphens/>
        <w:autoSpaceDE w:val="0"/>
        <w:snapToGrid w:val="0"/>
        <w:spacing w:after="120" w:line="360" w:lineRule="auto"/>
        <w:jc w:val="both"/>
        <w:rPr>
          <w:rFonts w:ascii="Arial" w:eastAsia="Arial" w:hAnsi="Arial" w:cs="Arial"/>
        </w:rPr>
      </w:pPr>
      <w:r>
        <w:rPr>
          <w:rFonts w:ascii="Arial" w:hAnsi="Arial"/>
        </w:rPr>
        <w:t xml:space="preserve">(1) Sans préjudice d’autres exigences d’agrément, la construction et l’exploitation d’une salle d’arcade nécessitent une licence en vertu du présent traité d’État. </w:t>
      </w:r>
    </w:p>
    <w:p w14:paraId="0950A976"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(2) Il y a lieu de refuser la licence dès lors que l’établissement et l’exploitation d’une salle d’arcade contreviennent aux objectifs énoncés à l’article premier. Le cas échéant, ladite autorisation doit être délivrée par écrit et sa durée de validité doit être limitée. La licence peut en outre être assortie de dispositions particulières, y compris après sa délivrance.</w:t>
      </w:r>
    </w:p>
    <w:p w14:paraId="7681D2BB" w14:textId="77777777" w:rsidR="00001328" w:rsidRDefault="00A4265D">
      <w:pPr>
        <w:spacing w:after="120" w:line="360" w:lineRule="auto"/>
        <w:rPr>
          <w:rFonts w:ascii="Arial" w:eastAsia="Times New Roman" w:hAnsi="Arial" w:cs="Arial"/>
        </w:rPr>
      </w:pPr>
      <w:r>
        <w:rPr>
          <w:rFonts w:ascii="Arial" w:hAnsi="Arial"/>
        </w:rPr>
        <w:t>(3) Les modalités détaillées de cette procédure sont fixées par les dispositions d’application arrêtées par les Länder.</w:t>
      </w:r>
    </w:p>
    <w:p w14:paraId="6D7E38FB" w14:textId="77777777" w:rsidR="00001328" w:rsidRDefault="00001328">
      <w:pPr>
        <w:spacing w:after="120" w:line="360" w:lineRule="auto"/>
        <w:rPr>
          <w:rFonts w:ascii="Arial" w:eastAsia="Times New Roman" w:hAnsi="Arial" w:cs="Arial"/>
          <w:lang w:eastAsia="ar-SA"/>
        </w:rPr>
      </w:pPr>
    </w:p>
    <w:p w14:paraId="1E5CE880"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25 Restrictions des arcades; interdiction de concessions multiples</w:t>
      </w:r>
    </w:p>
    <w:p w14:paraId="6D503EF4"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 xml:space="preserve">(1) Il y a lieu de respecter une distance minimale entre chaque arcade. Les modalités détaillées de cette obligation sont fixées par les dispositions d’application arrêtées par les Länder. </w:t>
      </w:r>
    </w:p>
    <w:p w14:paraId="3A8C0948"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 xml:space="preserve">(2) L’octroi d’une licence pour une arcade dans un bâtiment en association avec une ou plusieurs autres arcades, en particulier dans un bâtiment commun ou un complexe immobilier, est exclu. </w:t>
      </w:r>
    </w:p>
    <w:p w14:paraId="294CE5B3" w14:textId="77777777" w:rsidR="00001328" w:rsidRDefault="00A4265D">
      <w:pPr>
        <w:spacing w:after="120" w:line="360" w:lineRule="auto"/>
        <w:jc w:val="both"/>
        <w:rPr>
          <w:rFonts w:ascii="Arial" w:eastAsia="Times New Roman" w:hAnsi="Arial" w:cs="Arial"/>
        </w:rPr>
      </w:pPr>
      <w:r>
        <w:rPr>
          <w:rFonts w:ascii="Arial" w:hAnsi="Arial"/>
        </w:rPr>
        <w:t>(3) Les Länder peuvent limiter le nombre de licences susceptibles d’être délivrées dans une même commune.</w:t>
      </w:r>
    </w:p>
    <w:p w14:paraId="0614D601" w14:textId="77777777" w:rsidR="00001328" w:rsidRDefault="00001328">
      <w:pPr>
        <w:spacing w:after="120" w:line="360" w:lineRule="auto"/>
        <w:rPr>
          <w:rFonts w:ascii="Arial" w:eastAsia="Times New Roman" w:hAnsi="Arial" w:cs="Arial"/>
          <w:lang w:eastAsia="ar-SA"/>
        </w:rPr>
      </w:pPr>
    </w:p>
    <w:p w14:paraId="68628CE6"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26 Exigences en matière d’aménagement et d’exploitation des arcades</w:t>
      </w:r>
    </w:p>
    <w:p w14:paraId="27C437A9" w14:textId="77777777" w:rsidR="00001328" w:rsidRDefault="00A4265D">
      <w:pPr>
        <w:widowControl w:val="0"/>
        <w:tabs>
          <w:tab w:val="left" w:pos="1474"/>
          <w:tab w:val="left" w:pos="2183"/>
          <w:tab w:val="left" w:pos="2892"/>
          <w:tab w:val="left" w:pos="3600"/>
          <w:tab w:val="left" w:pos="4309"/>
          <w:tab w:val="left" w:pos="5018"/>
          <w:tab w:val="left" w:pos="5726"/>
          <w:tab w:val="left" w:pos="6435"/>
          <w:tab w:val="right" w:pos="7110"/>
        </w:tabs>
        <w:suppressAutoHyphens/>
        <w:snapToGrid w:val="0"/>
        <w:spacing w:after="120" w:line="360" w:lineRule="auto"/>
        <w:ind w:firstLine="6"/>
        <w:jc w:val="both"/>
        <w:rPr>
          <w:rFonts w:ascii="Arial" w:eastAsia="Times New Roman" w:hAnsi="Arial" w:cs="Arial"/>
        </w:rPr>
      </w:pPr>
      <w:r>
        <w:rPr>
          <w:rFonts w:ascii="Arial" w:hAnsi="Arial"/>
        </w:rPr>
        <w:t xml:space="preserve">(1) L’aménagement extérieur de la maison de jeu ne doit en aucun cas pouvoir servir à la promotion des activités de jeux ou jeux proposés par ladite maison de jeu ou représenter, en </w:t>
      </w:r>
      <w:r>
        <w:rPr>
          <w:rFonts w:ascii="Arial" w:hAnsi="Arial"/>
        </w:rPr>
        <w:lastRenderedPageBreak/>
        <w:t>raison d’un caractère particulièrement voyant, une incitation supplémentaire à la participation à ces activités de jeux.</w:t>
      </w:r>
    </w:p>
    <w:p w14:paraId="2D981BA6" w14:textId="77777777" w:rsidR="00001328" w:rsidRDefault="00A4265D">
      <w:pPr>
        <w:spacing w:after="120" w:line="360" w:lineRule="auto"/>
        <w:jc w:val="both"/>
        <w:rPr>
          <w:rFonts w:ascii="Arial" w:eastAsia="Times New Roman" w:hAnsi="Arial" w:cs="Arial"/>
        </w:rPr>
      </w:pPr>
      <w:r>
        <w:rPr>
          <w:rFonts w:ascii="Arial" w:hAnsi="Arial"/>
        </w:rPr>
        <w:t xml:space="preserve">(2) Afin d’atteindre les objectifs visés à l’article premier, les Länder fixent des heures de fermeture pour les arcades qui ne peuvent être inférieures à trois heures. </w:t>
      </w:r>
    </w:p>
    <w:p w14:paraId="3F696D32" w14:textId="77777777" w:rsidR="00001328" w:rsidRDefault="00001328">
      <w:pPr>
        <w:spacing w:after="120" w:line="360" w:lineRule="auto"/>
        <w:rPr>
          <w:rFonts w:ascii="Arial" w:eastAsia="Times New Roman" w:hAnsi="Arial" w:cs="Arial"/>
          <w:lang w:eastAsia="ar-SA"/>
        </w:rPr>
      </w:pPr>
    </w:p>
    <w:p w14:paraId="4A8EF25A"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center"/>
        <w:rPr>
          <w:rFonts w:ascii="Arial" w:eastAsia="Times New Roman" w:hAnsi="Arial" w:cs="Arial"/>
          <w:b/>
        </w:rPr>
      </w:pPr>
      <w:r>
        <w:rPr>
          <w:rFonts w:ascii="Arial" w:hAnsi="Arial"/>
          <w:b/>
        </w:rPr>
        <w:t>Huitième section</w:t>
      </w:r>
      <w:r>
        <w:rPr>
          <w:rFonts w:ascii="Arial" w:hAnsi="Arial"/>
          <w:b/>
        </w:rPr>
        <w:br/>
        <w:t>Paris hippiques</w:t>
      </w:r>
    </w:p>
    <w:p w14:paraId="68F442B5"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27 Paris hippiques</w:t>
      </w:r>
    </w:p>
    <w:p w14:paraId="7DAFF5B0" w14:textId="77777777" w:rsidR="00001328" w:rsidRDefault="00A4265D">
      <w:pPr>
        <w:spacing w:after="120" w:line="360" w:lineRule="auto"/>
        <w:jc w:val="both"/>
        <w:rPr>
          <w:rFonts w:ascii="Arial" w:eastAsia="Times New Roman" w:hAnsi="Arial" w:cs="Arial"/>
        </w:rPr>
      </w:pPr>
      <w:r>
        <w:rPr>
          <w:rFonts w:ascii="Arial" w:hAnsi="Arial"/>
        </w:rPr>
        <w:t xml:space="preserve">(1) L’organisation et la distribution stationnaires des paris hippiques ne peuvent avoir lieu qu’avec une licence conformément à la loi sur les paris sportifs et les loteries. L’article 4, paragraphe 2, phrase 1 et paragraphe 3 est applicable. </w:t>
      </w:r>
    </w:p>
    <w:p w14:paraId="62715C45" w14:textId="77777777" w:rsidR="00001328" w:rsidRDefault="00A4265D">
      <w:pPr>
        <w:spacing w:after="120" w:line="360" w:lineRule="auto"/>
        <w:jc w:val="both"/>
        <w:rPr>
          <w:rFonts w:ascii="Arial" w:eastAsia="Times New Roman" w:hAnsi="Arial" w:cs="Arial"/>
        </w:rPr>
      </w:pPr>
      <w:r>
        <w:rPr>
          <w:rFonts w:ascii="Arial" w:hAnsi="Arial"/>
        </w:rPr>
        <w:t xml:space="preserve">(2) L’organisation et la distribution de paris hippiques autorisés conformément au paragraphe 1 peuvent être autorisées conformément à l’article 4, paragraphes 4 et 5, dans une procédure uniforme des Länder. L’article 4b, paragraphe 1, phrases 1 à 3 et phrase 4, points 2, 3, 5, 6 et 7, paragraphes 2 et 3 et les articles 4c et 4d s’appliquent par analogie. En dérogation à l’article 4c, paragraphe 3, phrases 2 et 3, le dépôt de garantie est fixé par l’autorité compétente pour l’octroi de la licence à hauteur du chiffre d’affaires moyen attendu d’un mois, au maximum 50 millions d’euros. Les preuves et documents issus d’un autre État membre de l’Union européenne ou d’un autre pays signataire de l’accord sur l’Espace économique européen sont considérés équivalents aux preuves et documents nationaux s’ils montrent que les conditions mentionnées aux phrases 1 et 2 et au paragraphe 4 sont remplies. Une copie certifiée conforme et une traduction allemande certifiée doivent être présentées aux frais du requérant. </w:t>
      </w:r>
    </w:p>
    <w:p w14:paraId="31ED9C4F" w14:textId="77777777" w:rsidR="00001328" w:rsidRDefault="00A4265D">
      <w:pPr>
        <w:spacing w:after="120" w:line="360" w:lineRule="auto"/>
        <w:jc w:val="both"/>
        <w:rPr>
          <w:rFonts w:ascii="Arial" w:eastAsia="Times New Roman" w:hAnsi="Arial" w:cs="Arial"/>
        </w:rPr>
      </w:pPr>
      <w:r>
        <w:rPr>
          <w:rFonts w:ascii="Arial" w:hAnsi="Arial"/>
        </w:rPr>
        <w:t>(3) Le type de paris hippiques proposé doit être spécifié dans la procédure d’obtention de la licence prévue au paragraphe 2. La licence peut stipuler que les modifications substantielles de l’offre doivent être approuvées par l’autorité de délivrance des licences. En outre, il peut être stipulé que de nouveaux types de paris hippiques peuvent être proposés pour la première fois après une période d’attente à spécifier dans la licence après réception d'une notification par l’autorité de délivrance des licences.</w:t>
      </w:r>
    </w:p>
    <w:p w14:paraId="039242FE" w14:textId="77777777" w:rsidR="00001328" w:rsidRDefault="00A4265D">
      <w:pPr>
        <w:spacing w:after="120" w:line="360" w:lineRule="auto"/>
        <w:jc w:val="both"/>
        <w:rPr>
          <w:rFonts w:ascii="Arial" w:eastAsia="Times New Roman" w:hAnsi="Arial" w:cs="Arial"/>
        </w:rPr>
      </w:pPr>
      <w:r>
        <w:rPr>
          <w:rFonts w:ascii="Arial" w:hAnsi="Arial"/>
        </w:rPr>
        <w:t>(4) La licence au sens du paragraphe 2 ne peut être octroyée que dans les cas suivants:</w:t>
      </w:r>
    </w:p>
    <w:p w14:paraId="1D20B7E8" w14:textId="77777777" w:rsidR="00001328" w:rsidRDefault="00A4265D">
      <w:pPr>
        <w:pStyle w:val="Liststycke"/>
        <w:numPr>
          <w:ilvl w:val="0"/>
          <w:numId w:val="20"/>
        </w:numPr>
        <w:spacing w:after="120" w:line="360" w:lineRule="auto"/>
        <w:ind w:left="426"/>
        <w:contextualSpacing w:val="0"/>
        <w:jc w:val="both"/>
        <w:rPr>
          <w:rFonts w:ascii="Arial" w:eastAsia="Times New Roman" w:hAnsi="Arial" w:cs="Arial"/>
        </w:rPr>
      </w:pPr>
      <w:r>
        <w:rPr>
          <w:rFonts w:ascii="Arial" w:hAnsi="Arial"/>
        </w:rPr>
        <w:t xml:space="preserve">si le requérant et les responsables mandatés par celui-ci offrent la fiabilité et l’expertise requises pour l’organisation de jeux de hasard publics et qu’ils sont en mesure d’apporter la garantie que lesdits jeux seront organisés de manière rationnelle et intelligible pour les participants aux jeux et l’autorité chargée de délivrer les autorisations; dans le cas des personnes morales et des sociétés de personnes, toutes les personnes investies d’un </w:t>
      </w:r>
      <w:r>
        <w:rPr>
          <w:rFonts w:ascii="Arial" w:hAnsi="Arial"/>
        </w:rPr>
        <w:lastRenderedPageBreak/>
        <w:t>mandat de représentation seront tenues de satisfaire à ces exigences de fiabilité et d’expertise,</w:t>
      </w:r>
    </w:p>
    <w:p w14:paraId="0B3C0A83" w14:textId="77777777" w:rsidR="00001328" w:rsidRDefault="00A4265D">
      <w:pPr>
        <w:pStyle w:val="Liststycke"/>
        <w:numPr>
          <w:ilvl w:val="0"/>
          <w:numId w:val="20"/>
        </w:numPr>
        <w:spacing w:after="120" w:line="360" w:lineRule="auto"/>
        <w:ind w:left="426"/>
        <w:contextualSpacing w:val="0"/>
        <w:jc w:val="both"/>
        <w:rPr>
          <w:rFonts w:ascii="Arial" w:eastAsia="Times New Roman" w:hAnsi="Arial" w:cs="Arial"/>
        </w:rPr>
      </w:pPr>
      <w:r>
        <w:rPr>
          <w:rFonts w:ascii="Arial" w:hAnsi="Arial"/>
        </w:rPr>
        <w:t>ni le requérant lui-même ni une société qui lui est affiliée, ni une personne le contrôlant ni une personne contrôlée par lui, ni une personne dépendant de la personne contrôlant le requérant, n’organise ou ne distribue des jeux illégaux,</w:t>
      </w:r>
    </w:p>
    <w:p w14:paraId="196C0528" w14:textId="77777777" w:rsidR="00001328" w:rsidRDefault="00A4265D">
      <w:pPr>
        <w:pStyle w:val="Liststycke"/>
        <w:numPr>
          <w:ilvl w:val="0"/>
          <w:numId w:val="20"/>
        </w:numPr>
        <w:spacing w:after="120" w:line="360" w:lineRule="auto"/>
        <w:ind w:left="426"/>
        <w:contextualSpacing w:val="0"/>
        <w:jc w:val="both"/>
        <w:rPr>
          <w:rFonts w:ascii="Arial" w:eastAsia="Times New Roman" w:hAnsi="Arial" w:cs="Arial"/>
        </w:rPr>
      </w:pPr>
      <w:r>
        <w:rPr>
          <w:rFonts w:ascii="Arial" w:hAnsi="Arial"/>
        </w:rPr>
        <w:t xml:space="preserve">la transparence de l’exploitation est assurée, </w:t>
      </w:r>
    </w:p>
    <w:p w14:paraId="600E8088" w14:textId="77777777" w:rsidR="00001328" w:rsidRDefault="00A4265D">
      <w:pPr>
        <w:pStyle w:val="Liststycke"/>
        <w:numPr>
          <w:ilvl w:val="0"/>
          <w:numId w:val="20"/>
        </w:numPr>
        <w:spacing w:after="120" w:line="360" w:lineRule="auto"/>
        <w:ind w:left="426"/>
        <w:contextualSpacing w:val="0"/>
        <w:jc w:val="both"/>
        <w:rPr>
          <w:rFonts w:ascii="Arial" w:eastAsia="Times New Roman" w:hAnsi="Arial" w:cs="Arial"/>
        </w:rPr>
      </w:pPr>
      <w:r>
        <w:rPr>
          <w:rFonts w:ascii="Arial" w:hAnsi="Arial"/>
        </w:rPr>
        <w:t>le requérant est établi dans un État membre de l’Union européenne ou dans un État signataire de l’accord sur l’Espace économique européen,</w:t>
      </w:r>
    </w:p>
    <w:p w14:paraId="2765D9AB" w14:textId="77777777" w:rsidR="00001328" w:rsidRDefault="00A4265D">
      <w:pPr>
        <w:pStyle w:val="Liststycke"/>
        <w:numPr>
          <w:ilvl w:val="0"/>
          <w:numId w:val="20"/>
        </w:numPr>
        <w:spacing w:after="120" w:line="360" w:lineRule="auto"/>
        <w:ind w:left="426"/>
        <w:contextualSpacing w:val="0"/>
        <w:jc w:val="both"/>
        <w:rPr>
          <w:rFonts w:ascii="Arial" w:eastAsia="Times New Roman" w:hAnsi="Arial" w:cs="Arial"/>
        </w:rPr>
      </w:pPr>
      <w:r>
        <w:rPr>
          <w:rFonts w:ascii="Arial" w:hAnsi="Arial"/>
        </w:rPr>
        <w:t>le requérant, dans le cas où celui-ci n’est pas établi sur le territoire national, désigne une personne investie des mandats de réception et de représentation pouvant être considérée comme fiable au sens du point 1,</w:t>
      </w:r>
    </w:p>
    <w:p w14:paraId="095C3D0E" w14:textId="77777777" w:rsidR="00001328" w:rsidRDefault="00A4265D">
      <w:pPr>
        <w:pStyle w:val="Liststycke"/>
        <w:numPr>
          <w:ilvl w:val="0"/>
          <w:numId w:val="20"/>
        </w:numPr>
        <w:spacing w:after="120" w:line="360" w:lineRule="auto"/>
        <w:ind w:left="426"/>
        <w:contextualSpacing w:val="0"/>
        <w:jc w:val="both"/>
        <w:rPr>
          <w:rFonts w:ascii="Arial" w:eastAsia="Times New Roman" w:hAnsi="Arial" w:cs="Arial"/>
        </w:rPr>
      </w:pPr>
      <w:r>
        <w:rPr>
          <w:rFonts w:ascii="Arial" w:hAnsi="Arial"/>
        </w:rPr>
        <w:t>les offres de jeux en ligne sont créées sous un nom de domaine de premier niveau, tel que «.de»,</w:t>
      </w:r>
    </w:p>
    <w:p w14:paraId="329F03F3" w14:textId="77777777" w:rsidR="00001328" w:rsidRDefault="00A4265D">
      <w:pPr>
        <w:pStyle w:val="Liststycke"/>
        <w:numPr>
          <w:ilvl w:val="0"/>
          <w:numId w:val="20"/>
        </w:numPr>
        <w:spacing w:after="120" w:line="360" w:lineRule="auto"/>
        <w:ind w:left="426"/>
        <w:contextualSpacing w:val="0"/>
        <w:jc w:val="both"/>
        <w:rPr>
          <w:rFonts w:ascii="Arial" w:eastAsia="Times New Roman" w:hAnsi="Arial" w:cs="Arial"/>
        </w:rPr>
      </w:pPr>
      <w:r>
        <w:rPr>
          <w:rFonts w:ascii="Arial" w:hAnsi="Arial"/>
        </w:rPr>
        <w:t>le requérant établit une comptabilité propre concernant les opérations de jeu et de paiement effectuées en Allemagne et procède aux paiements relatifs aux jeux par l’intermédiaire d’un compte domicilié sur le territoire national ou d’un établissement de crédit implanté dans un État membre de l’Union européenne, et</w:t>
      </w:r>
    </w:p>
    <w:p w14:paraId="19674E28" w14:textId="77777777" w:rsidR="00001328" w:rsidRDefault="00A4265D">
      <w:pPr>
        <w:pStyle w:val="Liststycke"/>
        <w:numPr>
          <w:ilvl w:val="0"/>
          <w:numId w:val="20"/>
        </w:numPr>
        <w:spacing w:after="120" w:line="360" w:lineRule="auto"/>
        <w:ind w:left="426"/>
        <w:contextualSpacing w:val="0"/>
        <w:jc w:val="both"/>
        <w:rPr>
          <w:rFonts w:ascii="Arial" w:eastAsia="Times New Roman" w:hAnsi="Arial" w:cs="Arial"/>
        </w:rPr>
      </w:pPr>
      <w:r>
        <w:rPr>
          <w:rFonts w:ascii="Arial" w:hAnsi="Arial"/>
        </w:rPr>
        <w:t xml:space="preserve">le requérant met à disposition des interfaces destinées au contrôle de l’ensemble des opérations de jeu en temps réel. </w:t>
      </w:r>
    </w:p>
    <w:p w14:paraId="2B2E15F2" w14:textId="77777777" w:rsidR="00001328" w:rsidRDefault="00001328">
      <w:pPr>
        <w:spacing w:after="120" w:line="360" w:lineRule="auto"/>
        <w:ind w:left="426" w:hanging="360"/>
        <w:jc w:val="both"/>
        <w:rPr>
          <w:rFonts w:ascii="Arial" w:eastAsia="Times New Roman" w:hAnsi="Arial" w:cs="Arial"/>
          <w:lang w:eastAsia="de-DE"/>
        </w:rPr>
      </w:pPr>
    </w:p>
    <w:p w14:paraId="220CAE59" w14:textId="77777777" w:rsidR="00001328" w:rsidRDefault="00A4265D">
      <w:pPr>
        <w:keepNext/>
        <w:spacing w:after="120" w:line="360" w:lineRule="auto"/>
        <w:jc w:val="center"/>
        <w:rPr>
          <w:rFonts w:ascii="Arial" w:eastAsia="Times New Roman" w:hAnsi="Arial" w:cs="Arial"/>
          <w:b/>
        </w:rPr>
      </w:pPr>
      <w:r>
        <w:rPr>
          <w:rFonts w:ascii="Arial" w:hAnsi="Arial"/>
          <w:b/>
        </w:rPr>
        <w:t>Neuvième section</w:t>
      </w:r>
      <w:r>
        <w:rPr>
          <w:rFonts w:ascii="Arial" w:hAnsi="Arial"/>
          <w:b/>
        </w:rPr>
        <w:br/>
        <w:t>Autorité commune des jeux de hasard des Länder</w:t>
      </w:r>
    </w:p>
    <w:p w14:paraId="5B89401B" w14:textId="77777777" w:rsidR="00001328" w:rsidRDefault="00001328">
      <w:pPr>
        <w:keepNext/>
        <w:spacing w:after="120" w:line="360" w:lineRule="auto"/>
        <w:rPr>
          <w:rFonts w:ascii="Arial" w:eastAsia="Times New Roman" w:hAnsi="Arial" w:cs="Arial"/>
          <w:lang w:eastAsia="ar-SA"/>
        </w:rPr>
      </w:pPr>
    </w:p>
    <w:p w14:paraId="3B6D395B" w14:textId="77777777" w:rsidR="00001328" w:rsidRDefault="00A4265D">
      <w:pPr>
        <w:keepNext/>
        <w:spacing w:after="120" w:line="360" w:lineRule="auto"/>
        <w:jc w:val="both"/>
        <w:rPr>
          <w:rFonts w:ascii="Arial" w:eastAsia="Times New Roman" w:hAnsi="Arial" w:cs="Arial"/>
          <w:b/>
        </w:rPr>
      </w:pPr>
      <w:r>
        <w:rPr>
          <w:rFonts w:ascii="Arial" w:hAnsi="Arial"/>
          <w:b/>
        </w:rPr>
        <w:t>Article 27a Constitution, forme juridique, nom, siège social, loi applicable, sceau officiel</w:t>
      </w:r>
    </w:p>
    <w:p w14:paraId="683E20F6" w14:textId="77777777" w:rsidR="00001328" w:rsidRDefault="00A4265D">
      <w:pPr>
        <w:spacing w:after="120" w:line="360" w:lineRule="auto"/>
        <w:jc w:val="both"/>
        <w:rPr>
          <w:rFonts w:ascii="Arial" w:eastAsia="Times New Roman" w:hAnsi="Arial" w:cs="Arial"/>
        </w:rPr>
      </w:pPr>
      <w:r>
        <w:rPr>
          <w:rFonts w:ascii="Arial" w:hAnsi="Arial"/>
        </w:rPr>
        <w:t>(1) Les Länder mettent en place un établissement de droit public (établissement) basé en Saxe-Anhalt (Land de domicile) pour assurer les tâches de surveillance des jeux, notamment dans le domaine de l’internet à partir du 1er juillet 2021. L’établissement est considéré comme une institution du Land de domicile.</w:t>
      </w:r>
    </w:p>
    <w:p w14:paraId="32837375" w14:textId="77777777" w:rsidR="00001328" w:rsidRDefault="00A4265D">
      <w:pPr>
        <w:spacing w:after="120" w:line="360" w:lineRule="auto"/>
        <w:jc w:val="both"/>
        <w:rPr>
          <w:rFonts w:ascii="Arial" w:eastAsia="Times New Roman" w:hAnsi="Arial" w:cs="Arial"/>
        </w:rPr>
      </w:pPr>
      <w:r>
        <w:rPr>
          <w:rFonts w:ascii="Arial" w:hAnsi="Arial"/>
        </w:rPr>
        <w:t>(2) L’établissement porte le nom de «Gemeinsame Glücksspielbehörde der Länder», autorité commune des jeux de hasard des Länder.</w:t>
      </w:r>
    </w:p>
    <w:p w14:paraId="77F10D2B" w14:textId="77777777" w:rsidR="00001328" w:rsidRDefault="00A4265D">
      <w:pPr>
        <w:spacing w:after="120" w:line="360" w:lineRule="auto"/>
        <w:jc w:val="both"/>
        <w:rPr>
          <w:rFonts w:ascii="Arial" w:eastAsia="Times New Roman" w:hAnsi="Arial" w:cs="Arial"/>
        </w:rPr>
      </w:pPr>
      <w:r>
        <w:rPr>
          <w:rFonts w:ascii="Arial" w:hAnsi="Arial"/>
        </w:rPr>
        <w:t>(3) Sauf indication contraire dans le présent traité d’État, la loi du Land de domicile s’applique à la création et au fonctionnement de l’établissement.</w:t>
      </w:r>
    </w:p>
    <w:p w14:paraId="75931744" w14:textId="77777777" w:rsidR="00001328" w:rsidRDefault="00A4265D">
      <w:pPr>
        <w:spacing w:after="120" w:line="360" w:lineRule="auto"/>
        <w:jc w:val="both"/>
        <w:rPr>
          <w:rFonts w:ascii="Arial" w:eastAsia="Times New Roman" w:hAnsi="Arial" w:cs="Arial"/>
        </w:rPr>
      </w:pPr>
      <w:r>
        <w:rPr>
          <w:rFonts w:ascii="Arial" w:hAnsi="Arial"/>
        </w:rPr>
        <w:t xml:space="preserve">(4) Sauf disposition contraire du présent traité d’État, la loi du Land de domicile est applicable pour l’exécution des procédures administratives et pour l’application administrative du droit du </w:t>
      </w:r>
      <w:r>
        <w:rPr>
          <w:rFonts w:ascii="Arial" w:hAnsi="Arial"/>
        </w:rPr>
        <w:lastRenderedPageBreak/>
        <w:t>Land de domicile. L’établissement est également considéré comme une institution du Land de domicile quant à l’application de la loi du Land de domicile.</w:t>
      </w:r>
    </w:p>
    <w:p w14:paraId="26F0743B" w14:textId="77777777" w:rsidR="00001328" w:rsidRDefault="00A4265D">
      <w:pPr>
        <w:spacing w:after="120" w:line="360" w:lineRule="auto"/>
        <w:jc w:val="both"/>
        <w:rPr>
          <w:rFonts w:ascii="Arial" w:eastAsia="Times New Roman" w:hAnsi="Arial" w:cs="Arial"/>
        </w:rPr>
      </w:pPr>
      <w:r>
        <w:rPr>
          <w:rFonts w:ascii="Arial" w:hAnsi="Arial"/>
        </w:rPr>
        <w:t>(5) L’établissement porte un sceau officiel.</w:t>
      </w:r>
    </w:p>
    <w:p w14:paraId="71A7BDE4" w14:textId="77777777" w:rsidR="00001328" w:rsidRDefault="00001328">
      <w:pPr>
        <w:spacing w:after="120" w:line="360" w:lineRule="auto"/>
        <w:jc w:val="both"/>
        <w:rPr>
          <w:rFonts w:ascii="Arial" w:eastAsia="Times New Roman" w:hAnsi="Arial" w:cs="Arial"/>
          <w:lang w:eastAsia="ar-SA"/>
        </w:rPr>
      </w:pPr>
    </w:p>
    <w:p w14:paraId="4B2CD873" w14:textId="77777777" w:rsidR="00001328" w:rsidRDefault="00A4265D">
      <w:pPr>
        <w:spacing w:after="120" w:line="360" w:lineRule="auto"/>
        <w:jc w:val="both"/>
        <w:rPr>
          <w:rFonts w:ascii="Arial" w:eastAsia="Times New Roman" w:hAnsi="Arial" w:cs="Arial"/>
          <w:b/>
        </w:rPr>
      </w:pPr>
      <w:r>
        <w:rPr>
          <w:rFonts w:ascii="Arial" w:hAnsi="Arial"/>
          <w:b/>
        </w:rPr>
        <w:t>Article 27b Statuts</w:t>
      </w:r>
    </w:p>
    <w:p w14:paraId="1278A11A" w14:textId="77777777" w:rsidR="00001328" w:rsidRDefault="00A4265D">
      <w:pPr>
        <w:spacing w:after="120" w:line="360" w:lineRule="auto"/>
        <w:jc w:val="both"/>
        <w:rPr>
          <w:rFonts w:ascii="Arial" w:eastAsia="Times New Roman" w:hAnsi="Arial" w:cs="Arial"/>
        </w:rPr>
      </w:pPr>
      <w:r>
        <w:rPr>
          <w:rFonts w:ascii="Arial" w:hAnsi="Arial"/>
        </w:rPr>
        <w:t>L’établissement adopte des statuts conformément au présent traité d’État. Les statuts et leurs amendements doivent être publiés dans le bulletin officiel du Land de domicile.</w:t>
      </w:r>
    </w:p>
    <w:p w14:paraId="38C91672" w14:textId="77777777" w:rsidR="00001328" w:rsidRDefault="00001328">
      <w:pPr>
        <w:spacing w:after="120" w:line="360" w:lineRule="auto"/>
        <w:jc w:val="both"/>
        <w:rPr>
          <w:rFonts w:ascii="Arial" w:eastAsia="Times New Roman" w:hAnsi="Arial" w:cs="Arial"/>
          <w:lang w:eastAsia="ar-SA"/>
        </w:rPr>
      </w:pPr>
    </w:p>
    <w:p w14:paraId="156EEF81" w14:textId="77777777" w:rsidR="00001328" w:rsidRDefault="00A4265D">
      <w:pPr>
        <w:spacing w:after="120" w:line="360" w:lineRule="auto"/>
        <w:jc w:val="both"/>
        <w:rPr>
          <w:rFonts w:ascii="Arial" w:eastAsia="Times New Roman" w:hAnsi="Arial" w:cs="Arial"/>
          <w:b/>
        </w:rPr>
      </w:pPr>
      <w:r>
        <w:rPr>
          <w:rFonts w:ascii="Arial" w:hAnsi="Arial"/>
          <w:b/>
        </w:rPr>
        <w:t>Article 27c Responsabilité et financement de l’établissement</w:t>
      </w:r>
    </w:p>
    <w:p w14:paraId="5BE6E467" w14:textId="77777777" w:rsidR="00001328" w:rsidRDefault="00A4265D">
      <w:pPr>
        <w:spacing w:after="120" w:line="360" w:lineRule="auto"/>
        <w:jc w:val="both"/>
        <w:rPr>
          <w:rFonts w:ascii="Arial" w:eastAsia="Times New Roman" w:hAnsi="Arial" w:cs="Arial"/>
        </w:rPr>
      </w:pPr>
      <w:r>
        <w:rPr>
          <w:rFonts w:ascii="Arial" w:hAnsi="Arial"/>
        </w:rPr>
        <w:t>(1) Les Länder sont responsables de l’établissement (Länder responsables). Ils sont également utilisateurs de l’établissement.</w:t>
      </w:r>
    </w:p>
    <w:p w14:paraId="43D53AA1" w14:textId="77777777" w:rsidR="00001328" w:rsidRDefault="00A4265D">
      <w:pPr>
        <w:spacing w:after="120" w:line="360" w:lineRule="auto"/>
        <w:jc w:val="both"/>
        <w:rPr>
          <w:rFonts w:ascii="Arial" w:eastAsia="Times New Roman" w:hAnsi="Arial" w:cs="Arial"/>
        </w:rPr>
      </w:pPr>
      <w:r>
        <w:rPr>
          <w:rFonts w:ascii="Arial" w:hAnsi="Arial"/>
        </w:rPr>
        <w:t>(2) Les Länder responsables s’engagent à assurer le financement adéquat de l’établissement.</w:t>
      </w:r>
    </w:p>
    <w:p w14:paraId="66370BF3" w14:textId="77777777" w:rsidR="00001328" w:rsidRDefault="00A4265D">
      <w:pPr>
        <w:spacing w:after="120" w:line="360" w:lineRule="auto"/>
        <w:jc w:val="both"/>
        <w:rPr>
          <w:rFonts w:ascii="Arial" w:eastAsia="Times New Roman" w:hAnsi="Arial" w:cs="Arial"/>
        </w:rPr>
      </w:pPr>
      <w:r>
        <w:rPr>
          <w:rFonts w:ascii="Arial" w:hAnsi="Arial"/>
        </w:rPr>
        <w:t xml:space="preserve">(3) Les Länder responsables apportent les ressources financières prévues au plan économique confirmé au pro rata, conformément à la clé Königstein modifiée pour l’établissement (contributions financières). La clé Königstein modifiée pour l’établissement est la clé Königstein publiée dans le Journal officiel fédéral, convertie dans les Länder responsables et arrondie à cinq décimales. Le pourcentage indiqué dans le Journal officiel fédéral pour chaque Land responsable est divisé par la somme des parts en pourcentage de tous les Länder responsables, puis multiplié par 100 %. La clé Königstein actuelle modifiée pour l’établissement s’applique à tous les paiements. </w:t>
      </w:r>
    </w:p>
    <w:p w14:paraId="68D264D5" w14:textId="77777777" w:rsidR="00001328" w:rsidRDefault="00A4265D">
      <w:pPr>
        <w:spacing w:after="120" w:line="360" w:lineRule="auto"/>
        <w:jc w:val="both"/>
        <w:rPr>
          <w:rFonts w:ascii="Arial" w:eastAsia="Times New Roman" w:hAnsi="Arial" w:cs="Arial"/>
        </w:rPr>
      </w:pPr>
      <w:r>
        <w:rPr>
          <w:rFonts w:ascii="Arial" w:hAnsi="Arial"/>
        </w:rPr>
        <w:t>(4) L’établissement recevra pour l’exercice 2021, 3 millions d’euros qui sont à la charge des Länder responsables conformément à la clé Königstein modifiée pour l’établissement visée au paragraphe 3, phrases 2 à 4, et doivent être mis à la disposition de l’établissement avant le 30 septembre 2021.</w:t>
      </w:r>
    </w:p>
    <w:p w14:paraId="6A732D5F" w14:textId="77777777" w:rsidR="00001328" w:rsidRDefault="00A4265D">
      <w:pPr>
        <w:spacing w:after="120" w:line="360" w:lineRule="auto"/>
        <w:jc w:val="both"/>
        <w:rPr>
          <w:rFonts w:ascii="Arial" w:eastAsia="Times New Roman" w:hAnsi="Arial" w:cs="Arial"/>
        </w:rPr>
      </w:pPr>
      <w:r>
        <w:rPr>
          <w:rFonts w:ascii="Arial" w:hAnsi="Arial"/>
        </w:rPr>
        <w:t>(5) L’établissement est géré selon des principes commerciaux et des considérations économiques, en tenant compte des particularités résultant des missions de l’établissement. La comptabilité de l’établissement est basée sur les principes de la comptabilité en partie double (état double entrée). L’exercice fiscal est l’année civile. Les statuts réglementent les détails de la gestion comptable et économique.</w:t>
      </w:r>
    </w:p>
    <w:p w14:paraId="5FA0883A" w14:textId="77777777" w:rsidR="00001328" w:rsidRDefault="00A4265D">
      <w:pPr>
        <w:spacing w:after="120" w:line="360" w:lineRule="auto"/>
        <w:jc w:val="both"/>
        <w:rPr>
          <w:rFonts w:ascii="Arial" w:eastAsia="Times New Roman" w:hAnsi="Arial" w:cs="Arial"/>
        </w:rPr>
      </w:pPr>
      <w:r>
        <w:rPr>
          <w:rFonts w:ascii="Arial" w:hAnsi="Arial"/>
        </w:rPr>
        <w:t>(6) Les détails du financement sont réglementés par un accord administratif.</w:t>
      </w:r>
    </w:p>
    <w:p w14:paraId="2C96F66F" w14:textId="77777777" w:rsidR="00001328" w:rsidRDefault="00001328">
      <w:pPr>
        <w:spacing w:after="120" w:line="360" w:lineRule="auto"/>
        <w:jc w:val="both"/>
        <w:rPr>
          <w:rFonts w:ascii="Arial" w:eastAsia="Times New Roman" w:hAnsi="Arial" w:cs="Arial"/>
          <w:lang w:eastAsia="ar-SA"/>
        </w:rPr>
      </w:pPr>
    </w:p>
    <w:p w14:paraId="3678C03D" w14:textId="77777777" w:rsidR="00001328" w:rsidRDefault="00A4265D">
      <w:pPr>
        <w:keepNext/>
        <w:spacing w:after="120" w:line="360" w:lineRule="auto"/>
        <w:jc w:val="both"/>
        <w:rPr>
          <w:rFonts w:ascii="Arial" w:eastAsia="Times New Roman" w:hAnsi="Arial" w:cs="Arial"/>
          <w:b/>
        </w:rPr>
      </w:pPr>
      <w:r>
        <w:rPr>
          <w:rFonts w:ascii="Arial" w:hAnsi="Arial"/>
          <w:b/>
        </w:rPr>
        <w:t xml:space="preserve">Article 27d Responsabilité </w:t>
      </w:r>
    </w:p>
    <w:p w14:paraId="5173BBAD" w14:textId="77777777" w:rsidR="00001328" w:rsidRDefault="00A4265D">
      <w:pPr>
        <w:spacing w:after="120" w:line="360" w:lineRule="auto"/>
        <w:jc w:val="both"/>
        <w:rPr>
          <w:rFonts w:ascii="Arial" w:eastAsia="Times New Roman" w:hAnsi="Arial" w:cs="Arial"/>
        </w:rPr>
      </w:pPr>
      <w:r>
        <w:rPr>
          <w:rFonts w:ascii="Arial" w:hAnsi="Arial"/>
        </w:rPr>
        <w:t xml:space="preserve">Outre l’établissement, les pays d’accueil sont solidairement responsables de leurs engagements si et dans la mesure où ceci ne peuvent pas être couverts par les actifs de </w:t>
      </w:r>
      <w:r>
        <w:rPr>
          <w:rFonts w:ascii="Arial" w:hAnsi="Arial"/>
        </w:rPr>
        <w:lastRenderedPageBreak/>
        <w:t>l’établissement. Dans les relations internes, les Länder responsables sont responsables au prorata de leurs parts conformément à la clé Königstein modifiée pour l’établissement de l’article 27c, paragraphe 3, phrases 2 à 4.</w:t>
      </w:r>
    </w:p>
    <w:p w14:paraId="5FF3BBAE" w14:textId="77777777" w:rsidR="00001328" w:rsidRDefault="00001328">
      <w:pPr>
        <w:spacing w:after="120" w:line="360" w:lineRule="auto"/>
        <w:jc w:val="both"/>
        <w:rPr>
          <w:rFonts w:ascii="Arial" w:eastAsia="Times New Roman" w:hAnsi="Arial" w:cs="Arial"/>
          <w:lang w:eastAsia="ar-SA"/>
        </w:rPr>
      </w:pPr>
    </w:p>
    <w:p w14:paraId="2473E844" w14:textId="77777777" w:rsidR="00001328" w:rsidRDefault="00A4265D">
      <w:pPr>
        <w:keepNext/>
        <w:spacing w:after="120" w:line="360" w:lineRule="auto"/>
        <w:jc w:val="both"/>
        <w:rPr>
          <w:rFonts w:ascii="Arial" w:eastAsia="Times New Roman" w:hAnsi="Arial" w:cs="Arial"/>
          <w:b/>
        </w:rPr>
      </w:pPr>
      <w:r>
        <w:rPr>
          <w:rFonts w:ascii="Arial" w:hAnsi="Arial"/>
          <w:b/>
        </w:rPr>
        <w:t>Article 27e Missions de l’établissement</w:t>
      </w:r>
    </w:p>
    <w:p w14:paraId="0DA23B51" w14:textId="77777777" w:rsidR="00001328" w:rsidRDefault="00A4265D">
      <w:pPr>
        <w:spacing w:after="120" w:line="360" w:lineRule="auto"/>
        <w:jc w:val="both"/>
        <w:rPr>
          <w:rFonts w:ascii="Arial" w:eastAsia="Times New Roman" w:hAnsi="Arial" w:cs="Arial"/>
        </w:rPr>
      </w:pPr>
      <w:r>
        <w:rPr>
          <w:rFonts w:ascii="Arial" w:hAnsi="Arial"/>
        </w:rPr>
        <w:t>(1) L’établissement agit en tant qu’autorité d’octroi de licences et autorité de surveillance pour les offres de jeux suprarégionales, en particulier sur l’internet, dans le cadre des responsabilités définies dans le présent traité d’État.</w:t>
      </w:r>
    </w:p>
    <w:p w14:paraId="23CA5843" w14:textId="77777777" w:rsidR="00001328" w:rsidRDefault="00A4265D">
      <w:pPr>
        <w:spacing w:after="120" w:line="360" w:lineRule="auto"/>
        <w:jc w:val="both"/>
        <w:rPr>
          <w:rFonts w:ascii="Arial" w:eastAsia="Times New Roman" w:hAnsi="Arial" w:cs="Arial"/>
        </w:rPr>
      </w:pPr>
      <w:r>
        <w:rPr>
          <w:rFonts w:ascii="Arial" w:hAnsi="Arial"/>
        </w:rPr>
        <w:t>(2) L’établissement observe les évolutions du marché du jeu et les recherches en lien avec les jeux de hasard.</w:t>
      </w:r>
    </w:p>
    <w:p w14:paraId="24A8C0E8" w14:textId="77777777" w:rsidR="00001328" w:rsidRDefault="00A4265D">
      <w:pPr>
        <w:spacing w:after="120" w:line="360" w:lineRule="auto"/>
        <w:jc w:val="both"/>
        <w:rPr>
          <w:rFonts w:ascii="Arial" w:eastAsia="Times New Roman" w:hAnsi="Arial" w:cs="Arial"/>
        </w:rPr>
      </w:pPr>
      <w:r>
        <w:rPr>
          <w:rFonts w:ascii="Arial" w:hAnsi="Arial"/>
        </w:rPr>
        <w:t>(3) L’établissement doit promouvoir la recherche scientifique en lien avec les jeux de hasard. L’établissement peut commander des études et des expertises à ce sujet.</w:t>
      </w:r>
    </w:p>
    <w:p w14:paraId="78FD5174" w14:textId="77777777" w:rsidR="00001328" w:rsidRDefault="00A4265D">
      <w:pPr>
        <w:spacing w:after="120" w:line="360" w:lineRule="auto"/>
        <w:jc w:val="both"/>
        <w:rPr>
          <w:rFonts w:ascii="Arial" w:eastAsia="Times New Roman" w:hAnsi="Arial" w:cs="Arial"/>
        </w:rPr>
      </w:pPr>
      <w:r>
        <w:rPr>
          <w:rFonts w:ascii="Arial" w:hAnsi="Arial"/>
        </w:rPr>
        <w:t>(4) L’établissement soutient les Länder dans la coopération de leurs autorités de surveillance des jeux de hasard et dans la coopération de celles-ci avec celles d’autres pays.</w:t>
      </w:r>
    </w:p>
    <w:p w14:paraId="292AD2CB" w14:textId="77777777" w:rsidR="00001328" w:rsidRDefault="00001328">
      <w:pPr>
        <w:spacing w:after="120" w:line="360" w:lineRule="auto"/>
        <w:jc w:val="both"/>
        <w:rPr>
          <w:rFonts w:ascii="Arial" w:eastAsia="Times New Roman" w:hAnsi="Arial" w:cs="Arial"/>
          <w:lang w:eastAsia="ar-SA"/>
        </w:rPr>
      </w:pPr>
    </w:p>
    <w:p w14:paraId="6AE56EC4" w14:textId="77777777" w:rsidR="00001328" w:rsidRDefault="00A4265D">
      <w:pPr>
        <w:keepNext/>
        <w:spacing w:after="120" w:line="360" w:lineRule="auto"/>
        <w:jc w:val="both"/>
        <w:rPr>
          <w:rFonts w:ascii="Arial" w:eastAsia="Times New Roman" w:hAnsi="Arial" w:cs="Arial"/>
          <w:b/>
        </w:rPr>
      </w:pPr>
      <w:r>
        <w:rPr>
          <w:rFonts w:ascii="Arial" w:hAnsi="Arial"/>
          <w:b/>
        </w:rPr>
        <w:t>Article 27f Compétences de l’établissement</w:t>
      </w:r>
    </w:p>
    <w:p w14:paraId="7ED737CE" w14:textId="77777777" w:rsidR="00001328" w:rsidRDefault="00A4265D">
      <w:pPr>
        <w:spacing w:after="120" w:line="360" w:lineRule="auto"/>
        <w:jc w:val="both"/>
        <w:rPr>
          <w:rFonts w:ascii="Arial" w:eastAsia="Times New Roman" w:hAnsi="Arial" w:cs="Arial"/>
        </w:rPr>
      </w:pPr>
      <w:r>
        <w:rPr>
          <w:rFonts w:ascii="Arial" w:hAnsi="Arial"/>
        </w:rPr>
        <w:t>(1) L’établissement est en charge de la délivrance des licences avec effet pour tous les Länder conformément à l’article 9a, paragraphe 1.</w:t>
      </w:r>
    </w:p>
    <w:p w14:paraId="2184DB8A" w14:textId="77777777" w:rsidR="00001328" w:rsidRDefault="00A4265D">
      <w:pPr>
        <w:spacing w:after="120" w:line="360" w:lineRule="auto"/>
        <w:jc w:val="both"/>
        <w:rPr>
          <w:rFonts w:ascii="Arial" w:eastAsia="Times New Roman" w:hAnsi="Arial" w:cs="Arial"/>
        </w:rPr>
      </w:pPr>
      <w:r>
        <w:rPr>
          <w:rFonts w:ascii="Arial" w:hAnsi="Arial"/>
        </w:rPr>
        <w:t>(2) L’établissement est l’autorité compétente unique dans le cas de l’article 9a, paragraphe 3.</w:t>
      </w:r>
    </w:p>
    <w:p w14:paraId="00E700CC" w14:textId="77777777" w:rsidR="00001328" w:rsidRDefault="00A4265D">
      <w:pPr>
        <w:spacing w:after="120" w:line="360" w:lineRule="auto"/>
        <w:jc w:val="both"/>
        <w:rPr>
          <w:rFonts w:ascii="Arial" w:eastAsia="Times New Roman" w:hAnsi="Arial" w:cs="Arial"/>
        </w:rPr>
      </w:pPr>
      <w:r>
        <w:rPr>
          <w:rFonts w:ascii="Arial" w:hAnsi="Arial"/>
        </w:rPr>
        <w:t>(3) Il s’agit de l’autorité compétente conformément à l’article 9, paragraphe 8.</w:t>
      </w:r>
    </w:p>
    <w:p w14:paraId="39164669" w14:textId="77777777" w:rsidR="00001328" w:rsidRDefault="00A4265D">
      <w:pPr>
        <w:spacing w:after="120" w:line="360" w:lineRule="auto"/>
        <w:jc w:val="both"/>
        <w:rPr>
          <w:rFonts w:ascii="Arial" w:eastAsia="Times New Roman" w:hAnsi="Arial" w:cs="Arial"/>
        </w:rPr>
      </w:pPr>
      <w:r>
        <w:rPr>
          <w:rFonts w:ascii="Arial" w:hAnsi="Arial"/>
        </w:rPr>
        <w:t>(4) L’établissement est également l’autorité compétente pour</w:t>
      </w:r>
    </w:p>
    <w:p w14:paraId="2697FBBF" w14:textId="77777777" w:rsidR="00001328" w:rsidRDefault="00A4265D">
      <w:pPr>
        <w:spacing w:after="120" w:line="360" w:lineRule="auto"/>
        <w:ind w:left="567" w:hanging="283"/>
        <w:jc w:val="both"/>
        <w:rPr>
          <w:rFonts w:ascii="Arial" w:eastAsia="Times New Roman" w:hAnsi="Arial" w:cs="Arial"/>
        </w:rPr>
      </w:pPr>
      <w:r>
        <w:rPr>
          <w:rFonts w:ascii="Arial" w:hAnsi="Arial"/>
        </w:rPr>
        <w:t>1.</w:t>
      </w:r>
      <w:r>
        <w:rPr>
          <w:rFonts w:ascii="Arial" w:hAnsi="Arial"/>
        </w:rPr>
        <w:tab/>
        <w:t xml:space="preserve">la gestion du fichier d’interdiction conformément aux articles 8a à 8d et 23, </w:t>
      </w:r>
    </w:p>
    <w:p w14:paraId="2FA185E9" w14:textId="77777777" w:rsidR="00001328" w:rsidRDefault="00A4265D">
      <w:pPr>
        <w:spacing w:after="120" w:line="360" w:lineRule="auto"/>
        <w:ind w:left="567" w:hanging="283"/>
        <w:jc w:val="both"/>
        <w:rPr>
          <w:rFonts w:ascii="Arial" w:eastAsia="Times New Roman" w:hAnsi="Arial" w:cs="Arial"/>
        </w:rPr>
      </w:pPr>
      <w:r>
        <w:rPr>
          <w:rFonts w:ascii="Arial" w:hAnsi="Arial"/>
        </w:rPr>
        <w:t>2.</w:t>
      </w:r>
      <w:r>
        <w:rPr>
          <w:rFonts w:ascii="Arial" w:hAnsi="Arial"/>
        </w:rPr>
        <w:tab/>
        <w:t>la gestion du fichier de limite conformément à l’article 6c, paragraphe 4 (y compris l’autorisation de fixer un montant maximal différent pour la limite de dépôt dans la licence de jeu conformément à l’article 6c, paragraphe 1, phrase 3 et la fixation de règlements-cadres contraignants sur les conditions de l’autorisation de fixer un montant maximal différent pour la limite de dépôt conformément à l’article 6c, paragraphe 1, phrase 5),</w:t>
      </w:r>
    </w:p>
    <w:p w14:paraId="629B05F9" w14:textId="77777777" w:rsidR="00001328" w:rsidRDefault="00A4265D">
      <w:pPr>
        <w:spacing w:after="120" w:line="360" w:lineRule="auto"/>
        <w:ind w:left="567" w:hanging="283"/>
        <w:jc w:val="both"/>
        <w:rPr>
          <w:rFonts w:ascii="Arial" w:eastAsia="Times New Roman" w:hAnsi="Arial" w:cs="Arial"/>
        </w:rPr>
      </w:pPr>
      <w:r>
        <w:rPr>
          <w:rFonts w:ascii="Arial" w:hAnsi="Arial"/>
        </w:rPr>
        <w:t>3.</w:t>
      </w:r>
      <w:r>
        <w:rPr>
          <w:rFonts w:ascii="Arial" w:hAnsi="Arial"/>
        </w:rPr>
        <w:tab/>
        <w:t>la gestion du fichier pour la prévention du jeu en parallèle sur l'Internet avec plusieurs fournisseurs selon l’article 6h, paragraphe 2 et</w:t>
      </w:r>
    </w:p>
    <w:p w14:paraId="7041027D" w14:textId="77777777" w:rsidR="00001328" w:rsidRDefault="00A4265D">
      <w:pPr>
        <w:spacing w:after="120" w:line="360" w:lineRule="auto"/>
        <w:ind w:left="567" w:hanging="283"/>
        <w:jc w:val="both"/>
        <w:rPr>
          <w:rFonts w:ascii="Arial" w:eastAsia="Times New Roman" w:hAnsi="Arial" w:cs="Arial"/>
        </w:rPr>
      </w:pPr>
      <w:r>
        <w:rPr>
          <w:rFonts w:ascii="Arial" w:hAnsi="Arial"/>
        </w:rPr>
        <w:t>4. l’ajustement de la mise maximale par jeu conformément à l’article 22a, paragraphe 7, phrase 2.</w:t>
      </w:r>
    </w:p>
    <w:p w14:paraId="090957DF" w14:textId="77777777" w:rsidR="00001328" w:rsidRDefault="00A4265D">
      <w:pPr>
        <w:spacing w:after="120" w:line="360" w:lineRule="auto"/>
        <w:jc w:val="both"/>
        <w:rPr>
          <w:rFonts w:ascii="Arial" w:eastAsia="Times New Roman" w:hAnsi="Arial" w:cs="Arial"/>
        </w:rPr>
      </w:pPr>
      <w:r>
        <w:rPr>
          <w:rFonts w:ascii="Arial" w:hAnsi="Arial"/>
        </w:rPr>
        <w:t>(5) L’établissement est l’autorité centrale compétente conformément à l’article 19, paragraphe 2.</w:t>
      </w:r>
    </w:p>
    <w:p w14:paraId="467CAD33" w14:textId="77777777" w:rsidR="00001328" w:rsidRDefault="00001328">
      <w:pPr>
        <w:spacing w:after="120" w:line="360" w:lineRule="auto"/>
        <w:jc w:val="both"/>
        <w:rPr>
          <w:rFonts w:ascii="Arial" w:eastAsia="Times New Roman" w:hAnsi="Arial" w:cs="Arial"/>
          <w:lang w:eastAsia="ar-SA"/>
        </w:rPr>
      </w:pPr>
    </w:p>
    <w:p w14:paraId="380D574B" w14:textId="77777777" w:rsidR="00001328" w:rsidRDefault="00A4265D">
      <w:pPr>
        <w:spacing w:after="120" w:line="360" w:lineRule="auto"/>
        <w:jc w:val="both"/>
        <w:rPr>
          <w:rFonts w:ascii="Arial" w:eastAsia="Times New Roman" w:hAnsi="Arial" w:cs="Arial"/>
          <w:b/>
        </w:rPr>
      </w:pPr>
      <w:r>
        <w:rPr>
          <w:rFonts w:ascii="Arial" w:hAnsi="Arial"/>
          <w:b/>
        </w:rPr>
        <w:t>Article 27g Organes</w:t>
      </w:r>
    </w:p>
    <w:p w14:paraId="72DAA2F2" w14:textId="77777777" w:rsidR="00001328" w:rsidRDefault="00A4265D">
      <w:pPr>
        <w:spacing w:after="120" w:line="360" w:lineRule="auto"/>
        <w:jc w:val="both"/>
        <w:rPr>
          <w:rFonts w:ascii="Arial" w:eastAsia="Times New Roman" w:hAnsi="Arial" w:cs="Arial"/>
        </w:rPr>
      </w:pPr>
      <w:r>
        <w:rPr>
          <w:rFonts w:ascii="Arial" w:hAnsi="Arial"/>
        </w:rPr>
        <w:t>Les organes de l’établissement sont le conseil d’administration et le directoire.</w:t>
      </w:r>
    </w:p>
    <w:p w14:paraId="48AA21CA" w14:textId="77777777" w:rsidR="00001328" w:rsidRDefault="00001328">
      <w:pPr>
        <w:spacing w:after="120" w:line="360" w:lineRule="auto"/>
        <w:jc w:val="both"/>
        <w:rPr>
          <w:rFonts w:ascii="Arial" w:eastAsia="Times New Roman" w:hAnsi="Arial" w:cs="Arial"/>
          <w:lang w:eastAsia="ar-SA"/>
        </w:rPr>
      </w:pPr>
    </w:p>
    <w:p w14:paraId="41DF103C" w14:textId="77777777" w:rsidR="00001328" w:rsidRDefault="00A4265D">
      <w:pPr>
        <w:spacing w:after="120" w:line="360" w:lineRule="auto"/>
        <w:jc w:val="both"/>
        <w:rPr>
          <w:rFonts w:ascii="Arial" w:eastAsia="Times New Roman" w:hAnsi="Arial" w:cs="Arial"/>
          <w:b/>
        </w:rPr>
      </w:pPr>
      <w:r>
        <w:rPr>
          <w:rFonts w:ascii="Arial" w:hAnsi="Arial"/>
          <w:b/>
        </w:rPr>
        <w:t>Article 27h Conseil d’administration</w:t>
      </w:r>
    </w:p>
    <w:p w14:paraId="257E9D13" w14:textId="77777777" w:rsidR="00001328" w:rsidRDefault="00A4265D">
      <w:pPr>
        <w:spacing w:after="120" w:line="360" w:lineRule="auto"/>
        <w:jc w:val="both"/>
        <w:rPr>
          <w:rFonts w:ascii="Arial" w:eastAsia="Times New Roman" w:hAnsi="Arial" w:cs="Arial"/>
        </w:rPr>
      </w:pPr>
      <w:r>
        <w:rPr>
          <w:rFonts w:ascii="Arial" w:hAnsi="Arial"/>
        </w:rPr>
        <w:t>(1) Chaque Land responsable envoie un représentant au conseil d’administration. Les représentants peuvent être des officiers ou des secrétaires d’État du ministère chargés de la surveillance des jeux dans le Land responsable. Ils ne peuvent être représentés que par d’autres officiers ou secrétaires d’État du même Land responsable. La délégation conformément à la phrase 1 peut être révoquée à tout moment. Elle prend également fin sans révocation si la condition de la phrase 2 ne s’applique plus. Dans le cas des phrases 4 et 5, un nouveau représentant doit être envoyé immédiatement.</w:t>
      </w:r>
    </w:p>
    <w:p w14:paraId="055C9C20" w14:textId="77777777" w:rsidR="00001328" w:rsidRDefault="00A4265D">
      <w:pPr>
        <w:spacing w:after="120" w:line="360" w:lineRule="auto"/>
        <w:jc w:val="both"/>
        <w:rPr>
          <w:rFonts w:ascii="Arial" w:eastAsia="Times New Roman" w:hAnsi="Arial" w:cs="Arial"/>
        </w:rPr>
      </w:pPr>
      <w:r>
        <w:rPr>
          <w:rFonts w:ascii="Arial" w:hAnsi="Arial"/>
        </w:rPr>
        <w:t>(2) La présidence du conseil d’administration change annuellement par ordre alphabétique des Länder responsables, en commençant par le Land de domicile de l’établissement. Le président prépare les réunions du conseil d’administration.</w:t>
      </w:r>
    </w:p>
    <w:p w14:paraId="4CDE3045" w14:textId="77777777" w:rsidR="00001328" w:rsidRDefault="00A4265D">
      <w:pPr>
        <w:spacing w:after="120" w:line="360" w:lineRule="auto"/>
        <w:jc w:val="both"/>
        <w:rPr>
          <w:rFonts w:ascii="Arial" w:eastAsia="Times New Roman" w:hAnsi="Arial" w:cs="Arial"/>
        </w:rPr>
      </w:pPr>
      <w:r>
        <w:rPr>
          <w:rFonts w:ascii="Arial" w:hAnsi="Arial"/>
        </w:rPr>
        <w:t>(3) Le conseil d’administration adopte son règlement intérieur. Il décide des questions fondamentales de l’établissement, notamment</w:t>
      </w:r>
    </w:p>
    <w:p w14:paraId="02EEAD33" w14:textId="77777777" w:rsidR="00001328" w:rsidRDefault="00A4265D">
      <w:pPr>
        <w:spacing w:after="120" w:line="360" w:lineRule="auto"/>
        <w:ind w:left="709" w:hanging="425"/>
        <w:jc w:val="both"/>
        <w:rPr>
          <w:rFonts w:ascii="Arial" w:eastAsia="Times New Roman" w:hAnsi="Arial" w:cs="Arial"/>
        </w:rPr>
      </w:pPr>
      <w:r>
        <w:rPr>
          <w:rFonts w:ascii="Arial" w:hAnsi="Arial"/>
        </w:rPr>
        <w:t>1.</w:t>
      </w:r>
      <w:r>
        <w:rPr>
          <w:rFonts w:ascii="Arial" w:hAnsi="Arial"/>
        </w:rPr>
        <w:tab/>
        <w:t>les statuts de l’établissement,</w:t>
      </w:r>
    </w:p>
    <w:p w14:paraId="197720BF" w14:textId="77777777" w:rsidR="00001328" w:rsidRDefault="00A4265D">
      <w:pPr>
        <w:spacing w:after="120" w:line="360" w:lineRule="auto"/>
        <w:ind w:left="709" w:hanging="425"/>
        <w:jc w:val="both"/>
        <w:rPr>
          <w:rFonts w:ascii="Arial" w:eastAsia="Times New Roman" w:hAnsi="Arial" w:cs="Arial"/>
        </w:rPr>
      </w:pPr>
      <w:r>
        <w:rPr>
          <w:rFonts w:ascii="Arial" w:hAnsi="Arial"/>
        </w:rPr>
        <w:t>2.</w:t>
      </w:r>
      <w:r>
        <w:rPr>
          <w:rFonts w:ascii="Arial" w:hAnsi="Arial"/>
        </w:rPr>
        <w:tab/>
        <w:t>d’ici au 31 octobre du plan économique de l’année suivante,</w:t>
      </w:r>
    </w:p>
    <w:p w14:paraId="0A30011B" w14:textId="77777777" w:rsidR="00001328" w:rsidRDefault="00A4265D">
      <w:pPr>
        <w:spacing w:after="120" w:line="360" w:lineRule="auto"/>
        <w:ind w:left="709" w:hanging="425"/>
        <w:jc w:val="both"/>
        <w:rPr>
          <w:rFonts w:ascii="Arial" w:eastAsia="Times New Roman" w:hAnsi="Arial" w:cs="Arial"/>
        </w:rPr>
      </w:pPr>
      <w:r>
        <w:rPr>
          <w:rFonts w:ascii="Arial" w:hAnsi="Arial"/>
        </w:rPr>
        <w:t>3.</w:t>
      </w:r>
      <w:r>
        <w:rPr>
          <w:rFonts w:ascii="Arial" w:hAnsi="Arial"/>
        </w:rPr>
        <w:tab/>
        <w:t>de la nomination et de la révocation du membre du directoire et l’embauche et la révocation des membres du directoire,</w:t>
      </w:r>
    </w:p>
    <w:p w14:paraId="6EA71863" w14:textId="77777777" w:rsidR="00001328" w:rsidRDefault="00A4265D">
      <w:pPr>
        <w:spacing w:after="120" w:line="360" w:lineRule="auto"/>
        <w:ind w:left="709" w:hanging="425"/>
        <w:jc w:val="both"/>
        <w:rPr>
          <w:rFonts w:ascii="Arial" w:eastAsia="Times New Roman" w:hAnsi="Arial" w:cs="Arial"/>
        </w:rPr>
      </w:pPr>
      <w:r>
        <w:rPr>
          <w:rFonts w:ascii="Arial" w:hAnsi="Arial"/>
        </w:rPr>
        <w:t>4.</w:t>
      </w:r>
      <w:r>
        <w:rPr>
          <w:rFonts w:ascii="Arial" w:hAnsi="Arial"/>
        </w:rPr>
        <w:tab/>
        <w:t>de la réduction des membres du directoire,</w:t>
      </w:r>
    </w:p>
    <w:p w14:paraId="1B5F74EB" w14:textId="77777777" w:rsidR="00001328" w:rsidRDefault="00A4265D">
      <w:pPr>
        <w:spacing w:after="120" w:line="360" w:lineRule="auto"/>
        <w:ind w:left="709" w:hanging="425"/>
        <w:jc w:val="both"/>
        <w:rPr>
          <w:rFonts w:ascii="Arial" w:eastAsia="Times New Roman" w:hAnsi="Arial" w:cs="Arial"/>
        </w:rPr>
      </w:pPr>
      <w:r>
        <w:rPr>
          <w:rFonts w:ascii="Arial" w:hAnsi="Arial"/>
        </w:rPr>
        <w:t>5.</w:t>
      </w:r>
      <w:r>
        <w:rPr>
          <w:rFonts w:ascii="Arial" w:hAnsi="Arial"/>
        </w:rPr>
        <w:tab/>
        <w:t>de l’embauche, de la promotion et du licenciement de salariés d’un niveau hiérarchique à préciser dans les statuts,</w:t>
      </w:r>
    </w:p>
    <w:p w14:paraId="38152507" w14:textId="77777777" w:rsidR="00001328" w:rsidRDefault="00A4265D">
      <w:pPr>
        <w:spacing w:after="120" w:line="360" w:lineRule="auto"/>
        <w:ind w:left="709" w:hanging="425"/>
        <w:jc w:val="both"/>
        <w:rPr>
          <w:rFonts w:ascii="Arial" w:eastAsia="Times New Roman" w:hAnsi="Arial" w:cs="Arial"/>
        </w:rPr>
      </w:pPr>
      <w:r>
        <w:rPr>
          <w:rFonts w:ascii="Arial" w:hAnsi="Arial"/>
        </w:rPr>
        <w:t>6.</w:t>
      </w:r>
      <w:r>
        <w:rPr>
          <w:rFonts w:ascii="Arial" w:hAnsi="Arial"/>
        </w:rPr>
        <w:tab/>
        <w:t>de la nomination de l’auditeur et des examinateurs pour les audits extraordinaires, l’approbation des comptes annuels et l’approbation du rapport de gestion ainsi que l’utilisation des résultats annuels,</w:t>
      </w:r>
    </w:p>
    <w:p w14:paraId="1E3A463A" w14:textId="77777777" w:rsidR="00001328" w:rsidRDefault="00A4265D">
      <w:pPr>
        <w:spacing w:after="120" w:line="360" w:lineRule="auto"/>
        <w:ind w:left="709" w:hanging="425"/>
        <w:jc w:val="both"/>
        <w:rPr>
          <w:rFonts w:ascii="Arial" w:eastAsia="Times New Roman" w:hAnsi="Arial" w:cs="Arial"/>
        </w:rPr>
      </w:pPr>
      <w:r>
        <w:rPr>
          <w:rFonts w:ascii="Arial" w:hAnsi="Arial"/>
        </w:rPr>
        <w:t>7.</w:t>
      </w:r>
      <w:r>
        <w:rPr>
          <w:rFonts w:ascii="Arial" w:hAnsi="Arial"/>
        </w:rPr>
        <w:tab/>
        <w:t>des accords généraux et des mesures visant à réglementer les conditions d’emploi, de service, de salaire et de pension des salariés dans le cadre des dispositions légales et de la convention collective,</w:t>
      </w:r>
    </w:p>
    <w:p w14:paraId="3CA4D9E4" w14:textId="77777777" w:rsidR="00001328" w:rsidRDefault="00A4265D">
      <w:pPr>
        <w:spacing w:after="120" w:line="360" w:lineRule="auto"/>
        <w:ind w:left="709" w:hanging="425"/>
        <w:jc w:val="both"/>
        <w:rPr>
          <w:rFonts w:ascii="Arial" w:eastAsia="Times New Roman" w:hAnsi="Arial" w:cs="Arial"/>
        </w:rPr>
      </w:pPr>
      <w:r>
        <w:rPr>
          <w:rFonts w:ascii="Arial" w:hAnsi="Arial"/>
        </w:rPr>
        <w:t>8.</w:t>
      </w:r>
      <w:r>
        <w:rPr>
          <w:rFonts w:ascii="Arial" w:hAnsi="Arial"/>
        </w:rPr>
        <w:tab/>
        <w:t>des emprunts,</w:t>
      </w:r>
    </w:p>
    <w:p w14:paraId="1B47C9DC" w14:textId="77777777" w:rsidR="00001328" w:rsidRDefault="00A4265D">
      <w:pPr>
        <w:spacing w:after="120" w:line="360" w:lineRule="auto"/>
        <w:ind w:left="709" w:hanging="425"/>
        <w:jc w:val="both"/>
        <w:rPr>
          <w:rFonts w:ascii="Arial" w:eastAsia="Times New Roman" w:hAnsi="Arial" w:cs="Arial"/>
        </w:rPr>
      </w:pPr>
      <w:r>
        <w:rPr>
          <w:rFonts w:ascii="Arial" w:hAnsi="Arial"/>
        </w:rPr>
        <w:t>9.</w:t>
      </w:r>
      <w:r>
        <w:rPr>
          <w:rFonts w:ascii="Arial" w:hAnsi="Arial"/>
        </w:rPr>
        <w:tab/>
        <w:t>de la conduite de litiges dont la valeur litigieuse dépasse une limite à déterminer dans les statuts,</w:t>
      </w:r>
    </w:p>
    <w:p w14:paraId="2C17C215" w14:textId="77777777" w:rsidR="00001328" w:rsidRDefault="00A4265D">
      <w:pPr>
        <w:spacing w:after="120" w:line="360" w:lineRule="auto"/>
        <w:ind w:left="709" w:hanging="425"/>
        <w:jc w:val="both"/>
        <w:rPr>
          <w:rFonts w:ascii="Arial" w:eastAsia="Times New Roman" w:hAnsi="Arial" w:cs="Arial"/>
        </w:rPr>
      </w:pPr>
      <w:r>
        <w:rPr>
          <w:rFonts w:ascii="Arial" w:hAnsi="Arial"/>
        </w:rPr>
        <w:lastRenderedPageBreak/>
        <w:t>10.</w:t>
      </w:r>
      <w:r>
        <w:rPr>
          <w:rFonts w:ascii="Arial" w:hAnsi="Arial"/>
        </w:rPr>
        <w:tab/>
        <w:t>du lancement de la passation de marchés dont le montant dépasse dans certains cas une limite à déterminer dans les statuts et</w:t>
      </w:r>
    </w:p>
    <w:p w14:paraId="267D6C35" w14:textId="77777777" w:rsidR="00001328" w:rsidRDefault="00A4265D">
      <w:pPr>
        <w:spacing w:after="120" w:line="360" w:lineRule="auto"/>
        <w:ind w:left="709" w:hanging="425"/>
        <w:jc w:val="both"/>
        <w:rPr>
          <w:rFonts w:ascii="Arial" w:eastAsia="Times New Roman" w:hAnsi="Arial" w:cs="Arial"/>
        </w:rPr>
      </w:pPr>
      <w:r>
        <w:rPr>
          <w:rFonts w:ascii="Arial" w:hAnsi="Arial"/>
        </w:rPr>
        <w:t>11.</w:t>
      </w:r>
      <w:r>
        <w:rPr>
          <w:rFonts w:ascii="Arial" w:hAnsi="Arial"/>
        </w:rPr>
        <w:tab/>
        <w:t>de la conclusion de contrats d’une durée supérieure à deux ans si l’obligation de l’établissement dépasse au cas par cas une limite prévue par les statuts et la conclusion de contrats d’une durée supérieure à cinq ans.</w:t>
      </w:r>
    </w:p>
    <w:p w14:paraId="34ACF928" w14:textId="77777777" w:rsidR="00001328" w:rsidRDefault="00A4265D">
      <w:pPr>
        <w:spacing w:after="120" w:line="360" w:lineRule="auto"/>
        <w:jc w:val="both"/>
        <w:rPr>
          <w:rFonts w:ascii="Arial" w:eastAsia="Times New Roman" w:hAnsi="Arial" w:cs="Arial"/>
        </w:rPr>
      </w:pPr>
      <w:r>
        <w:rPr>
          <w:rFonts w:ascii="Arial" w:hAnsi="Arial"/>
        </w:rPr>
        <w:t>(4) Le conseil d’administration adopte des lignes directrices décisionnelles contraignantes pour le directoire. Il peut adopter d’autres directives et instructions de décision au cas par cas. Le représentant de chaque Land responsable peut demander la décision. Le conseil d’administration est tenu de se prononcer sur la décision dans un délai raisonnable. Les décisions doivent être justifiées conformément aux phrases 1 et 2. L’exposé des motifs doit faire état des motifs essentiels, de droit ou de fait, de la décision.</w:t>
      </w:r>
    </w:p>
    <w:p w14:paraId="6ADF4D71" w14:textId="77777777" w:rsidR="00001328" w:rsidRDefault="00A4265D">
      <w:pPr>
        <w:spacing w:after="120" w:line="360" w:lineRule="auto"/>
        <w:jc w:val="both"/>
        <w:rPr>
          <w:rFonts w:ascii="Arial" w:eastAsia="Times New Roman" w:hAnsi="Arial" w:cs="Arial"/>
        </w:rPr>
      </w:pPr>
      <w:r>
        <w:rPr>
          <w:rFonts w:ascii="Arial" w:hAnsi="Arial"/>
        </w:rPr>
        <w:t xml:space="preserve">(5) Le conseil d’administration contrôle le directoire. Le directoire a un devoir d’information et de notification devant le conseil d’administration, également à la demande d’un représentant d’un Land responsable. Les points précis doivent être fixés dans les statuts. </w:t>
      </w:r>
    </w:p>
    <w:p w14:paraId="13AAE70F" w14:textId="77777777" w:rsidR="00001328" w:rsidRDefault="00A4265D">
      <w:pPr>
        <w:spacing w:after="120" w:line="360" w:lineRule="auto"/>
        <w:jc w:val="both"/>
        <w:rPr>
          <w:rFonts w:ascii="Arial" w:eastAsia="Times New Roman" w:hAnsi="Arial" w:cs="Arial"/>
        </w:rPr>
      </w:pPr>
      <w:r>
        <w:rPr>
          <w:rFonts w:ascii="Arial" w:hAnsi="Arial"/>
        </w:rPr>
        <w:t xml:space="preserve">(6) Le conseil d’administration adopte à l’unanimité les résolutions visées au paragraphe 3, phrase 2, points 1 et 2. Les autres résolutions requièrent la majorité des deux tiers des membres du conseil d’administration. Chaque représentant d’un Land responsable dispose d’une voix. </w:t>
      </w:r>
    </w:p>
    <w:p w14:paraId="1E6ED96E" w14:textId="77777777" w:rsidR="00001328" w:rsidRDefault="00A4265D">
      <w:pPr>
        <w:spacing w:after="120" w:line="360" w:lineRule="auto"/>
        <w:jc w:val="both"/>
        <w:rPr>
          <w:rFonts w:ascii="Arial" w:eastAsia="Times New Roman" w:hAnsi="Arial" w:cs="Arial"/>
        </w:rPr>
      </w:pPr>
      <w:r>
        <w:rPr>
          <w:rFonts w:ascii="Arial" w:hAnsi="Arial"/>
        </w:rPr>
        <w:t>(7) Le conseil d’administration est la plus haute autorité de service des fonctionnaires de l’établissement. Il nomme les membres du directoire et est responsable des droits et devoirs de l’établissement en tant qu’employeur des membres salariés du directoire. Le conseil d’administration peut transférer tout ou partie de ses responsabilités en tant que plus haute autorité de service au directoire.</w:t>
      </w:r>
    </w:p>
    <w:p w14:paraId="1D982688" w14:textId="77777777" w:rsidR="00001328" w:rsidRDefault="00A4265D">
      <w:pPr>
        <w:spacing w:after="120" w:line="360" w:lineRule="auto"/>
        <w:jc w:val="both"/>
        <w:rPr>
          <w:rFonts w:ascii="Arial" w:eastAsia="Times New Roman" w:hAnsi="Arial" w:cs="Arial"/>
        </w:rPr>
      </w:pPr>
      <w:r>
        <w:rPr>
          <w:rFonts w:ascii="Arial" w:hAnsi="Arial"/>
        </w:rPr>
        <w:t>(8) Les statuts fournissent des informations précises sur le conseil d’administration.</w:t>
      </w:r>
    </w:p>
    <w:p w14:paraId="710AF383" w14:textId="77777777" w:rsidR="00001328" w:rsidRDefault="00001328">
      <w:pPr>
        <w:spacing w:after="120" w:line="360" w:lineRule="auto"/>
        <w:jc w:val="both"/>
        <w:rPr>
          <w:rFonts w:ascii="Arial" w:eastAsia="Times New Roman" w:hAnsi="Arial" w:cs="Arial"/>
          <w:lang w:eastAsia="ar-SA"/>
        </w:rPr>
      </w:pPr>
    </w:p>
    <w:p w14:paraId="4C2CED10" w14:textId="77777777" w:rsidR="00001328" w:rsidRDefault="00A4265D">
      <w:pPr>
        <w:spacing w:after="120" w:line="360" w:lineRule="auto"/>
        <w:jc w:val="both"/>
        <w:rPr>
          <w:rFonts w:ascii="Arial" w:eastAsia="Times New Roman" w:hAnsi="Arial" w:cs="Arial"/>
          <w:b/>
        </w:rPr>
      </w:pPr>
      <w:r>
        <w:rPr>
          <w:rFonts w:ascii="Arial" w:hAnsi="Arial"/>
          <w:b/>
        </w:rPr>
        <w:t>Article 27i Directoire</w:t>
      </w:r>
    </w:p>
    <w:p w14:paraId="728F5E0B" w14:textId="77777777" w:rsidR="00001328" w:rsidRDefault="00A4265D">
      <w:pPr>
        <w:spacing w:after="120" w:line="360" w:lineRule="auto"/>
        <w:jc w:val="both"/>
        <w:rPr>
          <w:rFonts w:ascii="Arial" w:eastAsia="Times New Roman" w:hAnsi="Arial" w:cs="Arial"/>
        </w:rPr>
      </w:pPr>
      <w:r>
        <w:rPr>
          <w:rFonts w:ascii="Arial" w:hAnsi="Arial"/>
        </w:rPr>
        <w:t>(1) Le directoire est composé d’au moins deux membres. Il dirige l’établissement et en est le représentant légal sur le plan juridique et extra-juridique. Le directoire est le supérieur hiérarchique des fonctionnaires travaillant dans l’établissement. Il exerce les fonctions de l’organe responsable de la nomination et les droits et obligations de l’établissement en tant qu’employeur vis-à-vis des employés de l’établissement, sauf s’ils sont affectés au conseil d’administration par le présent traité d’État.</w:t>
      </w:r>
    </w:p>
    <w:p w14:paraId="0117C708" w14:textId="77777777" w:rsidR="00001328" w:rsidRDefault="00A4265D">
      <w:pPr>
        <w:spacing w:after="120" w:line="360" w:lineRule="auto"/>
        <w:jc w:val="both"/>
        <w:rPr>
          <w:rFonts w:ascii="Arial" w:eastAsia="Times New Roman" w:hAnsi="Arial" w:cs="Arial"/>
        </w:rPr>
      </w:pPr>
      <w:r>
        <w:rPr>
          <w:rFonts w:ascii="Arial" w:hAnsi="Arial"/>
        </w:rPr>
        <w:t>(2) Le directoire est lié par les décisions du conseil d’administration. Le directoire doit faire rapport au conseil d’administration sur les questions et procédures en cours. Il peut inciter le conseil d’administration à adopter une ligne directrice de décision.</w:t>
      </w:r>
    </w:p>
    <w:p w14:paraId="083B3B47" w14:textId="77777777" w:rsidR="00001328" w:rsidRDefault="00A4265D">
      <w:pPr>
        <w:spacing w:after="120" w:line="360" w:lineRule="auto"/>
        <w:jc w:val="both"/>
        <w:rPr>
          <w:rFonts w:ascii="Arial" w:eastAsia="Times New Roman" w:hAnsi="Arial" w:cs="Arial"/>
        </w:rPr>
      </w:pPr>
      <w:r>
        <w:rPr>
          <w:rFonts w:ascii="Arial" w:hAnsi="Arial"/>
        </w:rPr>
        <w:lastRenderedPageBreak/>
        <w:t>(3) Le directoire est nommé par le conseil d’administration pour une durée maximale de cinq ans. Les nominations peuvent être renouvelées. Une révocation anticipée est autorisée.</w:t>
      </w:r>
    </w:p>
    <w:p w14:paraId="635DBD34" w14:textId="77777777" w:rsidR="00001328" w:rsidRDefault="00A4265D">
      <w:pPr>
        <w:spacing w:after="120" w:line="360" w:lineRule="auto"/>
        <w:jc w:val="both"/>
        <w:rPr>
          <w:rFonts w:ascii="Arial" w:eastAsia="Times New Roman" w:hAnsi="Arial" w:cs="Arial"/>
        </w:rPr>
      </w:pPr>
      <w:r>
        <w:rPr>
          <w:rFonts w:ascii="Arial" w:hAnsi="Arial"/>
        </w:rPr>
        <w:t>(4) Le directoire a le droit d’assister aux réunions du conseil d’administration avec voix consultative, sauf décision contraire du conseil d’administration. Il est tenu d’assister aux réunions du conseil d’administration si le conseil d’administration en décide ainsi.</w:t>
      </w:r>
    </w:p>
    <w:p w14:paraId="1E3051E4" w14:textId="77777777" w:rsidR="00001328" w:rsidRDefault="00A4265D">
      <w:pPr>
        <w:spacing w:after="120" w:line="360" w:lineRule="auto"/>
        <w:jc w:val="both"/>
        <w:rPr>
          <w:rFonts w:ascii="Arial" w:eastAsia="Times New Roman" w:hAnsi="Arial" w:cs="Arial"/>
        </w:rPr>
      </w:pPr>
      <w:r>
        <w:rPr>
          <w:rFonts w:ascii="Arial" w:hAnsi="Arial"/>
        </w:rPr>
        <w:t>(5) Les statuts règlent les détails du directoire.</w:t>
      </w:r>
    </w:p>
    <w:p w14:paraId="3EC25977" w14:textId="77777777" w:rsidR="00001328" w:rsidRDefault="00001328">
      <w:pPr>
        <w:spacing w:after="120" w:line="360" w:lineRule="auto"/>
        <w:jc w:val="both"/>
        <w:rPr>
          <w:rFonts w:ascii="Arial" w:eastAsia="Times New Roman" w:hAnsi="Arial" w:cs="Arial"/>
          <w:lang w:eastAsia="ar-SA"/>
        </w:rPr>
      </w:pPr>
    </w:p>
    <w:p w14:paraId="40EF0891" w14:textId="77777777" w:rsidR="00001328" w:rsidRDefault="00A4265D">
      <w:pPr>
        <w:keepNext/>
        <w:spacing w:after="120" w:line="360" w:lineRule="auto"/>
        <w:jc w:val="both"/>
        <w:rPr>
          <w:rFonts w:ascii="Arial" w:eastAsia="Times New Roman" w:hAnsi="Arial" w:cs="Arial"/>
          <w:b/>
        </w:rPr>
      </w:pPr>
      <w:r>
        <w:rPr>
          <w:rFonts w:ascii="Arial" w:hAnsi="Arial"/>
          <w:b/>
        </w:rPr>
        <w:t>Article 27j Capacité d’employeur, recrutement</w:t>
      </w:r>
    </w:p>
    <w:p w14:paraId="2D287074" w14:textId="77777777" w:rsidR="00001328" w:rsidRDefault="00A4265D">
      <w:pPr>
        <w:spacing w:after="120" w:line="360" w:lineRule="auto"/>
        <w:jc w:val="both"/>
        <w:rPr>
          <w:rFonts w:ascii="Arial" w:eastAsia="Times New Roman" w:hAnsi="Arial" w:cs="Arial"/>
        </w:rPr>
      </w:pPr>
      <w:r>
        <w:rPr>
          <w:rFonts w:ascii="Arial" w:hAnsi="Arial"/>
        </w:rPr>
        <w:t xml:space="preserve">(1) L’établissement peut employer des travailleurs et avoir des fonctionnaires. Les Länder responsables peuvent détacher des employés auprès de l’établissement et détacher ou transférer des fonctionnaires. L’établissement est l’employeur au sens du droit national du Land de domicile. La loi sur le statut des fonctionnaires (BeamtStG) et les règlements des fonctionnaires du Land de domicile s’appliquent aux relations juridiques des employés de l’établissement, sauf disposition contraire du présent traité d’État. Pour les employés et les stagiaires de l’établissement, la convention collective pour la fonction publique des Länder ou la convention collective pour les stagiaires des Länder dans les métiers de formation conformément à la loi sur la formation professionnelle, y compris les conventions collectives les compétant, modifiant et remplaçant dans la version applicable dans le Land de domicile, s’appliquent. Une allocation personnelle spéciale peut être accordée pour couvrir les besoins en personnel et pour retenir des spécialistes qualifiés dans des domaines particulièrement importants pour la réalisation des objectifs de l’établissement et dans lesquels il existe une pénurie particulière de travailleurs qualifiés. L’allocation peut être limitée. Elle est également révocable en tant qu’allocation temporaire. Si la convention collective pour la fonction publique des Länder n’est pas applicable dans le Land de domicile de l’établissement, les dispositions pertinentes de la convention collective applicables aux employés du Land s’appliquent par analogie. </w:t>
      </w:r>
    </w:p>
    <w:p w14:paraId="036EDA73" w14:textId="77777777" w:rsidR="00001328" w:rsidRDefault="00A4265D">
      <w:pPr>
        <w:spacing w:after="120" w:line="360" w:lineRule="auto"/>
        <w:jc w:val="both"/>
        <w:rPr>
          <w:rFonts w:ascii="Arial" w:eastAsia="Times New Roman" w:hAnsi="Arial" w:cs="Arial"/>
        </w:rPr>
      </w:pPr>
      <w:r>
        <w:rPr>
          <w:rFonts w:ascii="Arial" w:hAnsi="Arial"/>
        </w:rPr>
        <w:t>(2) Les Länder responsables sont tenus de détacher auprès de l’établissement du personnel indépendant qualifié, à condition que l’établissement lui-même n’ait manifestement pas été en mesure de recruter suffisamment de personnel. Une telle réclamation sur les Länder responsables nécessite une décision du conseil d’administration, qui mesure la charge pesant sur les Länder responsables, compte tenu notamment des transferts de personnel antérieurs et de la clé Königstein modifiée conformément à l’article 27c, paragraphe 3, phrases 2 à 4.</w:t>
      </w:r>
    </w:p>
    <w:p w14:paraId="4EBF2C1E" w14:textId="77777777" w:rsidR="00001328" w:rsidRDefault="00A4265D">
      <w:pPr>
        <w:spacing w:after="120" w:line="360" w:lineRule="auto"/>
        <w:jc w:val="both"/>
        <w:rPr>
          <w:rFonts w:ascii="Arial" w:eastAsia="Times New Roman" w:hAnsi="Arial" w:cs="Arial"/>
        </w:rPr>
      </w:pPr>
      <w:r>
        <w:rPr>
          <w:rFonts w:ascii="Arial" w:hAnsi="Arial"/>
        </w:rPr>
        <w:t xml:space="preserve">(3) La répartition des charges d’approvisionnement entre les Länder responsables et l’établissement est basée sur le contrat d’État sur la répartition des charges d’approvisionnement du 5 septembre 2021 (Journal officiel I p. 1290, 1404) dans la version actuellement applicable. En cas de détachement conformément à l’article 14 de la loi sur le statut de la fonction publique, une majoration de pension de 30 % doit être prélevée dans le </w:t>
      </w:r>
      <w:r>
        <w:rPr>
          <w:rFonts w:ascii="Arial" w:hAnsi="Arial"/>
        </w:rPr>
        <w:lastRenderedPageBreak/>
        <w:t>cadre du remboursement des frais de personnel à convenir de la rémunération considérée aux fins de la pension conformément à la loi de l’employeur détaché. Cela ne s’applique pas s’il y a des détachements qui sont émis dans le but du transfert ou qui entraînent un transfert, dans la mesure où il y a un partage des frais de service conformément à la convention de service d’État.</w:t>
      </w:r>
    </w:p>
    <w:p w14:paraId="170C5989" w14:textId="77777777" w:rsidR="00001328" w:rsidRDefault="00A4265D">
      <w:pPr>
        <w:spacing w:after="120" w:line="360" w:lineRule="auto"/>
        <w:jc w:val="both"/>
        <w:rPr>
          <w:rFonts w:ascii="Arial" w:eastAsia="Times New Roman" w:hAnsi="Arial" w:cs="Arial"/>
        </w:rPr>
      </w:pPr>
      <w:r>
        <w:rPr>
          <w:rFonts w:ascii="Arial" w:hAnsi="Arial"/>
        </w:rPr>
        <w:t>(4) Immédiatement après création, l’établissement instaure les conditions pour la conclusion d’un accord de participation avec l’établissement de répartition de l’État fédéral et des Länder. Si l’accord de participation n’est pas conclu, l’établissement garantit les droits légaux des salariés à un régime de retraite d’entreprise conformément à l’article 25 de la convention collective de la fonction publique des Länder ou à l’article 17 de la convention collective des stagiaires des Länder dans les métiers de la formation conformément à la loi sur la formation professionnelle.</w:t>
      </w:r>
    </w:p>
    <w:p w14:paraId="4FD3A00E" w14:textId="77777777" w:rsidR="00001328" w:rsidRDefault="00001328">
      <w:pPr>
        <w:spacing w:after="120" w:line="360" w:lineRule="auto"/>
        <w:jc w:val="both"/>
        <w:rPr>
          <w:rFonts w:ascii="Arial" w:eastAsia="Times New Roman" w:hAnsi="Arial" w:cs="Arial"/>
          <w:lang w:eastAsia="ar-SA"/>
        </w:rPr>
      </w:pPr>
    </w:p>
    <w:p w14:paraId="04B01746" w14:textId="77777777" w:rsidR="00001328" w:rsidRDefault="00A4265D">
      <w:pPr>
        <w:keepNext/>
        <w:spacing w:after="120" w:line="360" w:lineRule="auto"/>
        <w:jc w:val="both"/>
        <w:rPr>
          <w:rFonts w:ascii="Arial" w:eastAsia="Times New Roman" w:hAnsi="Arial" w:cs="Arial"/>
          <w:b/>
        </w:rPr>
      </w:pPr>
      <w:r>
        <w:rPr>
          <w:rFonts w:ascii="Arial" w:hAnsi="Arial"/>
          <w:b/>
        </w:rPr>
        <w:t>Article 27k Participations</w:t>
      </w:r>
    </w:p>
    <w:p w14:paraId="72799844" w14:textId="77777777" w:rsidR="00001328" w:rsidRDefault="00A4265D">
      <w:pPr>
        <w:spacing w:after="120" w:line="360" w:lineRule="auto"/>
        <w:jc w:val="both"/>
        <w:rPr>
          <w:rFonts w:ascii="Arial" w:eastAsia="Times New Roman" w:hAnsi="Arial" w:cs="Arial"/>
        </w:rPr>
      </w:pPr>
      <w:r>
        <w:rPr>
          <w:rFonts w:ascii="Arial" w:hAnsi="Arial"/>
        </w:rPr>
        <w:t>(1) Avec l’accord du conseil d’administration, l’établissement peut associer totalement ou partiellement les autorités ou institutions du Land de domicile ou l’une d’entre elles à l’accomplissement de ses tâches administratives, y compris le traitement automatisé des données personnelles qui lui sont associées, et à la décision des recours par voie d’accords administratifs contre le remboursement des frais administratifs. Dans ce cas, l’approbation du conseil d’administration nécessite l’approbation du représentant du Land de domicile ou de l’autre Land responsable au Conseil d’administration.</w:t>
      </w:r>
    </w:p>
    <w:p w14:paraId="3DD35F9D" w14:textId="77777777" w:rsidR="00001328" w:rsidRDefault="00A4265D">
      <w:pPr>
        <w:spacing w:after="120" w:line="360" w:lineRule="auto"/>
        <w:jc w:val="both"/>
        <w:rPr>
          <w:rFonts w:ascii="Arial" w:eastAsia="Times New Roman" w:hAnsi="Arial" w:cs="Arial"/>
        </w:rPr>
      </w:pPr>
      <w:r>
        <w:rPr>
          <w:rFonts w:ascii="Arial" w:hAnsi="Arial"/>
        </w:rPr>
        <w:t>(2) Le paragraphe 1 s’applique en particulier aux tâches administratives suivantes:</w:t>
      </w:r>
    </w:p>
    <w:p w14:paraId="7107EE10" w14:textId="77777777" w:rsidR="00001328" w:rsidRDefault="00A4265D">
      <w:pPr>
        <w:pStyle w:val="Liststycke"/>
        <w:numPr>
          <w:ilvl w:val="0"/>
          <w:numId w:val="25"/>
        </w:numPr>
        <w:spacing w:after="120" w:line="360" w:lineRule="auto"/>
        <w:ind w:left="426"/>
        <w:jc w:val="both"/>
        <w:rPr>
          <w:rFonts w:ascii="Arial" w:eastAsia="Times New Roman" w:hAnsi="Arial" w:cs="Arial"/>
        </w:rPr>
      </w:pPr>
      <w:r>
        <w:rPr>
          <w:rFonts w:ascii="Arial" w:hAnsi="Arial"/>
        </w:rPr>
        <w:t>tâches dans le domaine de la rémunération et autres avantages en espèces conformément à la législation salariale du Land de domicile, y compris l'aide en cas de maladie, de soins infirmiers et d'accouchement et les pensions conformément à la loi sur la fonction publique du Land de domicile,</w:t>
      </w:r>
    </w:p>
    <w:p w14:paraId="5844C875" w14:textId="77777777" w:rsidR="00001328" w:rsidRDefault="00A4265D">
      <w:pPr>
        <w:pStyle w:val="Liststycke"/>
        <w:numPr>
          <w:ilvl w:val="0"/>
          <w:numId w:val="25"/>
        </w:numPr>
        <w:spacing w:after="120" w:line="360" w:lineRule="auto"/>
        <w:ind w:left="426"/>
        <w:jc w:val="both"/>
        <w:rPr>
          <w:rFonts w:ascii="Arial" w:eastAsia="Times New Roman" w:hAnsi="Arial" w:cs="Arial"/>
        </w:rPr>
      </w:pPr>
      <w:r>
        <w:rPr>
          <w:rFonts w:ascii="Arial" w:hAnsi="Arial"/>
        </w:rPr>
        <w:t>les pouvoirs de l’établissement en tant qu’employeur en matière de rémunération des salariés et des salariés en formation (stagiaires),</w:t>
      </w:r>
    </w:p>
    <w:p w14:paraId="61CB1907" w14:textId="77777777" w:rsidR="00001328" w:rsidRDefault="00A4265D">
      <w:pPr>
        <w:pStyle w:val="Liststycke"/>
        <w:numPr>
          <w:ilvl w:val="0"/>
          <w:numId w:val="25"/>
        </w:numPr>
        <w:spacing w:after="120" w:line="360" w:lineRule="auto"/>
        <w:ind w:left="426"/>
        <w:jc w:val="both"/>
        <w:rPr>
          <w:rFonts w:ascii="Arial" w:eastAsia="Times New Roman" w:hAnsi="Arial" w:cs="Arial"/>
        </w:rPr>
      </w:pPr>
      <w:r>
        <w:rPr>
          <w:rFonts w:ascii="Arial" w:hAnsi="Arial"/>
        </w:rPr>
        <w:t>le calcul et l’organisation des frais de voyage, de l’allocation de licenciement et des frais de réinstallation,</w:t>
      </w:r>
    </w:p>
    <w:p w14:paraId="478C0A4B" w14:textId="77777777" w:rsidR="00001328" w:rsidRDefault="00A4265D">
      <w:pPr>
        <w:pStyle w:val="Liststycke"/>
        <w:numPr>
          <w:ilvl w:val="0"/>
          <w:numId w:val="25"/>
        </w:numPr>
        <w:spacing w:after="120" w:line="360" w:lineRule="auto"/>
        <w:ind w:left="426"/>
        <w:jc w:val="both"/>
        <w:rPr>
          <w:rFonts w:ascii="Arial" w:eastAsia="Times New Roman" w:hAnsi="Arial" w:cs="Arial"/>
        </w:rPr>
      </w:pPr>
      <w:r>
        <w:rPr>
          <w:rFonts w:ascii="Arial" w:hAnsi="Arial"/>
        </w:rPr>
        <w:t xml:space="preserve">la mise en œuvre des marchés et des procédures de passation des marchés, </w:t>
      </w:r>
    </w:p>
    <w:p w14:paraId="6273B689" w14:textId="77777777" w:rsidR="00001328" w:rsidRDefault="00A4265D">
      <w:pPr>
        <w:pStyle w:val="Liststycke"/>
        <w:numPr>
          <w:ilvl w:val="0"/>
          <w:numId w:val="25"/>
        </w:numPr>
        <w:spacing w:after="120" w:line="360" w:lineRule="auto"/>
        <w:ind w:left="426"/>
        <w:jc w:val="both"/>
        <w:rPr>
          <w:rFonts w:ascii="Arial" w:eastAsia="Times New Roman" w:hAnsi="Arial" w:cs="Arial"/>
        </w:rPr>
      </w:pPr>
      <w:r>
        <w:rPr>
          <w:rFonts w:ascii="Arial" w:hAnsi="Arial"/>
        </w:rPr>
        <w:t>la mise en œuvre d’événements de formation ainsi que</w:t>
      </w:r>
    </w:p>
    <w:p w14:paraId="0C2E9711" w14:textId="77777777" w:rsidR="00001328" w:rsidRDefault="00A4265D">
      <w:pPr>
        <w:pStyle w:val="Liststycke"/>
        <w:numPr>
          <w:ilvl w:val="0"/>
          <w:numId w:val="25"/>
        </w:numPr>
        <w:spacing w:after="120" w:line="360" w:lineRule="auto"/>
        <w:ind w:left="426"/>
        <w:jc w:val="both"/>
        <w:rPr>
          <w:rFonts w:ascii="Arial" w:eastAsia="Times New Roman" w:hAnsi="Arial" w:cs="Arial"/>
        </w:rPr>
      </w:pPr>
      <w:r>
        <w:rPr>
          <w:rFonts w:ascii="Arial" w:hAnsi="Arial"/>
        </w:rPr>
        <w:t xml:space="preserve">la gestion des fichiers visés à l’article 27f, paragraphe 4. </w:t>
      </w:r>
    </w:p>
    <w:p w14:paraId="72660CDD" w14:textId="77777777" w:rsidR="00001328" w:rsidRDefault="00A4265D">
      <w:pPr>
        <w:spacing w:after="120" w:line="360" w:lineRule="auto"/>
        <w:jc w:val="both"/>
        <w:rPr>
          <w:rFonts w:ascii="Arial" w:eastAsia="Times New Roman" w:hAnsi="Arial" w:cs="Arial"/>
        </w:rPr>
      </w:pPr>
      <w:r>
        <w:rPr>
          <w:rFonts w:ascii="Arial" w:hAnsi="Arial"/>
        </w:rPr>
        <w:t xml:space="preserve">(3) Chaque Land peut faire usage de l’établissement avec le consentement unanime du conseil d’administration pour le remboursement des frais administratifs liés à l’exécution des tâches administratives liées au présent traité d’État. Cela s’applique en particulier au suivi et </w:t>
      </w:r>
      <w:r>
        <w:rPr>
          <w:rFonts w:ascii="Arial" w:hAnsi="Arial"/>
        </w:rPr>
        <w:lastRenderedPageBreak/>
        <w:t>à l’évaluation des données enregistrées par le système technique conformément à l’article 6i, paragraphe 2.</w:t>
      </w:r>
    </w:p>
    <w:p w14:paraId="50086223" w14:textId="77777777" w:rsidR="00001328" w:rsidRDefault="00001328">
      <w:pPr>
        <w:spacing w:after="120" w:line="360" w:lineRule="auto"/>
        <w:jc w:val="both"/>
        <w:rPr>
          <w:rFonts w:ascii="Arial" w:eastAsia="Times New Roman" w:hAnsi="Arial" w:cs="Arial"/>
          <w:lang w:eastAsia="ar-SA"/>
        </w:rPr>
      </w:pPr>
    </w:p>
    <w:p w14:paraId="6CA9A943" w14:textId="77777777" w:rsidR="00001328" w:rsidRDefault="00A4265D">
      <w:pPr>
        <w:spacing w:after="120" w:line="360" w:lineRule="auto"/>
        <w:jc w:val="both"/>
        <w:rPr>
          <w:rFonts w:ascii="Arial" w:eastAsia="Times New Roman" w:hAnsi="Arial" w:cs="Arial"/>
          <w:b/>
        </w:rPr>
      </w:pPr>
      <w:r>
        <w:rPr>
          <w:rFonts w:ascii="Arial" w:hAnsi="Arial"/>
          <w:b/>
        </w:rPr>
        <w:t>Article 27l Surveillance légale et spécialisée</w:t>
      </w:r>
    </w:p>
    <w:p w14:paraId="43CF534B" w14:textId="77777777" w:rsidR="00001328" w:rsidRDefault="00A4265D">
      <w:pPr>
        <w:spacing w:after="120" w:line="360" w:lineRule="auto"/>
        <w:jc w:val="both"/>
        <w:rPr>
          <w:rFonts w:ascii="Arial" w:eastAsia="Times New Roman" w:hAnsi="Arial" w:cs="Arial"/>
        </w:rPr>
      </w:pPr>
      <w:r>
        <w:rPr>
          <w:rFonts w:ascii="Arial" w:hAnsi="Arial"/>
        </w:rPr>
        <w:t>(1) L’autorité supérieure du Land de domicile responsable de la surveillance des jeux exerce une surveillance juridique de l’établissement en coordination avec les autorités supérieures des autres Länder responsables, sauf si une urgence nécessite une action immédiate. Dans ce cas, les autorités supérieures des Länder chargées de la surveillance des jeux dans les autres Länder responsables doivent être informées immédiatement.</w:t>
      </w:r>
    </w:p>
    <w:p w14:paraId="03BB4A14" w14:textId="77777777" w:rsidR="00001328" w:rsidRDefault="00A4265D">
      <w:pPr>
        <w:spacing w:after="120" w:line="360" w:lineRule="auto"/>
        <w:jc w:val="both"/>
        <w:rPr>
          <w:rFonts w:ascii="Arial" w:eastAsia="Times New Roman" w:hAnsi="Arial" w:cs="Arial"/>
        </w:rPr>
      </w:pPr>
      <w:r>
        <w:rPr>
          <w:rFonts w:ascii="Arial" w:hAnsi="Arial"/>
        </w:rPr>
        <w:t>(2) Lors de l’exécution des tâches prévues à l’article 27e, l’établissement est soumis à la surveillance spécialisée de l’autorité supérieure du Land de domicile responsable de la surveillance des jeux, sauf si le conseil d’administration exerce ses pouvoirs conformément à l’article 27h, paragraphe 4.</w:t>
      </w:r>
    </w:p>
    <w:p w14:paraId="43158EF9" w14:textId="77777777" w:rsidR="00001328" w:rsidRDefault="00A4265D">
      <w:pPr>
        <w:spacing w:after="120" w:line="360" w:lineRule="auto"/>
        <w:jc w:val="both"/>
        <w:rPr>
          <w:rFonts w:ascii="Arial" w:eastAsia="Times New Roman" w:hAnsi="Arial" w:cs="Arial"/>
        </w:rPr>
      </w:pPr>
      <w:r>
        <w:rPr>
          <w:rFonts w:ascii="Arial" w:hAnsi="Arial"/>
        </w:rPr>
        <w:t>(3) Chaque autorité supérieure de surveillance des jeux d’un Land peut demander à l’autorité supérieure du Land de domicile responsable de la surveillance des jeux d’examiner les mesures de surveillance technique conformément au paragraphe 2; le résultat du test sera communiqué sous forme de texte dans un délai de quatre semaines.</w:t>
      </w:r>
    </w:p>
    <w:p w14:paraId="2D1AB8A8" w14:textId="77777777" w:rsidR="00001328" w:rsidRDefault="00001328">
      <w:pPr>
        <w:spacing w:after="120" w:line="360" w:lineRule="auto"/>
        <w:jc w:val="both"/>
        <w:rPr>
          <w:rFonts w:ascii="Arial" w:eastAsia="Times New Roman" w:hAnsi="Arial" w:cs="Arial"/>
          <w:b/>
          <w:lang w:eastAsia="ar-SA"/>
        </w:rPr>
      </w:pPr>
    </w:p>
    <w:p w14:paraId="752AC278" w14:textId="77777777" w:rsidR="00001328" w:rsidRDefault="00A4265D">
      <w:pPr>
        <w:spacing w:after="120" w:line="360" w:lineRule="auto"/>
        <w:jc w:val="both"/>
        <w:rPr>
          <w:rFonts w:ascii="Arial" w:eastAsia="Times New Roman" w:hAnsi="Arial" w:cs="Arial"/>
          <w:b/>
        </w:rPr>
      </w:pPr>
      <w:r>
        <w:rPr>
          <w:rFonts w:ascii="Arial" w:hAnsi="Arial"/>
          <w:b/>
        </w:rPr>
        <w:t>Article 27m Contrôle financier</w:t>
      </w:r>
    </w:p>
    <w:p w14:paraId="047373B4" w14:textId="77777777" w:rsidR="00001328" w:rsidRDefault="00A4265D">
      <w:pPr>
        <w:spacing w:after="120" w:line="360" w:lineRule="auto"/>
        <w:jc w:val="both"/>
        <w:rPr>
          <w:rFonts w:ascii="Arial" w:eastAsia="Times New Roman" w:hAnsi="Arial" w:cs="Arial"/>
        </w:rPr>
      </w:pPr>
      <w:r>
        <w:rPr>
          <w:rFonts w:ascii="Arial" w:hAnsi="Arial"/>
        </w:rPr>
        <w:t>La gestion budgétaire et économique de l’établissement fait l’objet d’un audit par la cour des comptes des Länder responsables.</w:t>
      </w:r>
    </w:p>
    <w:p w14:paraId="5C2A687A" w14:textId="77777777" w:rsidR="00001328" w:rsidRDefault="00001328">
      <w:pPr>
        <w:spacing w:after="120" w:line="360" w:lineRule="auto"/>
        <w:jc w:val="both"/>
        <w:rPr>
          <w:rFonts w:ascii="Arial" w:eastAsia="Times New Roman" w:hAnsi="Arial" w:cs="Arial"/>
          <w:lang w:eastAsia="ar-SA"/>
        </w:rPr>
      </w:pPr>
    </w:p>
    <w:p w14:paraId="61F6F0FA" w14:textId="77777777" w:rsidR="00001328" w:rsidRDefault="00A4265D">
      <w:pPr>
        <w:spacing w:after="120" w:line="360" w:lineRule="auto"/>
        <w:jc w:val="both"/>
        <w:rPr>
          <w:rFonts w:ascii="Arial" w:eastAsia="Times New Roman" w:hAnsi="Arial" w:cs="Arial"/>
          <w:b/>
        </w:rPr>
      </w:pPr>
      <w:r>
        <w:rPr>
          <w:rFonts w:ascii="Arial" w:hAnsi="Arial"/>
          <w:b/>
        </w:rPr>
        <w:t>Article 27n Loi applicable sur la protection des données</w:t>
      </w:r>
    </w:p>
    <w:p w14:paraId="59878CCC" w14:textId="77777777" w:rsidR="00001328" w:rsidRDefault="00A4265D">
      <w:pPr>
        <w:spacing w:after="120" w:line="360" w:lineRule="auto"/>
        <w:jc w:val="both"/>
        <w:rPr>
          <w:rFonts w:ascii="Arial" w:eastAsia="Times New Roman" w:hAnsi="Arial" w:cs="Arial"/>
        </w:rPr>
      </w:pPr>
      <w:r>
        <w:rPr>
          <w:rFonts w:ascii="Arial" w:hAnsi="Arial"/>
        </w:rPr>
        <w:t>Les règles de protection des données du Land de domicile s’appliquent au traitement des données personnelles par l’établissement.</w:t>
      </w:r>
    </w:p>
    <w:p w14:paraId="4031501E" w14:textId="77777777" w:rsidR="00001328" w:rsidRDefault="00001328">
      <w:pPr>
        <w:spacing w:after="120" w:line="360" w:lineRule="auto"/>
        <w:jc w:val="both"/>
        <w:rPr>
          <w:rFonts w:ascii="Arial" w:eastAsia="Times New Roman" w:hAnsi="Arial" w:cs="Arial"/>
          <w:lang w:eastAsia="ar-SA"/>
        </w:rPr>
      </w:pPr>
    </w:p>
    <w:p w14:paraId="3EDB58DA" w14:textId="77777777" w:rsidR="00001328" w:rsidRDefault="00A4265D">
      <w:pPr>
        <w:spacing w:after="120" w:line="360" w:lineRule="auto"/>
        <w:jc w:val="both"/>
        <w:rPr>
          <w:rFonts w:ascii="Arial" w:eastAsia="Times New Roman" w:hAnsi="Arial" w:cs="Arial"/>
          <w:b/>
        </w:rPr>
      </w:pPr>
      <w:r>
        <w:rPr>
          <w:rFonts w:ascii="Arial" w:hAnsi="Arial"/>
          <w:b/>
        </w:rPr>
        <w:t>Article 27o Sécurité de l’information</w:t>
      </w:r>
    </w:p>
    <w:p w14:paraId="7FEC87BF" w14:textId="77777777" w:rsidR="00001328" w:rsidRDefault="00A4265D">
      <w:pPr>
        <w:spacing w:after="120" w:line="360" w:lineRule="auto"/>
        <w:jc w:val="both"/>
        <w:rPr>
          <w:rFonts w:ascii="Arial" w:eastAsia="Times New Roman" w:hAnsi="Arial" w:cs="Arial"/>
        </w:rPr>
      </w:pPr>
      <w:r>
        <w:rPr>
          <w:rFonts w:ascii="Arial" w:hAnsi="Arial"/>
        </w:rPr>
        <w:t>(1) Le traitement des données doit être organisé de telle sorte qu’il soit possible de séparer les données en fonction des finalités poursuivies dans chaque cas et en fonction des différentes parties impliquées, lors du traitement, de l’acquisition des connaissances dans le cadre de l’exécution de tâches et de la consultation.</w:t>
      </w:r>
    </w:p>
    <w:p w14:paraId="3020A173" w14:textId="77777777" w:rsidR="00001328" w:rsidRDefault="00A4265D">
      <w:pPr>
        <w:spacing w:after="120" w:line="360" w:lineRule="auto"/>
        <w:jc w:val="both"/>
        <w:rPr>
          <w:rFonts w:ascii="Arial" w:eastAsia="Times New Roman" w:hAnsi="Arial" w:cs="Arial"/>
        </w:rPr>
      </w:pPr>
      <w:r>
        <w:rPr>
          <w:rFonts w:ascii="Arial" w:hAnsi="Arial"/>
        </w:rPr>
        <w:t>(2) L’établissement nomme un responsable officiel de la sécurité informatique.</w:t>
      </w:r>
    </w:p>
    <w:p w14:paraId="6EDE8461" w14:textId="77777777" w:rsidR="00001328" w:rsidRDefault="00001328">
      <w:pPr>
        <w:spacing w:after="120" w:line="360" w:lineRule="auto"/>
        <w:jc w:val="both"/>
        <w:rPr>
          <w:rFonts w:ascii="Arial" w:eastAsia="Times New Roman" w:hAnsi="Arial" w:cs="Arial"/>
          <w:lang w:eastAsia="ar-SA"/>
        </w:rPr>
      </w:pPr>
    </w:p>
    <w:p w14:paraId="698961A4" w14:textId="77777777" w:rsidR="00001328" w:rsidRDefault="00A4265D">
      <w:pPr>
        <w:spacing w:after="120" w:line="360" w:lineRule="auto"/>
        <w:jc w:val="both"/>
        <w:rPr>
          <w:rFonts w:ascii="Arial" w:eastAsia="Times New Roman" w:hAnsi="Arial" w:cs="Arial"/>
          <w:b/>
        </w:rPr>
      </w:pPr>
      <w:r>
        <w:rPr>
          <w:rFonts w:ascii="Arial" w:hAnsi="Arial"/>
          <w:b/>
        </w:rPr>
        <w:t>Article 27p Règles transitoires</w:t>
      </w:r>
    </w:p>
    <w:p w14:paraId="5673B9B4" w14:textId="77777777" w:rsidR="00001328" w:rsidRDefault="00A4265D">
      <w:pPr>
        <w:spacing w:after="120" w:line="360" w:lineRule="auto"/>
        <w:jc w:val="both"/>
        <w:rPr>
          <w:rFonts w:ascii="Arial" w:eastAsia="Times New Roman" w:hAnsi="Arial" w:cs="Arial"/>
        </w:rPr>
      </w:pPr>
      <w:r>
        <w:rPr>
          <w:rFonts w:ascii="Arial" w:hAnsi="Arial"/>
        </w:rPr>
        <w:lastRenderedPageBreak/>
        <w:t xml:space="preserve">(1) Par dérogation de l’article 27f, paragraphes 1 et 5, </w:t>
      </w:r>
    </w:p>
    <w:p w14:paraId="46AE124A" w14:textId="77777777" w:rsidR="002A4249" w:rsidRDefault="00A4265D" w:rsidP="002A4249">
      <w:pPr>
        <w:spacing w:after="120" w:line="360" w:lineRule="auto"/>
        <w:ind w:left="567" w:hanging="283"/>
        <w:jc w:val="both"/>
        <w:rPr>
          <w:rFonts w:ascii="Arial" w:hAnsi="Arial"/>
        </w:rPr>
      </w:pPr>
      <w:r>
        <w:rPr>
          <w:rFonts w:ascii="Arial" w:hAnsi="Arial"/>
        </w:rPr>
        <w:t xml:space="preserve">1. jusqu’au 31 décembre 2022, l’autorité compétente pour l’octroi d’une licence en vertu de l’article 9a, paragraphe 1, point 1 est l’autorité de surveillance des jeux de hasard compétente dans le Land sur le territoire duquel l’établissement a son siège conformément à l’article 10, paragraphe 3 (ville libre et hanséatique de Hambourg), </w:t>
      </w:r>
    </w:p>
    <w:p w14:paraId="3867BB95" w14:textId="3AAA466D" w:rsidR="00001328" w:rsidRDefault="00A4265D" w:rsidP="002A4249">
      <w:pPr>
        <w:spacing w:after="120" w:line="360" w:lineRule="auto"/>
        <w:ind w:left="567" w:hanging="283"/>
        <w:jc w:val="both"/>
        <w:rPr>
          <w:rFonts w:ascii="Arial" w:eastAsia="Times New Roman" w:hAnsi="Arial" w:cs="Arial"/>
        </w:rPr>
      </w:pPr>
      <w:r>
        <w:rPr>
          <w:rFonts w:ascii="Arial" w:hAnsi="Arial"/>
        </w:rPr>
        <w:t>2. jusqu’au 31 décembre 2022, l’autorité compétente pour l’octroi d’une licence en vertu de l’article 9a, paragraphe 1, point 2 est l’autorité de surveillance des jeux de hasard compétente du Land de Bade-Wurtemberg,</w:t>
      </w:r>
    </w:p>
    <w:p w14:paraId="7E94110D" w14:textId="77777777" w:rsidR="00001328" w:rsidRDefault="00A4265D">
      <w:pPr>
        <w:spacing w:after="120" w:line="360" w:lineRule="auto"/>
        <w:ind w:left="567" w:hanging="283"/>
        <w:jc w:val="both"/>
        <w:rPr>
          <w:rFonts w:ascii="Arial" w:eastAsia="Times New Roman" w:hAnsi="Arial" w:cs="Arial"/>
        </w:rPr>
      </w:pPr>
      <w:r>
        <w:rPr>
          <w:rFonts w:ascii="Arial" w:hAnsi="Arial"/>
        </w:rPr>
        <w:t xml:space="preserve">3. jusqu’au 31 décembre 2022, l’autorité compétente pour l’octroi d’une licence en vertu de l’article 9a, paragraphe 1, point 3, en ce qui concerne les autorisations de distribution de paris sportifs sur l’internet, l’organisation de paris sportifs et la licence en vertu de l’article 27, paragraphe 2 est l’autorité de surveillance des jeux de hasard du Land de Hesse et pour le reste du Land de Saxe-Anhalt, </w:t>
      </w:r>
      <w:r>
        <w:rPr>
          <w:rFonts w:ascii="Arial" w:hAnsi="Arial"/>
        </w:rPr>
        <w:tab/>
      </w:r>
    </w:p>
    <w:p w14:paraId="115F1C55" w14:textId="77777777" w:rsidR="00001328" w:rsidRDefault="00A4265D">
      <w:pPr>
        <w:spacing w:after="120" w:line="360" w:lineRule="auto"/>
        <w:ind w:left="567" w:hanging="283"/>
        <w:jc w:val="both"/>
        <w:rPr>
          <w:rFonts w:ascii="Arial" w:eastAsia="Times New Roman" w:hAnsi="Arial" w:cs="Arial"/>
        </w:rPr>
      </w:pPr>
      <w:r>
        <w:rPr>
          <w:rFonts w:ascii="Arial" w:hAnsi="Arial"/>
        </w:rPr>
        <w:t xml:space="preserve">4. jusqu’au 31 décembre 2022, l’autorité compétente pour l’octroi d’une licence en vertu de l’article 9a, paragraphe 1, point 4 est l’autorité de surveillance des jeux de hasard compétente du Land de Rhénanie-Palatinat et </w:t>
      </w:r>
      <w:r>
        <w:rPr>
          <w:rFonts w:ascii="Arial" w:hAnsi="Arial"/>
        </w:rPr>
        <w:tab/>
      </w:r>
    </w:p>
    <w:p w14:paraId="08CE9F0E" w14:textId="77777777" w:rsidR="00001328" w:rsidRDefault="00A4265D">
      <w:pPr>
        <w:spacing w:after="120" w:line="360" w:lineRule="auto"/>
        <w:ind w:left="567" w:hanging="283"/>
        <w:jc w:val="both"/>
        <w:rPr>
          <w:rFonts w:ascii="Arial" w:eastAsia="Times New Roman" w:hAnsi="Arial" w:cs="Arial"/>
        </w:rPr>
      </w:pPr>
      <w:r>
        <w:rPr>
          <w:rFonts w:ascii="Arial" w:hAnsi="Arial"/>
        </w:rPr>
        <w:t xml:space="preserve">5. jusqu’au 31 décembre 2022, l’autorité compétente pour l’octroi d’une licence en vertu de l’article 19 paragraphe 2 est l’autorité de surveillance des jeux de hasard compétente du Land de Basse-Saxe. </w:t>
      </w:r>
      <w:r>
        <w:rPr>
          <w:rFonts w:ascii="Arial" w:hAnsi="Arial"/>
        </w:rPr>
        <w:tab/>
      </w:r>
    </w:p>
    <w:p w14:paraId="79B89C12" w14:textId="77777777" w:rsidR="00001328" w:rsidRDefault="00A4265D">
      <w:pPr>
        <w:spacing w:after="120" w:line="360" w:lineRule="auto"/>
        <w:jc w:val="both"/>
        <w:rPr>
          <w:rFonts w:ascii="Arial" w:eastAsia="Times New Roman" w:hAnsi="Arial" w:cs="Arial"/>
        </w:rPr>
      </w:pPr>
      <w:r>
        <w:rPr>
          <w:rFonts w:ascii="Arial" w:hAnsi="Arial"/>
        </w:rPr>
        <w:t>(2) Par dérogation de l’article 27f, paragraphe 2, jusqu’au 30 juin 2022, l’autorité unique compétente dans les cas visés à l’article 9a, paragraphe 3, point 1 en lien avec l’article 9, paragraphe 1, phrase 3, point 4 est l’autorité de surveillance des jeux de hasard compétente du Land de Basse-Saxe, pour les autres cas de l’article 9a, paragraphe 3 celle du Land de Saxe-Anhalt.</w:t>
      </w:r>
    </w:p>
    <w:p w14:paraId="3A486363" w14:textId="77777777" w:rsidR="00001328" w:rsidRDefault="00A4265D">
      <w:pPr>
        <w:spacing w:after="120" w:line="360" w:lineRule="auto"/>
        <w:jc w:val="both"/>
        <w:rPr>
          <w:rFonts w:ascii="Arial" w:eastAsia="Times New Roman" w:hAnsi="Arial" w:cs="Arial"/>
        </w:rPr>
      </w:pPr>
      <w:r>
        <w:rPr>
          <w:rFonts w:ascii="Arial" w:hAnsi="Arial"/>
        </w:rPr>
        <w:t>(3) Par dérogation de l’article 27f, paragraphe 3, jusqu’au 31 décembre 2022, l’autorité compétente en vertu de l’article 9, paragraphe 8 est l’autorité de surveillance des jeux de hasard de du Land de Saxe-Anhalt.</w:t>
      </w:r>
    </w:p>
    <w:p w14:paraId="0619A8C2" w14:textId="77777777" w:rsidR="00001328" w:rsidRDefault="00A4265D">
      <w:pPr>
        <w:spacing w:after="120" w:line="360" w:lineRule="auto"/>
        <w:jc w:val="both"/>
        <w:rPr>
          <w:rFonts w:ascii="Arial" w:eastAsia="Times New Roman" w:hAnsi="Arial" w:cs="Arial"/>
        </w:rPr>
      </w:pPr>
      <w:r>
        <w:rPr>
          <w:rFonts w:ascii="Arial" w:hAnsi="Arial"/>
        </w:rPr>
        <w:t>(4) Par dérogation de l’article 27f, paragraphe 4, jusqu’au 31 décembre 2022, l’autorité compétente pour</w:t>
      </w:r>
    </w:p>
    <w:p w14:paraId="216BBB26" w14:textId="77777777" w:rsidR="00001328" w:rsidRDefault="00A4265D">
      <w:pPr>
        <w:spacing w:after="120" w:line="360" w:lineRule="auto"/>
        <w:ind w:left="567" w:hanging="283"/>
        <w:jc w:val="both"/>
        <w:rPr>
          <w:rFonts w:ascii="Arial" w:eastAsia="Times New Roman" w:hAnsi="Arial" w:cs="Arial"/>
        </w:rPr>
      </w:pPr>
      <w:r>
        <w:rPr>
          <w:rFonts w:ascii="Arial" w:hAnsi="Arial"/>
        </w:rPr>
        <w:t>1.</w:t>
      </w:r>
      <w:r>
        <w:rPr>
          <w:rFonts w:ascii="Arial" w:hAnsi="Arial"/>
        </w:rPr>
        <w:tab/>
        <w:t>la gestion de la liste rouge des joueurs conformément aux articles 8a à 8d et 23 est l’autorité de surveillance des jeux de hasard du Land de Hesse,</w:t>
      </w:r>
    </w:p>
    <w:p w14:paraId="3CF75BC6" w14:textId="77777777" w:rsidR="00001328" w:rsidRDefault="00A4265D">
      <w:pPr>
        <w:spacing w:after="120" w:line="360" w:lineRule="auto"/>
        <w:ind w:left="567" w:hanging="283"/>
        <w:jc w:val="both"/>
        <w:rPr>
          <w:rFonts w:ascii="Arial" w:eastAsia="Times New Roman" w:hAnsi="Arial" w:cs="Arial"/>
        </w:rPr>
      </w:pPr>
      <w:r>
        <w:rPr>
          <w:rFonts w:ascii="Arial" w:hAnsi="Arial"/>
        </w:rPr>
        <w:t>2.</w:t>
      </w:r>
      <w:r>
        <w:rPr>
          <w:rFonts w:ascii="Arial" w:hAnsi="Arial"/>
        </w:rPr>
        <w:tab/>
        <w:t>la gestion du fichier de limite conformément à l’article 6c, paragraphe 4 est l’autorité de surveillance des jeux de hasard du Land de Saxe-Anhalt et</w:t>
      </w:r>
    </w:p>
    <w:p w14:paraId="788892E4" w14:textId="77777777" w:rsidR="00001328" w:rsidRDefault="00A4265D">
      <w:pPr>
        <w:spacing w:after="120" w:line="360" w:lineRule="auto"/>
        <w:ind w:left="567" w:hanging="283"/>
        <w:jc w:val="both"/>
        <w:rPr>
          <w:rFonts w:ascii="Arial" w:eastAsia="Times New Roman" w:hAnsi="Arial" w:cs="Arial"/>
        </w:rPr>
      </w:pPr>
      <w:r>
        <w:rPr>
          <w:rFonts w:ascii="Arial" w:hAnsi="Arial"/>
        </w:rPr>
        <w:t>3.</w:t>
      </w:r>
      <w:r>
        <w:rPr>
          <w:rFonts w:ascii="Arial" w:hAnsi="Arial"/>
        </w:rPr>
        <w:tab/>
        <w:t>la gestion du fichier pour la prévention du jeu en parallèle sur l'Internet avec plusieurs fournisseurs selon l’article 6h, paragraphe 2 est l’autorité de surveillance des jeux de hasard du Land de Saxe-Anhalt.</w:t>
      </w:r>
    </w:p>
    <w:p w14:paraId="2A783E79" w14:textId="77777777" w:rsidR="00001328" w:rsidRDefault="00A4265D">
      <w:pPr>
        <w:spacing w:after="120" w:line="360" w:lineRule="auto"/>
        <w:jc w:val="both"/>
        <w:rPr>
          <w:rFonts w:ascii="Arial" w:eastAsia="Times New Roman" w:hAnsi="Arial" w:cs="Arial"/>
        </w:rPr>
      </w:pPr>
      <w:r>
        <w:rPr>
          <w:rFonts w:ascii="Arial" w:hAnsi="Arial"/>
        </w:rPr>
        <w:lastRenderedPageBreak/>
        <w:t>(5) Les autorités compétentes en vertu des paragraphes 1 à 4 fournissent à l’établissement tous les documents et informations nécessaires pour exercer ses fonctions en temps utile avant que la responsabilité ne soit transférée à l’établissement.</w:t>
      </w:r>
    </w:p>
    <w:p w14:paraId="6201755B" w14:textId="77777777" w:rsidR="00001328" w:rsidRDefault="00A4265D">
      <w:pPr>
        <w:snapToGrid w:val="0"/>
        <w:spacing w:after="120" w:line="360" w:lineRule="auto"/>
        <w:jc w:val="both"/>
        <w:rPr>
          <w:rFonts w:ascii="Arial" w:eastAsia="Times New Roman" w:hAnsi="Arial" w:cs="Arial"/>
        </w:rPr>
      </w:pPr>
      <w:r>
        <w:rPr>
          <w:rFonts w:ascii="Arial" w:hAnsi="Arial"/>
        </w:rPr>
        <w:t>(6) Le Collège des jeux de hasard des Länder reste en place jusqu’au 31 décembre 2022 aux fins de l’exercice des compétences uniques aux Länder visées aux paragraphes 1 à 4. À cet égard, le Collège des jeux de hasard permet aux Länder de mettre en œuvre un contrôle exercé conjointement par les autorités suprêmes pertinentes de surveillance des jeux de hasard.</w:t>
      </w:r>
    </w:p>
    <w:p w14:paraId="6D00163F" w14:textId="77777777" w:rsidR="00001328" w:rsidRDefault="00A4265D">
      <w:pPr>
        <w:snapToGrid w:val="0"/>
        <w:spacing w:after="120" w:line="360" w:lineRule="auto"/>
        <w:jc w:val="both"/>
        <w:rPr>
          <w:rFonts w:ascii="Arial" w:eastAsia="Times New Roman" w:hAnsi="Arial" w:cs="Arial"/>
        </w:rPr>
      </w:pPr>
      <w:r>
        <w:rPr>
          <w:rFonts w:ascii="Arial" w:hAnsi="Arial"/>
        </w:rPr>
        <w:t>(7) Le Collège des jeux de hasard des Länder est composé de 16 membres. Chaque Land est tenu de désigner, par l’intermédiaire de son autorité centrale de surveillance des jeux de hasard, un membre, ainsi qu’un représentant chargé de remplacer ce dernier en cas d’empêchement. Le Collège de surveillance des jeux de hasard arrête son règlement intérieur par consensus. L’article 9, paragraphe 6, s’applique par analogie.</w:t>
      </w:r>
    </w:p>
    <w:p w14:paraId="37626832" w14:textId="77777777" w:rsidR="00001328" w:rsidRDefault="00A4265D">
      <w:pPr>
        <w:snapToGrid w:val="0"/>
        <w:spacing w:after="120" w:line="360" w:lineRule="auto"/>
        <w:jc w:val="both"/>
        <w:rPr>
          <w:rFonts w:ascii="Arial" w:eastAsia="Times New Roman" w:hAnsi="Arial" w:cs="Arial"/>
        </w:rPr>
      </w:pPr>
      <w:r>
        <w:rPr>
          <w:rFonts w:ascii="Arial" w:hAnsi="Arial"/>
        </w:rPr>
        <w:t>(8) Les Länder sont chargés d’établir un secrétariat compétent pour assister le Collège des jeux de hasard. Le financement du Collège des jeux de hasard et de son secrétariat, ainsi que la répartition des recettes issues des taxes administratives en vertu de l’article 9a, paragraphe 4 sont définis dans le cadre d’un accord administratif conclu entre les Länder.</w:t>
      </w:r>
    </w:p>
    <w:p w14:paraId="55442300" w14:textId="77777777" w:rsidR="00001328" w:rsidRDefault="00A4265D">
      <w:pPr>
        <w:spacing w:after="120" w:line="360" w:lineRule="auto"/>
        <w:jc w:val="both"/>
        <w:rPr>
          <w:rFonts w:ascii="Arial" w:eastAsia="Times New Roman" w:hAnsi="Arial" w:cs="Arial"/>
        </w:rPr>
      </w:pPr>
      <w:r>
        <w:rPr>
          <w:rFonts w:ascii="Arial" w:hAnsi="Arial"/>
        </w:rPr>
        <w:t xml:space="preserve">(9) Le Collège de surveillance des jeux de hasard arrête ses décisions à une majorité des deux-tiers des voix au moins de ses membres. Toute décision doit indiquer les motifs sur lesquels elle est fondée. L’exposé des motifs doit faire état des motifs essentiels, de droit ou de fait, de la décision. Les décisions sont contraignantes pour les autorités compétentes visées aux paragraphes 1 à 3, ainsi que pour le secrétariat susmentionné; ceux-ci sont tenus de faire appliquer lesdites décisions dans le délai imparti par le Collège de surveillance des jeux de hasard à cet effet. Une décision du Collège de surveillance des jeux de hasard doit être prise dans les trois mois suivant la réception de la procédure. </w:t>
      </w:r>
    </w:p>
    <w:p w14:paraId="31FF92DD" w14:textId="77777777" w:rsidR="00001328" w:rsidRDefault="00A4265D">
      <w:pPr>
        <w:snapToGrid w:val="0"/>
        <w:spacing w:after="120" w:line="360" w:lineRule="auto"/>
        <w:jc w:val="both"/>
        <w:rPr>
          <w:rFonts w:ascii="Arial" w:eastAsia="Times New Roman" w:hAnsi="Arial" w:cs="Arial"/>
        </w:rPr>
      </w:pPr>
      <w:r>
        <w:rPr>
          <w:rFonts w:ascii="Arial" w:hAnsi="Arial"/>
        </w:rPr>
        <w:t xml:space="preserve">(10) L’article 6c, paragraphe 1, phrase 3 (autorisation de fixer un montant maximal différent pour la limite de dépôt dans la licence de jeu) et l’article 22a, paragraphe 7, phrase 2 (ajustement de la mise maximale par jeu) ne s’appliquent pas jusqu’au 31 décembre 2022; le paragraphe 11 s’applique par analogie. Pendant cette période, l’article 6c, paragraphe 1, phrase 4 (autorisation de fixer un montant maximal différent pour la limite de dépôt pour les fournisseurs de jeux de casino en ligne) s’applique, à condition que, par dérogation à l’article 6c, paragraphe 1, phrase 5 et à l’article 27f, paragraphe 4, point 2, responsable de l’établissement de règlements-cadres contraignants est l’autorité compétente conformément au paragraphe 4, point 2, en accord avec les autorités de contrôle des jeux responsables des autres Länder contractants. En outre, au cours de cette période, l’autorité compétente en vertu du paragraphe 1, paragraphe 3, peut permettre aux organisateurs de paris sportifs et de paris sur chevaux sur l’internet de mieux atteindre les objectifs du paragraphe 1 dans des cas </w:t>
      </w:r>
      <w:r>
        <w:rPr>
          <w:rFonts w:ascii="Arial" w:hAnsi="Arial"/>
        </w:rPr>
        <w:lastRenderedPageBreak/>
        <w:t xml:space="preserve">individuels en raison des conséquences juridiques de l’article 6c, paragraphe 1, point 8); une limitation doit être prévue. </w:t>
      </w:r>
    </w:p>
    <w:p w14:paraId="34B1F649" w14:textId="77777777" w:rsidR="00001328" w:rsidRDefault="00A4265D">
      <w:pPr>
        <w:spacing w:after="120" w:line="360" w:lineRule="auto"/>
        <w:jc w:val="both"/>
        <w:rPr>
          <w:rFonts w:ascii="Arial" w:eastAsia="Times New Roman" w:hAnsi="Arial" w:cs="Arial"/>
        </w:rPr>
      </w:pPr>
      <w:r>
        <w:rPr>
          <w:rFonts w:ascii="Arial" w:hAnsi="Arial"/>
        </w:rPr>
        <w:t>(11) Si le présent traité d’État n’entre pas en vigueur le 1er juillet 2021 dans l’un des Länder visés aux paragraphes 1 à 4, l’autorité de surveillance des jeux de hasard dans le Land de domicile remplacera l’autorité de surveillance des jeux de hasard dans le Land où le traité d’État ne s’applique pas.</w:t>
      </w:r>
    </w:p>
    <w:p w14:paraId="2A422BBB" w14:textId="77777777" w:rsidR="00001328" w:rsidRDefault="00A4265D">
      <w:pPr>
        <w:spacing w:after="120" w:line="360" w:lineRule="auto"/>
        <w:jc w:val="both"/>
        <w:rPr>
          <w:rFonts w:ascii="Arial" w:eastAsia="Times New Roman" w:hAnsi="Arial" w:cs="Arial"/>
        </w:rPr>
      </w:pPr>
      <w:r>
        <w:rPr>
          <w:rFonts w:ascii="Arial" w:hAnsi="Arial"/>
        </w:rPr>
        <w:t>(12) Avec une résolution unanime du conseil d’administration, l’établissement peut déléguer des tâches conformément aux paragraphes 1 à 3 pour une période à déterminer dans la résolution ne pouvant excéder deux ans après les dates spécifiées aux paragraphes 1 à 3 à l’autorité de surveillance des jeux de hasard compétente du Land indiqué aux paragraphes 1 à 3 si le conseil d’administration a constaté à l’unanimité que l’établissement n’est pas encore en mesure d’exécuter correctement la tâche à la date indiquée aux paragraphes 1 à 3.</w:t>
      </w:r>
    </w:p>
    <w:p w14:paraId="47947D46" w14:textId="77777777" w:rsidR="00001328" w:rsidRDefault="00001328">
      <w:pPr>
        <w:spacing w:after="120" w:line="360" w:lineRule="auto"/>
        <w:rPr>
          <w:rFonts w:ascii="Arial" w:eastAsia="Times New Roman" w:hAnsi="Arial" w:cs="Arial"/>
          <w:lang w:eastAsia="ar-SA"/>
        </w:rPr>
      </w:pPr>
    </w:p>
    <w:p w14:paraId="2696C631" w14:textId="77777777" w:rsidR="00001328" w:rsidRDefault="00A4265D">
      <w:pPr>
        <w:keepNext/>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center"/>
        <w:rPr>
          <w:rFonts w:ascii="Arial" w:eastAsia="Times New Roman" w:hAnsi="Arial" w:cs="Arial"/>
          <w:b/>
        </w:rPr>
      </w:pPr>
      <w:r>
        <w:rPr>
          <w:rFonts w:ascii="Arial" w:hAnsi="Arial"/>
          <w:b/>
        </w:rPr>
        <w:t>Dixième section</w:t>
      </w:r>
    </w:p>
    <w:p w14:paraId="013DFE87" w14:textId="77777777" w:rsidR="00001328" w:rsidRDefault="00A4265D">
      <w:pPr>
        <w:keepNext/>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center"/>
        <w:rPr>
          <w:rFonts w:ascii="Arial" w:eastAsia="Times New Roman" w:hAnsi="Arial" w:cs="Arial"/>
          <w:b/>
        </w:rPr>
      </w:pPr>
      <w:r>
        <w:rPr>
          <w:rFonts w:ascii="Arial" w:hAnsi="Arial"/>
          <w:b/>
        </w:rPr>
        <w:t>Dispositions transitoires et finales; entrée en vigueur et dénonciation</w:t>
      </w:r>
    </w:p>
    <w:p w14:paraId="425A216A" w14:textId="77777777" w:rsidR="00001328" w:rsidRDefault="00001328">
      <w:pPr>
        <w:keepNext/>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center"/>
        <w:rPr>
          <w:rFonts w:ascii="Arial" w:eastAsia="Times New Roman" w:hAnsi="Arial" w:cs="Arial"/>
          <w:b/>
          <w:lang w:eastAsia="ar-SA"/>
        </w:rPr>
      </w:pPr>
    </w:p>
    <w:p w14:paraId="16C0A4F8"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28 Règlements des Länder</w:t>
      </w:r>
    </w:p>
    <w:p w14:paraId="77858BA4"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(1) Les Länder arrêtent les dispositions nécessaire à l’exécution du présent traité d’État. Ils peuvent définir des prescriptions complémentaires, concernant en particulier les conditions applicables à l’organisation et à la distribution des jeux de hasard. Ils peuvent également prévoir dans leurs lois d’exécution que des infractions aux dispositions du présent traité d’État sont passibles d’amendes ou de sanctions.</w:t>
      </w:r>
    </w:p>
    <w:p w14:paraId="594B12B4"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hAnsi="Arial" w:cs="Arial"/>
        </w:rPr>
      </w:pPr>
      <w:r>
        <w:rPr>
          <w:rFonts w:ascii="Arial" w:hAnsi="Arial"/>
        </w:rPr>
        <w:t>(2) Par dérogation aux dispositions du présent traité d’État, les Länder peuvent autoriser dans leurs dispositions de mise en œuvre les tournois de jeux traditionnels en dehors des maisons de jeu, qui ne sont pas organisés à des fins de profit et sont organisés de manière occasionnelle et dont les mises par joueur ne dépassent pas 20 euros et le total des lots en nature ou en numéraire ne dépasse pas 500 euros. Cela ne s’applique pas aux formes de jeu de hasard proposées dans les maisons de jeu.</w:t>
      </w:r>
    </w:p>
    <w:p w14:paraId="3019749C" w14:textId="77777777" w:rsidR="00001328" w:rsidRDefault="00001328">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lang w:eastAsia="ar-SA"/>
        </w:rPr>
      </w:pPr>
    </w:p>
    <w:p w14:paraId="5B9B49C1"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28a Infractions administratives</w:t>
      </w:r>
    </w:p>
    <w:p w14:paraId="6F695D15"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 xml:space="preserve">(1) Commet une infraction administrative toute personne qui, volontairement ou par négligence </w:t>
      </w:r>
    </w:p>
    <w:p w14:paraId="3824E504"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organise ou distribue un jeu de hasard sans y être autorisée, contrairement à l’article 4, paragraphe 1, phrase 1,</w:t>
      </w:r>
    </w:p>
    <w:p w14:paraId="7A72A3FD"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contribue à des paiements liés à des jeux de hasard non autorisés, contrairement à l’article 4, paragraphe 1, phrase 2 ou 3,</w:t>
      </w:r>
    </w:p>
    <w:p w14:paraId="1B0A2370"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lastRenderedPageBreak/>
        <w:t>autorise la participation de mineurs à des jeux de hasard, contrairement à l’article 4, paragraphe 3, phrase 2 ou 3,</w:t>
      </w:r>
    </w:p>
    <w:p w14:paraId="6EFE4358"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organise, distribue ou commercialise des jeux de hasard publics interdits sur l’internet, contrairement à l’article 4, paragraphe 4, phrase 1 ou 2,</w:t>
      </w:r>
    </w:p>
    <w:p w14:paraId="2B6A87FF"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 xml:space="preserve">viole l’interdiction de crédit visée à l’article 4, paragraphe 5, point 2,  </w:t>
      </w:r>
    </w:p>
    <w:p w14:paraId="30F01362"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4d, paragraphe 1, ne notifie pas immédiatement le changement d’une circonstance pertinente pour l’octroi de la licence,</w:t>
      </w:r>
    </w:p>
    <w:p w14:paraId="052476F7"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fait de la publicité sur les systèmes de télécommunication, contrairement à l’article 5, paragraphe 1, phrase 4,</w:t>
      </w:r>
    </w:p>
    <w:p w14:paraId="62F48578"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adresse des publicités à un mineur contrairement à l’article 5, paragraphe 2, phrase 4,</w:t>
      </w:r>
    </w:p>
    <w:p w14:paraId="59B13F15"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5, paragraphe 3, phrase 1, fait la publicité pour des jeux de machines à sous virtuelles, du poker en ligne et des jeux de casino en ligne à la radio et sur l’internet,</w:t>
      </w:r>
    </w:p>
    <w:p w14:paraId="7FCDF772"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fait de la publicité directement avant ou pendant une diffusion en direct pour des paris sportifs sur cet événement sportif contrairement à l’article 5, paragraphe 3, phrase 2,</w:t>
      </w:r>
    </w:p>
    <w:p w14:paraId="1B9AC30F"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fait de la publicité sur les sites sportifs contrairement à l’article 5, paragraphe 4,</w:t>
      </w:r>
    </w:p>
    <w:p w14:paraId="1B39C6A1"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adresse des publicités personnellement à des joueurs interdits contrairement à l’article 5, paragraphe 5, phrase 2,</w:t>
      </w:r>
    </w:p>
    <w:p w14:paraId="1285E077"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convient d’un revenu, d’un paiement ou d’une rémunération liée aux mises pour la publicité pour les jeux de hasard sur l’internet, contrairement à l’article 5, paragraphe 6, phrase 1,</w:t>
      </w:r>
    </w:p>
    <w:p w14:paraId="3500DDC5"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associe la publicité pour les paris sportifs sur un événement sportif avec le classement en direct de cet événement sportif, contrairement à l’article 5, paragraphe 6, phrase 2,</w:t>
      </w:r>
    </w:p>
    <w:p w14:paraId="7D488C4E"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fait de la publicité ou parraine des jeux de hasard illégaux contrairement à l’article 5, paragraphe 7,</w:t>
      </w:r>
    </w:p>
    <w:p w14:paraId="633B7FF3"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6, paragraphe 2, point 3, phrase 3, 7 et 10, ne met pas en œuvre le concept social,</w:t>
      </w:r>
    </w:p>
    <w:p w14:paraId="7CA8719A"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6, paragraphe 3, rémunère le personnel de direction en fonction du chiffre d’affaires ou n’exclut pas le personnel de la participation aux jeux de hasard terrestres ou en ligne,</w:t>
      </w:r>
    </w:p>
    <w:p w14:paraId="651B2976"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ab/>
        <w:t>contrairement à l’article 6a, paragraphe 1, phrase 2, permet de participer à un jeu sans ouvrir de compte de jeu lié à un fournisseur,</w:t>
      </w:r>
    </w:p>
    <w:p w14:paraId="5E129245"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6c, paragraphe 1, phrase 6, autorise la participation à un jeu sans qu’une limite de dépôt qui s’applique à tous les fournisseurs ne soit définie,</w:t>
      </w:r>
    </w:p>
    <w:p w14:paraId="09824B52"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6c, paragraphe 1, phrase 8, autorise un dépôt alors que la limite de dépôt qui s’applique à tous les fournisseurs est atteinte,</w:t>
      </w:r>
    </w:p>
    <w:p w14:paraId="66902BA1"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permet une participation supplémentaire au jeu contrairement à l’article 6c, paragraphe 2, phrase 2,</w:t>
      </w:r>
    </w:p>
    <w:p w14:paraId="43E6AB16"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 xml:space="preserve">contrairement à l’article 6c, paragraphes 5 et 6, ne transmet pas les données requises </w:t>
      </w:r>
      <w:r>
        <w:rPr>
          <w:rFonts w:ascii="Arial" w:hAnsi="Arial"/>
        </w:rPr>
        <w:lastRenderedPageBreak/>
        <w:t>au fichier limite de manière complète ou dans les temps,</w:t>
      </w:r>
    </w:p>
    <w:p w14:paraId="033E3E8B"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6e, paragraphe 5, ne remplit pas les obligations d’information,</w:t>
      </w:r>
    </w:p>
    <w:p w14:paraId="05F1FBEB"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permet un jeu parallèle contrairement à l’article 6h, paragraphe 1 et paragraphe 3, phrase 1,</w:t>
      </w:r>
    </w:p>
    <w:p w14:paraId="2F5A1A4D"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6h, paragraphe 7, ne remplit pas les obligations d’information,</w:t>
      </w:r>
    </w:p>
    <w:p w14:paraId="2EAFC1B9"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6i, paragraphe 1, ne gère pas de système de détection précoce des joueurs à risque de dépendance au jeu ou ne le met pas à jour si nécessaire,</w:t>
      </w:r>
    </w:p>
    <w:p w14:paraId="27A7A4EC"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6j, paragraphe 1, offre des divertissements gratuits sans compte de jeu conformément à l’article 6a, paragraphe 1, phrase 1 ou autorise les mineurs ou les joueurs frappés d’interdiction à participer,</w:t>
      </w:r>
    </w:p>
    <w:p w14:paraId="656EB13C"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7, paragraphe 2, ne fournit pas d’indication suffisante sur les lots, billets ou reçus ou n’offre pas de liens vers des offres d’aide,</w:t>
      </w:r>
    </w:p>
    <w:p w14:paraId="62923588"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8, paragraphe 3, phrase 1, en tant qu’organisateur ou agent de jeux de hasard, dans lesquels les joueurs frappés d’interdiction ne sont pas autorisés à participer, n’identifient pas les personnes voulant jouer en vérifiant une carte d’identité officielle ou par un contrôle d’identité comparable,</w:t>
      </w:r>
    </w:p>
    <w:p w14:paraId="1E1C85C3"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 xml:space="preserve"> contrairement à l’article 8, paragraphe 3, phrase 1, en tant qu’organisateur ou agent de jeux de hasard, dans lesquels les joueurs frappés d’interdiction ne sont pas autorisés à participer, ne consulte pas la liste rouge,</w:t>
      </w:r>
    </w:p>
    <w:p w14:paraId="47445E22"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8, paragraphe 3, phrase 3, en tant qu’organisateur ou agent de jeux de hasard, ne garantit pas que les joueurs frappés d’interdiction ne participent pas à des jeux de hasard,</w:t>
      </w:r>
    </w:p>
    <w:p w14:paraId="24DC2574"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8, paragraphe 4, point 1, en tant qu’organisateur ou agent de jeux de hasard auxquels les joueurs frappés d’interdiction ne sont pas autorisés à participer, agit sur un joueur frappé d’interdiction pour qu’il demande de lever l’interdiction,</w:t>
      </w:r>
    </w:p>
    <w:p w14:paraId="2C95AA95"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8, paragraphe 4, phrase 2, en tant qu’organisateur ou agent de jeux de hasard auxquels les joueurs frappés d’interdiction ne sont pas autorisés à participer, accorde des avantages tels que des bonus ou des remises aux joueurs dont l’interdiction de jouer a été levée,</w:t>
      </w:r>
    </w:p>
    <w:p w14:paraId="04BDEEFF"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8a, paragraphe 1, en tant qu’organisateur ou agent de jeux de hasard non accessibles aux joueurs frappés d’interdiction n’interdisent pas les personnes qui en font la demande ou celles dont ils savent, en raison d’informations fournies par leur personnel ou par des tiers, ou dont ils doivent supposer, en raison d’autres indices concrets, qu’elles sont exposées à un risque de dépendance au jeu de hasard ou qu’elles sont surendettées, qu’elles ne remplissent pas leurs obligations financières ou qu’elles misent des enjeux disproportionnés par rapport à leurs revenus ou à leur patrimoine,</w:t>
      </w:r>
    </w:p>
    <w:p w14:paraId="05867073"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 xml:space="preserve">contrairement à l’article 8a, paragraphe 4, en tant qu’organisateur ou agent, n’inscrit </w:t>
      </w:r>
      <w:r>
        <w:rPr>
          <w:rFonts w:ascii="Arial" w:hAnsi="Arial"/>
        </w:rPr>
        <w:lastRenderedPageBreak/>
        <w:t>pas les données personnelles spécifiées à l’article 23, paragraphe 1, dans une liste rouge,</w:t>
      </w:r>
    </w:p>
    <w:p w14:paraId="1194AE04"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8a, paragraphe 7, phrase 2 en tant que partie obligée conformément à l’article 8a, paragraphe 1, en cas de cessation d’activité, de fusion, de faillite ou pour toute autre raison empêchant la conservation de ces documents au sens de l’article 8a, paragraphe 7, phrase 1, ne remet pas tous les documents relatifs à l’interdiction à l’organisme responsable de la gestion du fichier d’interdiction,</w:t>
      </w:r>
    </w:p>
    <w:p w14:paraId="0FE498D0"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ne transmet pas au moins les deux tiers des sommes reçues par les joueurs à l’organisateur en tant qu’agent professionnel contrairement à l’article 19, paragraphe 1, point 1, phrase 1.</w:t>
      </w:r>
    </w:p>
    <w:p w14:paraId="4FC7105E"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21, paragraphe 3, phrase 2, en tant que partie qui a une influence directe ou indirecte sur l’issue d’un pari, ou en tant que tiers mandaté par ces personnes, conclut des paris sportifs sur le résultat ou le déroulement de l’événement sportif ou favorise la prise de paris par l’intermédiaire de tiers,</w:t>
      </w:r>
    </w:p>
    <w:p w14:paraId="22CBD7D1"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21, paragraphe 3, phrase 3, en tant qu’organisateur de paris sportifs, ne participe pas à un système d’alerte précoce indépendant, qui sert à empêcher la manipulation de la compétition sportive et est apte à l’identifier à un stade précoce,</w:t>
      </w:r>
    </w:p>
    <w:p w14:paraId="01233576"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21, paragraphe 3, phrase 4, en tant qu’organisateur, n’informe pas immédiatement les autorités de toute anomalie, ne participe pas à l’enquête ou ne fournit pas les informations disponibles,</w:t>
      </w:r>
    </w:p>
    <w:p w14:paraId="3EC69CC0"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21, paragraphe 4, phrase 1, associe la radiodiffusion et la télédiffusion d’événements sportifs à l’organisation ou à la distribution de paris sportifs,</w:t>
      </w:r>
    </w:p>
    <w:p w14:paraId="64784405"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21a, paragraphe 4, phrase 1, en tant qu’agent ou organisateur de paris sportifs, ne garantit pas que les paris effectués par un joueur dans ses bureaux de placement des paris sont enregistrés sur son compte de jeu conformément à l’article 6a,</w:t>
      </w:r>
    </w:p>
    <w:p w14:paraId="74D66A0D"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 xml:space="preserve">contrairement à l’article 21a, paragraphe 4, phrase 2, en tant qu’agent ou organisateur de paris sportifs, ne garantit pas que les paiements effectués pour les paris dans le bureau de placement des paris sont enregistrés dans la limite de dépôt qui s’applique à tous les fournisseurs en vertu de l’article 6c, </w:t>
      </w:r>
    </w:p>
    <w:p w14:paraId="60AF66B0"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22a, paragraphe 3, phrase 2, ne rend pas les règles du jeu et le plan gagnant facilement disponibles et facilement compréhensibles par le joueur,</w:t>
      </w:r>
    </w:p>
    <w:p w14:paraId="4403526B"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22a, paragraphe 4, phrase 1, permet de démarrer un jeu de machine à sous virtuelle sans déclaration correspondante du joueur,</w:t>
      </w:r>
    </w:p>
    <w:p w14:paraId="4E7D9C9A"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22a, paragraphe 4, phrase 1, fait intervenir la déclaration avant la fin du jeu précédent,</w:t>
      </w:r>
    </w:p>
    <w:p w14:paraId="43ED8F98"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 xml:space="preserve">contrairement à l’article 22a, paragraphe 4, phrase 2, autorise des programmes qui permettent à un autre jeu de démarrer automatiquement après la fin de la partie </w:t>
      </w:r>
      <w:r>
        <w:rPr>
          <w:rFonts w:ascii="Arial" w:hAnsi="Arial"/>
        </w:rPr>
        <w:lastRenderedPageBreak/>
        <w:t>précédente et qui permettent à un joueur de déclarer qu’il joue plusieurs parties de suite,</w:t>
      </w:r>
    </w:p>
    <w:p w14:paraId="0BAA9749"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22a, paragraphe 5, phrase 1, autorise les mises et gains qui ne sont pas uniquement en euros et en centimes,</w:t>
      </w:r>
    </w:p>
    <w:p w14:paraId="2A7A6F90"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22a, paragraphe 6, phrase 1, offre, organise ou distribue un jeu qui ne dure pas au moins cinq secondes en moyenne,</w:t>
      </w:r>
    </w:p>
    <w:p w14:paraId="3616A8F3"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22a, paragraphe 7, phrase 1, propose, organise ou distribue un jeu dont la mise dépasse un euro par jeu,</w:t>
      </w:r>
    </w:p>
    <w:p w14:paraId="1E5C509D"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22a, paragraphe 9, permet au joueur de continuer à participer aux jeux de machines à sous virtuelles moins de cinq minutes après confirmation de la notification,</w:t>
      </w:r>
    </w:p>
    <w:p w14:paraId="568D64CF"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22a, paragraphe 10, phrase 1, permet de jouer simultanément sur plusieurs machines à sous virtuelles,</w:t>
      </w:r>
    </w:p>
    <w:p w14:paraId="096147DF"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22a, paragraphe 11, en relation avec l’organisation et la vente de machines à sous virtuelles ou de publicité utilise pour cela les termes «casino» ou «jeux de casino»,</w:t>
      </w:r>
    </w:p>
    <w:p w14:paraId="740EF459"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22a, paragraphe 12, phrase 2, vend des machines à sous virtuelles dans des magasins fixes,</w:t>
      </w:r>
    </w:p>
    <w:p w14:paraId="7CC0FF54"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22b, paragraphe 1, phrase 3, propose, organise ou distribue des modifications importantes des règles du jeu après obtention d’une licence au sens de l’article 22b, paragraphe 1, phrase 1, sans demander l’autorisation de l’autorité compétente,</w:t>
      </w:r>
    </w:p>
    <w:p w14:paraId="1310233E"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22b, paragraphe 3, les phrases 1 et 2 ne garantissent pas que seules les personnes physiques jouent les unes contre les autres,</w:t>
      </w:r>
    </w:p>
    <w:p w14:paraId="6D24C063"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22b, paragraphe 4, phrase 1, ne garantissent pas que l’affectation d’un joueur à l’une des tables virtuelles avec la même gamme de jeux est aléatoire ou</w:t>
      </w:r>
    </w:p>
    <w:p w14:paraId="35F57F04" w14:textId="77777777" w:rsidR="00001328" w:rsidRDefault="00A4265D">
      <w:pPr>
        <w:pStyle w:val="Liststycke"/>
        <w:widowControl w:val="0"/>
        <w:numPr>
          <w:ilvl w:val="3"/>
          <w:numId w:val="33"/>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ind w:left="709"/>
        <w:jc w:val="both"/>
        <w:rPr>
          <w:rFonts w:ascii="Arial" w:eastAsia="Times New Roman" w:hAnsi="Arial" w:cs="Arial"/>
        </w:rPr>
      </w:pPr>
      <w:r>
        <w:rPr>
          <w:rFonts w:ascii="Arial" w:hAnsi="Arial"/>
        </w:rPr>
        <w:t>contrairement à l’article 22c, paragraphe 4, transmet des machines à sous virtuelles de manière audiovisuelle ou purement visuelle.</w:t>
      </w:r>
    </w:p>
    <w:p w14:paraId="26168968"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 xml:space="preserve">(2) L’infraction peut être sanctionnée d’une amende pouvant atteindre 500 000 euros. </w:t>
      </w:r>
    </w:p>
    <w:p w14:paraId="49A22329"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(3) Si une infraction administrative a été commise conformément au paragraphe 1,</w:t>
      </w:r>
    </w:p>
    <w:p w14:paraId="6C2BC790" w14:textId="77777777" w:rsidR="00001328" w:rsidRDefault="00A4265D">
      <w:pPr>
        <w:pStyle w:val="Liststycke"/>
        <w:widowControl w:val="0"/>
        <w:numPr>
          <w:ilvl w:val="0"/>
          <w:numId w:val="37"/>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les objets utilisés pour commettre l’infraction ou la préparer, ou dont l’usage déterminé était lié à l’infraction en question ou</w:t>
      </w:r>
    </w:p>
    <w:p w14:paraId="6693E030" w14:textId="77777777" w:rsidR="00001328" w:rsidRDefault="00A4265D">
      <w:pPr>
        <w:pStyle w:val="Liststycke"/>
        <w:widowControl w:val="0"/>
        <w:numPr>
          <w:ilvl w:val="0"/>
          <w:numId w:val="37"/>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les objets qui ont été produits par ou utilisés pour commettre l’infraction ou la préparer, ou y étaient destinés,</w:t>
      </w:r>
    </w:p>
    <w:p w14:paraId="520C7B76"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peuvent être confisqués dans les conditions prévues à l’article 22, paragraphe 2, et à l’article 23 de la loi sur les infractions administratives. L’article 17, paragraphe 4, de la loi sur les infractions administratives reste inchangé.</w:t>
      </w:r>
    </w:p>
    <w:p w14:paraId="43E93888"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lastRenderedPageBreak/>
        <w:t>(4) L’autorité administrative compétente au sens de l’article 36, paragraphe 1, point 1, de la loi sur les infractions administratives est l’administration compétente selon l’article 9.</w:t>
      </w:r>
    </w:p>
    <w:p w14:paraId="652A8B00" w14:textId="77777777" w:rsidR="00001328" w:rsidRDefault="00001328">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lang w:eastAsia="ar-SA"/>
        </w:rPr>
      </w:pPr>
    </w:p>
    <w:p w14:paraId="2C2377C9" w14:textId="77777777" w:rsidR="00001328" w:rsidRDefault="00A4265D">
      <w:pPr>
        <w:keepNext/>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29 Dispositions transitoires</w:t>
      </w:r>
    </w:p>
    <w:p w14:paraId="67B72C5D" w14:textId="77777777" w:rsidR="00001328" w:rsidRDefault="00A4265D">
      <w:pPr>
        <w:keepNext/>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napToGrid w:val="0"/>
        <w:spacing w:after="120" w:line="360" w:lineRule="auto"/>
        <w:jc w:val="both"/>
        <w:rPr>
          <w:rFonts w:ascii="Arial" w:eastAsia="Times New Roman" w:hAnsi="Arial" w:cs="Arial"/>
        </w:rPr>
      </w:pPr>
      <w:r>
        <w:rPr>
          <w:rFonts w:ascii="Arial" w:hAnsi="Arial"/>
        </w:rPr>
        <w:t>(1) Les licences au sens de l’article 10, paragraphes 2 et 3 délivrées aux organisateurs et celles équivalentes en vertu du droit du Land applicable accordées jusqu’au 30 juin 2021, sont valides même si la résolution mentionne un délai plus court, jusqu’au 30 juin 2022, sous réserve que les règles découlant du présent traité d’État - hormis l’exigence d’autorisation prévue à l’article 4, paragraphe 1, phrase 1 - soient applicables. Les règlements promulgués dans une licence en vertu de l’article 5, paragraphe 3, phrase 2, du traité d’État du 15 décembre 2011 sur les jeux de hasard s’appliquent pendant cette période en tant que dispositions substantielles et accessoires au sens de l’article 5, paragraphe 1, phrase 3. Les organisateurs visés à l’article 10, paragraphes 2 et 3, sont tenus de déposer une nouvelle demande d’autorisation, telle que celle-ci est définie à l’article 4, paragraphe 1, au plus tard avant le 1er juillet 2022.</w:t>
      </w:r>
    </w:p>
    <w:p w14:paraId="792DDD86"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napToGrid w:val="0"/>
        <w:spacing w:after="120" w:line="360" w:lineRule="auto"/>
        <w:jc w:val="both"/>
        <w:rPr>
          <w:rFonts w:ascii="Arial" w:eastAsia="Times New Roman" w:hAnsi="Arial" w:cs="Arial"/>
        </w:rPr>
      </w:pPr>
      <w:r>
        <w:rPr>
          <w:rFonts w:ascii="Arial" w:hAnsi="Arial"/>
        </w:rPr>
        <w:t>(2) Le paragraphe 1 s’applique par analogie aux organisateurs de loterie au sens de la troisième section et aux agents de jeux de hasard publics autorisés (y compris aux encaisseurs des loteries par classes et aux agents professionnels). Dans le cas où la structure de distribution d’un organisateur comprend des agents, ledit organisateur est tenu de déposer une demande d’autorisation, telle que définie à l’article 4, paragraphe 1, au nom des agents travaillant pour son compte.</w:t>
      </w:r>
    </w:p>
    <w:p w14:paraId="6F98538A"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(3) Les licences délivrées jusqu’à l’entrée en vigueur du présent traité d’État et effectives au 30 juin 2021 pour l’organisation de paris sportifs sont valides, même si la résolution mentionne un délai plus court, jusqu’au 31 décembre 2022, sous réserve que les règles découlant du présent traité d’État - hormis l’exigence d’autorisation prévue à l’article 4, paragraphe 1, phrase 1 - soient applicables. Le paragraphe 1, phrase 2 s’applique par analogie. Une nouvelle licence doit être obtenue au plus tard le 1er janvier 2023.</w:t>
      </w:r>
    </w:p>
    <w:p w14:paraId="41C9CAB2"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(4) Les Länder peuvent stipuler dans leurs dispositions de mise en œuvre que pour les arcades existantes au 1er janvier 2020, qui sont en connexion structurelle avec d’autres arcades, jusqu’à trois arcades par bâtiment ou ensemble de bâtiments, sur demande conjointe des exploitants, en dérogation à l’article 25, paragraphe 2, une licence temporaire peut être délivrée si au moins toutes les arcades ont été certifiées par un organisme de contrôle accrédité et que la certification est renouvelée à intervalles réguliers, au moins tous les deux ans, les exploitants disposent d’un certificat de compétence acquis sur la base d’informations avec examen et le personnel des arcades est spécialement formé.</w:t>
      </w:r>
      <w:r>
        <w:rPr>
          <w:rFonts w:ascii="Arial" w:hAnsi="Arial"/>
          <w:b/>
          <w:sz w:val="28"/>
        </w:rPr>
        <w:t xml:space="preserve"> </w:t>
      </w:r>
      <w:r>
        <w:rPr>
          <w:rFonts w:ascii="Arial" w:hAnsi="Arial"/>
        </w:rPr>
        <w:t>La période de transition doit être déterminée par la loi du Land. Les modalités détaillées de cette obligation sont fixées par les dispositions d’application arrêtées par les Länder.</w:t>
      </w:r>
    </w:p>
    <w:p w14:paraId="7571E85A"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lastRenderedPageBreak/>
        <w:t xml:space="preserve">(5) Le paragraphe 3 s’applique mutatis mutandis aux autorisations d’organiser des paris sur Internet. </w:t>
      </w:r>
    </w:p>
    <w:p w14:paraId="2DEBAECC"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(6) Par dérogation de l’article 21a, paragraphe 2, les Länder peuvent autoriser la distribution des paris sur les résultats jusqu’au 30 juin 2024 également dans les bureaux de validation intégrés à l’organisation des ventes des organisateurs conformément à l’article 10, paragraphe 2; les paris pendant l’événement sportif en cours ne sont pas autorisés.</w:t>
      </w:r>
    </w:p>
    <w:p w14:paraId="459D8361"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(7) Les autorisations accordées par le ministère de l’intérieur du Land du Schleswig-Holstein jusqu’à l’entrée en vigueur du présent traité d’État et valides le 30 juin 2021 pour l’organisation et la distribution de jeux de casino en ligne conformément à l’article 4 en lien avec les articles 19 et 20 de la loi du 20.10.2011 portant réforme des jeux de hasard (loi sur les jeux de hasard), GVOBl. p. 280, en lien avec l’article premier de la loi du 11 juin 2019 sur le règlement transitoire pour les jeux de casino en ligne, GVOBl. p. 145, sont valables pour une phase transitoire jusqu’à ce qu’une licence soit délivrée en vertu du présent traité d’État, au plus tard jusqu’au 31 décembre 2024, à condition que les dispositions contenues dans l’autorisation et dans les dispositions accessoires complémentaires s’appliquent. Ceci s’applique uniquement au territoire du Schleswig-Holstein. L’organisateur ne peut se prévaloir de ce règlement transitoire s’il ne demande pas de licence en vertu du présent traité d’État avant le 1er juillet 2022.</w:t>
      </w:r>
    </w:p>
    <w:p w14:paraId="46C5EDB7"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(8) Concernant le maintien des autorisations délivrées de manière standardisée et selon une procédure groupée conformément aux paragraphes 1 à 3, l’article 9a, paragraphe 4 s’applique par analogie.</w:t>
      </w:r>
    </w:p>
    <w:p w14:paraId="323D5847"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(9) Nonobstant l’article 4, paragraphe 4, les licences de jeux de hasard publics sur l’internet pour l’organisation, la distribution et l’exploitation en nom propre de paris sportifs ainsi que l’organisation et l’exploitation en nom propre de jeux de casino en ligne, de machines à sous virtuelles et de poker en ligne, si au moment de la résolution, le fichier d’interdiction visé à l’article 23 ou le fichier de limite visé à l’article 6c, paragraphe 4, ne sont pas encore disponibles, ne peuvent être accordés</w:t>
      </w:r>
    </w:p>
    <w:p w14:paraId="76706A9D" w14:textId="77777777" w:rsidR="00001328" w:rsidRDefault="00A4265D">
      <w:pPr>
        <w:pStyle w:val="Liststycke"/>
        <w:widowControl w:val="0"/>
        <w:numPr>
          <w:ilvl w:val="0"/>
          <w:numId w:val="39"/>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qu’avec un délai au plus tard jusqu’au 31 décembre 2022,</w:t>
      </w:r>
    </w:p>
    <w:p w14:paraId="51B70C89" w14:textId="77777777" w:rsidR="00001328" w:rsidRDefault="00A4265D">
      <w:pPr>
        <w:pStyle w:val="Liststycke"/>
        <w:widowControl w:val="0"/>
        <w:numPr>
          <w:ilvl w:val="0"/>
          <w:numId w:val="39"/>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dans le cas où la liste rouge des joueurs est manquante, à la condition que le fournisseur mette en œuvre l’auto-interdiction et l’interdiction par un tiers pour tous les jeux de hasard proposés par lui-même ou des sociétés affiliées dans les conditions des articles 8a et 8b et applique pour les joueurs interdits chez lui les dispositions du présent traité d’État pour les joueurs frappés d’interdiction dans le fichier d’interdiction conformément à l’article 23, et</w:t>
      </w:r>
    </w:p>
    <w:p w14:paraId="7668B537" w14:textId="77777777" w:rsidR="00001328" w:rsidRDefault="00A4265D">
      <w:pPr>
        <w:pStyle w:val="Liststycke"/>
        <w:widowControl w:val="0"/>
        <w:numPr>
          <w:ilvl w:val="0"/>
          <w:numId w:val="39"/>
        </w:numPr>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en l’absence du fichier de limite à condition que le fournisseur demande aux joueurs lors de l’inscription de fixer une limite de dépôt mensuelle conformément à l’article 6c avec effet pour tous les jeux de hasard proposés par le fournisseur lui-même ou les sociétés affiliées, et qu’il applique les dispositions du présent traité d’État pour la limite de dépôt applicable à tous les fournisseurs gérée dans le fichier de limite.</w:t>
      </w:r>
    </w:p>
    <w:p w14:paraId="29FCE9D4" w14:textId="77777777" w:rsidR="00001328" w:rsidRDefault="00001328">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lang w:eastAsia="ar-SA"/>
        </w:rPr>
      </w:pPr>
    </w:p>
    <w:p w14:paraId="66A344C0"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30 Autres réglementations</w:t>
      </w:r>
    </w:p>
    <w:p w14:paraId="209178AE"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 xml:space="preserve">(1) L’autorité compétente peut délivrer une autorisation à toute loterie exploitée par plusieurs organisateurs dans l’ensemble des Länder au moment de l’entrée en vigueur du présent traité et dont les recettes nettes servent exclusivement aux fins énoncées à l’article 10, paragraphe 5, par dérogation à l’article 12, paragraphe 1, phrase 1, point 3, à l’article 13, paragraphe 2, à l’article 14, paragraphe 1, point 1, ainsi qu’à l’article 15, paragraphe 1, phrase 3. </w:t>
      </w:r>
    </w:p>
    <w:p w14:paraId="07CF7984" w14:textId="77777777" w:rsidR="00001328" w:rsidRDefault="00A4265D">
      <w:pPr>
        <w:spacing w:after="120" w:line="360" w:lineRule="auto"/>
        <w:jc w:val="both"/>
        <w:rPr>
          <w:rFonts w:ascii="Arial" w:eastAsia="Times New Roman" w:hAnsi="Arial" w:cs="Arial"/>
        </w:rPr>
      </w:pPr>
      <w:r>
        <w:rPr>
          <w:rFonts w:ascii="Arial" w:hAnsi="Arial"/>
        </w:rPr>
        <w:t>(2) Les recettes nettes issues de l’organisation des jeux et prenant la forme d’une retenue sur les gains doivent s’élever à 25 % au moins des frais engagés. Il convient d’utiliser ces recettes nettes à des fins d’utilité publique, cultuelles ou caritatives. Des autorisations peuvent être accordées à titre général.</w:t>
      </w:r>
    </w:p>
    <w:p w14:paraId="3D756950" w14:textId="77777777" w:rsidR="00001328" w:rsidRDefault="00001328">
      <w:pPr>
        <w:spacing w:after="120" w:line="360" w:lineRule="auto"/>
        <w:rPr>
          <w:rFonts w:ascii="Arial" w:eastAsia="Times New Roman" w:hAnsi="Arial" w:cs="Arial"/>
          <w:lang w:eastAsia="de-DE"/>
        </w:rPr>
      </w:pPr>
    </w:p>
    <w:p w14:paraId="5C55E9EB"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rPr>
          <w:rFonts w:ascii="Arial" w:eastAsia="Times New Roman" w:hAnsi="Arial" w:cs="Arial"/>
          <w:b/>
        </w:rPr>
      </w:pPr>
      <w:r>
        <w:rPr>
          <w:rFonts w:ascii="Arial" w:hAnsi="Arial"/>
          <w:b/>
        </w:rPr>
        <w:t>Article 31 Relation avec d’autres règles découlant du traité d’État en matière de loteries par classes</w:t>
      </w:r>
    </w:p>
    <w:p w14:paraId="66FBBDA0"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rPr>
      </w:pPr>
      <w:r>
        <w:rPr>
          <w:rFonts w:ascii="Arial" w:hAnsi="Arial"/>
        </w:rPr>
        <w:t>Si certaines règles découlant du traité d’État du 26 mai 1992 conclu entre les Länder de Bade-Wurtemberg, de Bavière, de Hesse, de Rhénanie-Palatinat, de Saxe et de Thuringe sur la création d’un organisme d’État chargé de l’organisation de loteries par classes (SKL-Staatsvertrag) ou certaines règles découlant du traité d’État des 30 juin/1er septembre 2008 conclu entre les Länder de Rhénanie du Nord-Westphalie, de Basse-Saxe, de Schleswig-Holstein, de la Ville hanséatique libre de Hambourg, de la Ville hanséatique libre de Brême, de Sarre, de Berlin, de Brandebourg, de Mecklembourg-Poméranie-Occidentale et de Saxe-Anhalt sur la création d’un organisme d’État chargé de l’organisation de loteries par classes (NKL-Staatsvertrag) ou certaines règles découlant du traité d’État du 15 décembre 2011 conclu entre les Länder sur la création d’un organisme commun chargé de l’organisation de loteries par classes (GKL-Staatsvertrag) s’avèrent contraires aux règles découlant du présent traité d’État, il convient d’appliquer en priorité les règles découlant du présent traité d’État.</w:t>
      </w:r>
    </w:p>
    <w:p w14:paraId="62A69A7C" w14:textId="77777777" w:rsidR="00001328" w:rsidRDefault="00A4265D">
      <w:pPr>
        <w:spacing w:after="120" w:line="360" w:lineRule="auto"/>
        <w:rPr>
          <w:rFonts w:ascii="Arial" w:eastAsia="Times New Roman" w:hAnsi="Arial" w:cs="Arial"/>
        </w:rPr>
      </w:pPr>
      <w:r>
        <w:rPr>
          <w:rFonts w:ascii="Arial" w:hAnsi="Arial"/>
          <w:strike/>
        </w:rPr>
        <w:t xml:space="preserve"> </w:t>
      </w:r>
    </w:p>
    <w:p w14:paraId="2C816E73" w14:textId="77777777" w:rsidR="00001328" w:rsidRDefault="00A4265D">
      <w:pPr>
        <w:keepNext/>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32 Évaluation</w:t>
      </w:r>
    </w:p>
    <w:p w14:paraId="7C76FEBA" w14:textId="77777777" w:rsidR="00001328" w:rsidRDefault="00A4265D">
      <w:pPr>
        <w:spacing w:after="120" w:line="360" w:lineRule="auto"/>
        <w:jc w:val="both"/>
        <w:rPr>
          <w:rFonts w:ascii="Arial" w:eastAsia="Times New Roman" w:hAnsi="Arial" w:cs="Arial"/>
        </w:rPr>
      </w:pPr>
      <w:r>
        <w:rPr>
          <w:rFonts w:ascii="Arial" w:hAnsi="Arial"/>
        </w:rPr>
        <w:t xml:space="preserve">Les autorités de surveillance des jeux de hasard des différents Länder sont tenues d’évaluer, en collaboration avec un comité consultatif spécialisé et les autorités communes de surveillance des jeux de hasard, les effets du présent traité d’État, et notamment des dispositions de son article 4, paragraphes 4 et 5, et de ses articles 4a à 4d, 6a à 6j, 9, 9a, 21, 22a, 22b et 22c sur le développement et l’expansion des jeux de hasard non autorisés sur le marché illégal. Un rapport intermédiaire devrait être soumis d’ici le 31 décembre 2023. Un </w:t>
      </w:r>
      <w:r>
        <w:rPr>
          <w:rFonts w:ascii="Arial" w:hAnsi="Arial"/>
        </w:rPr>
        <w:lastRenderedPageBreak/>
        <w:t>rapport sommaire devrait être soumis d’ici le 31 décembre 2026 et tous les cinq ans par la suite.</w:t>
      </w:r>
    </w:p>
    <w:p w14:paraId="7C171450" w14:textId="77777777" w:rsidR="00001328" w:rsidRDefault="00001328">
      <w:pPr>
        <w:spacing w:after="120" w:line="360" w:lineRule="auto"/>
        <w:rPr>
          <w:rFonts w:ascii="Arial" w:eastAsia="Times New Roman" w:hAnsi="Arial" w:cs="Arial"/>
          <w:lang w:eastAsia="ar-SA"/>
        </w:rPr>
      </w:pPr>
    </w:p>
    <w:p w14:paraId="1C732CE3" w14:textId="77777777" w:rsidR="00001328" w:rsidRDefault="00A4265D">
      <w:pPr>
        <w:keepNext/>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napToGrid w:val="0"/>
        <w:spacing w:after="120" w:line="360" w:lineRule="auto"/>
        <w:jc w:val="both"/>
        <w:rPr>
          <w:rFonts w:ascii="Arial" w:eastAsia="Times New Roman" w:hAnsi="Arial" w:cs="Arial"/>
          <w:b/>
        </w:rPr>
      </w:pPr>
      <w:r>
        <w:rPr>
          <w:rFonts w:ascii="Arial" w:hAnsi="Arial"/>
          <w:b/>
        </w:rPr>
        <w:t>Article 33 Recours en révision devant la Cour administrative fédérale</w:t>
      </w:r>
    </w:p>
    <w:p w14:paraId="098DC2A1" w14:textId="77777777" w:rsidR="00001328" w:rsidRDefault="00A4265D">
      <w:pPr>
        <w:spacing w:after="120" w:line="360" w:lineRule="auto"/>
        <w:jc w:val="both"/>
        <w:rPr>
          <w:rFonts w:ascii="Arial" w:eastAsia="Times New Roman" w:hAnsi="Arial" w:cs="Arial"/>
        </w:rPr>
      </w:pPr>
      <w:r>
        <w:rPr>
          <w:rFonts w:ascii="Arial" w:hAnsi="Arial"/>
        </w:rPr>
        <w:t>Le recours en révision déposé devant la Cour administrative fédérale à l’occasion d’une procédure judiciaire peut être notamment fondé sur le motif que l’arrêt attaqué repose sur une violation des dispositions du présent traité d’État.</w:t>
      </w:r>
    </w:p>
    <w:p w14:paraId="1E705CE1" w14:textId="77777777" w:rsidR="00001328" w:rsidRDefault="00001328">
      <w:pPr>
        <w:spacing w:after="120" w:line="360" w:lineRule="auto"/>
        <w:jc w:val="both"/>
        <w:rPr>
          <w:rFonts w:ascii="Arial" w:eastAsia="Times New Roman" w:hAnsi="Arial" w:cs="Arial"/>
          <w:lang w:eastAsia="ar-SA"/>
        </w:rPr>
      </w:pPr>
    </w:p>
    <w:p w14:paraId="57A7D4AA" w14:textId="77777777" w:rsidR="00001328" w:rsidRDefault="00A4265D">
      <w:pPr>
        <w:widowControl w:val="0"/>
        <w:tabs>
          <w:tab w:val="left" w:pos="766"/>
          <w:tab w:val="left" w:pos="1474"/>
          <w:tab w:val="left" w:pos="2183"/>
          <w:tab w:val="left" w:pos="2892"/>
          <w:tab w:val="left" w:pos="3600"/>
          <w:tab w:val="left" w:pos="4309"/>
          <w:tab w:val="left" w:pos="5018"/>
          <w:tab w:val="left" w:pos="5726"/>
          <w:tab w:val="left" w:pos="6435"/>
          <w:tab w:val="right" w:pos="7104"/>
        </w:tabs>
        <w:suppressAutoHyphens/>
        <w:snapToGrid w:val="0"/>
        <w:spacing w:after="120" w:line="360" w:lineRule="auto"/>
        <w:jc w:val="both"/>
        <w:rPr>
          <w:rFonts w:ascii="Arial" w:eastAsia="Times New Roman" w:hAnsi="Arial" w:cs="Arial"/>
          <w:b/>
        </w:rPr>
      </w:pPr>
      <w:r>
        <w:rPr>
          <w:rFonts w:ascii="Arial" w:hAnsi="Arial"/>
          <w:b/>
        </w:rPr>
        <w:t>Article 34 Parité linguistique</w:t>
      </w:r>
    </w:p>
    <w:p w14:paraId="5C966F0C" w14:textId="77777777" w:rsidR="00001328" w:rsidRDefault="00A4265D">
      <w:pPr>
        <w:spacing w:after="120" w:line="360" w:lineRule="auto"/>
        <w:jc w:val="both"/>
        <w:rPr>
          <w:rFonts w:ascii="Arial" w:eastAsia="Times New Roman" w:hAnsi="Arial" w:cs="Arial"/>
        </w:rPr>
      </w:pPr>
      <w:r>
        <w:rPr>
          <w:rFonts w:ascii="Arial" w:hAnsi="Arial"/>
        </w:rPr>
        <w:t xml:space="preserve">Pour autant que les personnes et les fonctions mentionnées ont valeur à la forme masculine et féminine, ces formes renvoient à tous les genres. </w:t>
      </w:r>
    </w:p>
    <w:p w14:paraId="122F11C7" w14:textId="77777777" w:rsidR="00001328" w:rsidRDefault="00A4265D">
      <w:pPr>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jc w:val="center"/>
        <w:rPr>
          <w:rFonts w:ascii="Arial" w:eastAsia="Times New Roman" w:hAnsi="Arial" w:cs="Arial"/>
          <w:b/>
        </w:rPr>
      </w:pPr>
      <w:r>
        <w:rPr>
          <w:rFonts w:ascii="Arial" w:hAnsi="Arial"/>
          <w:b/>
          <w:strike/>
        </w:rPr>
        <w:t xml:space="preserve"> </w:t>
      </w:r>
    </w:p>
    <w:p w14:paraId="32C9C0C8" w14:textId="77777777" w:rsidR="00001328" w:rsidRDefault="00A4265D">
      <w:pPr>
        <w:keepNext/>
        <w:widowControl w:val="0"/>
        <w:tabs>
          <w:tab w:val="left" w:pos="777"/>
          <w:tab w:val="left" w:pos="1497"/>
          <w:tab w:val="left" w:pos="2217"/>
          <w:tab w:val="left" w:pos="2937"/>
          <w:tab w:val="left" w:pos="3657"/>
          <w:tab w:val="left" w:pos="4377"/>
          <w:tab w:val="left" w:pos="5097"/>
          <w:tab w:val="left" w:pos="5817"/>
          <w:tab w:val="left" w:pos="6537"/>
          <w:tab w:val="right" w:pos="7110"/>
        </w:tabs>
        <w:suppressAutoHyphens/>
        <w:spacing w:after="120" w:line="360" w:lineRule="auto"/>
        <w:rPr>
          <w:rFonts w:ascii="Arial" w:eastAsia="Times New Roman" w:hAnsi="Arial" w:cs="Arial"/>
          <w:b/>
        </w:rPr>
      </w:pPr>
      <w:r>
        <w:rPr>
          <w:rFonts w:ascii="Arial" w:hAnsi="Arial"/>
          <w:b/>
        </w:rPr>
        <w:t>Article 35 Entrée en vigueur, dénonciation, nouvelle publication</w:t>
      </w:r>
    </w:p>
    <w:p w14:paraId="00F5890F" w14:textId="77777777" w:rsidR="00001328" w:rsidRDefault="00A4265D">
      <w:pPr>
        <w:snapToGrid w:val="0"/>
        <w:spacing w:after="120" w:line="360" w:lineRule="auto"/>
        <w:jc w:val="both"/>
        <w:rPr>
          <w:rFonts w:ascii="Arial" w:eastAsia="Times New Roman" w:hAnsi="Arial" w:cs="Arial"/>
        </w:rPr>
      </w:pPr>
      <w:r>
        <w:rPr>
          <w:rFonts w:ascii="Arial" w:hAnsi="Arial"/>
        </w:rPr>
        <w:t>(1) Le présent traité d’État entre en vigueur le 1er juillet 2021. Si 13 documents de ratification au moins ne sont pas déposés jusqu’au 30 avril 2021 auprès de la Chancellerie d’État de la présidence de la conférence des ministres-présidents, le traité du Land devient caduc. Le traité d’État deviendra également nul et non avenu si le document de ratification de l’État de Saxe-Anhalt n’est pas déposé auprès de la Chancellerie d’État de la présidence de la conférence des ministres-présidents d’ici le 30 juin 2021.</w:t>
      </w:r>
    </w:p>
    <w:p w14:paraId="6697B41A" w14:textId="77777777" w:rsidR="00001328" w:rsidRDefault="00A4265D">
      <w:pPr>
        <w:snapToGrid w:val="0"/>
        <w:spacing w:after="120" w:line="360" w:lineRule="auto"/>
        <w:jc w:val="both"/>
        <w:rPr>
          <w:rFonts w:ascii="Arial" w:eastAsia="Times New Roman" w:hAnsi="Arial" w:cs="Arial"/>
        </w:rPr>
      </w:pPr>
      <w:r>
        <w:rPr>
          <w:rFonts w:ascii="Arial" w:hAnsi="Arial"/>
        </w:rPr>
        <w:t>(2) La Chancellerie d’État de la présidence de la conférence des ministres-présidents est tenue d’informer les Länder du dépôt des instruments de ratification.</w:t>
      </w:r>
    </w:p>
    <w:p w14:paraId="64E5375D" w14:textId="77777777" w:rsidR="00001328" w:rsidRDefault="00A4265D">
      <w:pPr>
        <w:snapToGrid w:val="0"/>
        <w:spacing w:after="120" w:line="360" w:lineRule="auto"/>
        <w:jc w:val="both"/>
        <w:rPr>
          <w:rFonts w:ascii="Arial" w:eastAsia="Times New Roman" w:hAnsi="Arial" w:cs="Arial"/>
        </w:rPr>
      </w:pPr>
      <w:r>
        <w:rPr>
          <w:rFonts w:ascii="Arial" w:hAnsi="Arial"/>
        </w:rPr>
        <w:t>(3) L’adhésion à ce traité se fait par une déclaration écrite d’adhésion auprès de la Chancellerie d’État de la présidence de la conférence des ministres-présidents et, si le consentement de l’organe législatif du Land adhérent est requis, avec leur consentement. La Chancellerie d’État de la présidence de la conférence des ministres-présidents informera les autres Länder contractants de la réception de la déclaration d’adhésion. Les règlements de ce traité du Land entrent en vigueur pour le Land adhérent le lendemain de la réception de la déclaration d’adhésion par la Chancellerie d’État de la présidence de la conférence des ministres-présidents. Dans la mesure où le consentement de l’organe législatif du Land adhérent est requis, le règlement du Land adhérent entre en vigueur le lendemain de la réception de la notification de ce consentement par la Chancellerie d’État de la présidence de la conférence des ministres-présidents. L’adhésion est également possible après la dénonciation.</w:t>
      </w:r>
    </w:p>
    <w:p w14:paraId="4889E1FF" w14:textId="77777777" w:rsidR="00001328" w:rsidRDefault="00A4265D">
      <w:pPr>
        <w:spacing w:after="120" w:line="360" w:lineRule="auto"/>
        <w:jc w:val="both"/>
        <w:rPr>
          <w:rFonts w:ascii="Arial" w:eastAsia="Times New Roman" w:hAnsi="Arial" w:cs="Arial"/>
        </w:rPr>
      </w:pPr>
      <w:r>
        <w:rPr>
          <w:rFonts w:ascii="Arial" w:hAnsi="Arial"/>
        </w:rPr>
        <w:t xml:space="preserve">(4) Cet accord est conclu pour une durée indéterminée. Il peut être résilié par n’importe quel Land avec un préavis d’un an à la fin d’une année civile, mais pour la première fois le 31 décembre 2028. La dénonciation doit être motivée par écrit auprès de la présidence de la </w:t>
      </w:r>
      <w:r>
        <w:rPr>
          <w:rFonts w:ascii="Arial" w:hAnsi="Arial"/>
        </w:rPr>
        <w:lastRenderedPageBreak/>
        <w:t>conférence des ministres-présidents. Il informera immédiatement les autres Länder contractants de la notification de dénonciation. Si le contrat est résilié par le Land contractant, qui assure la présidence de la conférence des ministres-présidents, ou si ce Land n’est pas un État contractant, le préavis de dénonciation doit être donné par écrit à tous les autres Länder contractants; le délai de préavis est réputé respecté si le préavis de dénonciation a été soumis avant l’expiration du délai de notification et la réception d’au moins un Land contractant.</w:t>
      </w:r>
    </w:p>
    <w:p w14:paraId="6CAFCD19" w14:textId="77777777" w:rsidR="00001328" w:rsidRDefault="00A4265D">
      <w:pPr>
        <w:spacing w:after="120" w:line="360" w:lineRule="auto"/>
        <w:jc w:val="both"/>
        <w:rPr>
          <w:rFonts w:ascii="Arial" w:eastAsia="Times New Roman" w:hAnsi="Arial" w:cs="Arial"/>
        </w:rPr>
      </w:pPr>
      <w:r>
        <w:rPr>
          <w:rFonts w:ascii="Arial" w:hAnsi="Arial"/>
        </w:rPr>
        <w:t>(5) En cas de dénonciation, le présent traité d’État continue d’exister entre les autres Länder contractants sous réserve du paragraphe 8; toutefois, chacun des autres Länder contractants peut mettre fin à la relation contractuelle dans un délai de trois mois après réception de la notification conformément au paragraphe 4, phrase 4 ou après réception de la notification de dénonciation conformément au paragraphe 4, phrase 5.</w:t>
      </w:r>
    </w:p>
    <w:p w14:paraId="2F5C33A4" w14:textId="77777777" w:rsidR="00001328" w:rsidRDefault="00A4265D">
      <w:pPr>
        <w:spacing w:after="120" w:line="360" w:lineRule="auto"/>
        <w:jc w:val="both"/>
        <w:rPr>
          <w:rFonts w:ascii="Arial" w:eastAsia="Times New Roman" w:hAnsi="Arial" w:cs="Arial"/>
        </w:rPr>
      </w:pPr>
      <w:r>
        <w:rPr>
          <w:rFonts w:ascii="Arial" w:hAnsi="Arial"/>
        </w:rPr>
        <w:t xml:space="preserve">(6) En cas de dénonciation, l’autorité commune des jeux de hasard des Länder continuera d’exister sous la responsabilité des autres Länder contractants conformément à l’article 27a. En cas de dénonciation par le Land de domicile de l’autorité commune des jeux de hasard des Länder, l’article 27l s’applique à partir du moment où la dénonciation prend effet, à condition que l’autorité supérieure du Land de domicile responsable de la surveillance des jeux soit remplacée par l’autorité du Land en charge de la surveillance qui occupe à ce moment la présidence de la conférence des ministres-présidents, ou, si ce Land n’est pas un Land contractant, le Land qui, à partir de ce moment, occupe la présidence du conseil d’administration de l’autorité commune des jeux de hasard des Länder. Dès que la dénonciation du Land de domicile prend effet, les publications selon l’article 27b, phrase 2, doivent être portées à la connaissance de tous les Länder. Pour le reste, il reste jusqu’à ce qu’un autre règlement contractuel de l’État applique la loi du Land de domicile. </w:t>
      </w:r>
    </w:p>
    <w:p w14:paraId="7F35E248" w14:textId="77777777" w:rsidR="00001328" w:rsidRDefault="00A4265D">
      <w:pPr>
        <w:spacing w:after="120" w:line="360" w:lineRule="auto"/>
        <w:jc w:val="both"/>
        <w:rPr>
          <w:rFonts w:ascii="Arial" w:eastAsia="Times New Roman" w:hAnsi="Arial" w:cs="Arial"/>
        </w:rPr>
      </w:pPr>
      <w:r>
        <w:rPr>
          <w:rFonts w:ascii="Arial" w:hAnsi="Arial"/>
        </w:rPr>
        <w:t xml:space="preserve">(7) En cas de dénonciation, les Länder s’engagent à conclure un accord de règlement sur le retrait de l’autorité commune des jeux de hasard des Länder avant le 30 septembre de l’année à la fin de laquelle la dénonciation prendra effet. </w:t>
      </w:r>
    </w:p>
    <w:p w14:paraId="5136DDD7" w14:textId="77777777" w:rsidR="00001328" w:rsidRDefault="00A4265D">
      <w:pPr>
        <w:spacing w:after="120" w:line="360" w:lineRule="auto"/>
        <w:jc w:val="both"/>
        <w:rPr>
          <w:rFonts w:ascii="Arial" w:eastAsia="Times New Roman" w:hAnsi="Arial" w:cs="Arial"/>
        </w:rPr>
      </w:pPr>
      <w:r>
        <w:rPr>
          <w:rFonts w:ascii="Arial" w:hAnsi="Arial"/>
        </w:rPr>
        <w:t xml:space="preserve">(8) S’il reste moins de 13 Länder contractants après la dénonciation, le présent traité d’État cesse d’avoir effet dès que la dénonciation prend effet. Avec l’expiration de ce traité d’État, l’autorité commune des jeux de hasard des Länder sera dissoute. Le paragraphe 7 s’applique par analogie. L’accord de règlement comprend notamment une réglementation sur la répartition des actifs institutionnels, la prise en charge des coûts jusqu’à la dissolution et les passifs existants ainsi que le traitement du personnel. </w:t>
      </w:r>
    </w:p>
    <w:p w14:paraId="40E95A58" w14:textId="77777777" w:rsidR="00001328" w:rsidRDefault="00A4265D">
      <w:pPr>
        <w:spacing w:line="360" w:lineRule="auto"/>
        <w:jc w:val="both"/>
        <w:rPr>
          <w:rFonts w:ascii="Arial" w:eastAsia="Times New Roman" w:hAnsi="Arial" w:cs="Arial"/>
        </w:rPr>
      </w:pPr>
      <w:r>
        <w:rPr>
          <w:rFonts w:ascii="Arial" w:hAnsi="Arial"/>
        </w:rPr>
        <w:t>(9) Le paragraphe 8 s’applique par analogie en cas d’autre dissolution de l’autorité commune des jeux de hasard des Länder.</w:t>
      </w:r>
    </w:p>
    <w:p w14:paraId="533BC89F" w14:textId="77777777" w:rsidR="00001328" w:rsidRDefault="00001328">
      <w:pPr>
        <w:spacing w:line="360" w:lineRule="auto"/>
        <w:jc w:val="both"/>
        <w:rPr>
          <w:rFonts w:ascii="Arial" w:eastAsia="Times New Roman" w:hAnsi="Arial" w:cs="Arial"/>
          <w:lang w:eastAsia="de-DE"/>
        </w:rPr>
      </w:pPr>
    </w:p>
    <w:p w14:paraId="378C4FC2" w14:textId="77777777" w:rsidR="00001328" w:rsidRDefault="00001328">
      <w:pPr>
        <w:spacing w:line="360" w:lineRule="auto"/>
        <w:jc w:val="both"/>
        <w:rPr>
          <w:rFonts w:ascii="Arial" w:eastAsia="Times New Roman" w:hAnsi="Arial" w:cs="Arial"/>
          <w:lang w:eastAsia="de-DE"/>
        </w:rPr>
      </w:pPr>
    </w:p>
    <w:p w14:paraId="1CDC90B5" w14:textId="77777777" w:rsidR="00001328" w:rsidRDefault="00001328">
      <w:pPr>
        <w:spacing w:line="360" w:lineRule="auto"/>
        <w:jc w:val="both"/>
        <w:rPr>
          <w:rFonts w:ascii="Arial" w:eastAsia="Times New Roman" w:hAnsi="Arial" w:cs="Arial"/>
          <w:lang w:eastAsia="de-DE"/>
        </w:rPr>
      </w:pPr>
    </w:p>
    <w:p w14:paraId="54A83151" w14:textId="77777777" w:rsidR="00001328" w:rsidRDefault="00001328">
      <w:pPr>
        <w:spacing w:line="360" w:lineRule="auto"/>
        <w:jc w:val="both"/>
        <w:rPr>
          <w:rFonts w:ascii="Arial" w:eastAsia="Times New Roman" w:hAnsi="Arial" w:cs="Arial"/>
          <w:lang w:eastAsia="de-DE"/>
        </w:rPr>
      </w:pPr>
    </w:p>
    <w:p w14:paraId="5378C7CB" w14:textId="77777777" w:rsidR="00001328" w:rsidRDefault="00001328">
      <w:pPr>
        <w:spacing w:line="360" w:lineRule="auto"/>
        <w:jc w:val="both"/>
        <w:rPr>
          <w:rFonts w:ascii="Arial" w:eastAsia="Times New Roman" w:hAnsi="Arial" w:cs="Arial"/>
          <w:lang w:eastAsia="de-DE"/>
        </w:rPr>
      </w:pPr>
    </w:p>
    <w:p w14:paraId="5B9588A4" w14:textId="77777777" w:rsidR="00001328" w:rsidRDefault="00001328">
      <w:pPr>
        <w:spacing w:line="360" w:lineRule="auto"/>
        <w:jc w:val="both"/>
        <w:rPr>
          <w:rFonts w:ascii="Arial" w:eastAsia="Times New Roman" w:hAnsi="Arial" w:cs="Arial"/>
          <w:lang w:eastAsia="de-DE"/>
        </w:rPr>
      </w:pPr>
    </w:p>
    <w:p w14:paraId="12A7E9E0" w14:textId="77777777" w:rsidR="00001328" w:rsidRDefault="00001328">
      <w:pPr>
        <w:spacing w:line="360" w:lineRule="auto"/>
        <w:jc w:val="both"/>
        <w:rPr>
          <w:rFonts w:ascii="Arial" w:eastAsia="Times New Roman" w:hAnsi="Arial" w:cs="Arial"/>
          <w:lang w:eastAsia="de-DE"/>
        </w:rPr>
      </w:pPr>
    </w:p>
    <w:p w14:paraId="4EC3F83D" w14:textId="77777777" w:rsidR="00001328" w:rsidRDefault="00001328">
      <w:pPr>
        <w:spacing w:line="360" w:lineRule="auto"/>
        <w:jc w:val="both"/>
        <w:rPr>
          <w:rFonts w:ascii="Arial" w:eastAsia="Times New Roman" w:hAnsi="Arial" w:cs="Arial"/>
          <w:lang w:eastAsia="de-DE"/>
        </w:rPr>
      </w:pPr>
    </w:p>
    <w:p w14:paraId="4F170909" w14:textId="77777777" w:rsidR="00001328" w:rsidRDefault="00A4265D">
      <w:pPr>
        <w:rPr>
          <w:rFonts w:ascii="Arial" w:eastAsia="Calibri" w:hAnsi="Arial" w:cs="Arial"/>
          <w:b/>
        </w:rPr>
      </w:pPr>
      <w:r>
        <w:br w:type="page"/>
      </w:r>
    </w:p>
    <w:p w14:paraId="41C2860C" w14:textId="77777777" w:rsidR="00001328" w:rsidRDefault="00A4265D">
      <w:pPr>
        <w:widowControl w:val="0"/>
        <w:tabs>
          <w:tab w:val="left" w:pos="6804"/>
        </w:tabs>
        <w:spacing w:after="480" w:line="240" w:lineRule="auto"/>
        <w:ind w:left="567"/>
        <w:jc w:val="both"/>
        <w:rPr>
          <w:rFonts w:ascii="Arial" w:eastAsia="Times New Roman" w:hAnsi="Arial" w:cs="Arial"/>
          <w:snapToGrid w:val="0"/>
          <w:sz w:val="24"/>
          <w:szCs w:val="24"/>
        </w:rPr>
      </w:pPr>
      <w:r>
        <w:rPr>
          <w:rFonts w:ascii="Arial" w:hAnsi="Arial"/>
          <w:snapToGrid w:val="0"/>
          <w:sz w:val="24"/>
        </w:rPr>
        <w:lastRenderedPageBreak/>
        <w:t>Pour l’État fédéral du Bade-Wurtemberg,</w:t>
      </w:r>
    </w:p>
    <w:p w14:paraId="5E9D43CA" w14:textId="77777777" w:rsidR="00001328" w:rsidRDefault="00A4265D">
      <w:pPr>
        <w:widowControl w:val="0"/>
        <w:tabs>
          <w:tab w:val="left" w:pos="3402"/>
          <w:tab w:val="left" w:pos="4111"/>
          <w:tab w:val="left" w:pos="6237"/>
          <w:tab w:val="left" w:pos="6521"/>
          <w:tab w:val="right" w:pos="9899"/>
        </w:tabs>
        <w:spacing w:after="240" w:line="240" w:lineRule="auto"/>
        <w:ind w:left="567"/>
        <w:jc w:val="both"/>
        <w:rPr>
          <w:rFonts w:ascii="Arial" w:eastAsia="Times New Roman" w:hAnsi="Arial" w:cs="Arial"/>
          <w:snapToGrid w:val="0"/>
          <w:sz w:val="24"/>
          <w:szCs w:val="24"/>
        </w:rPr>
      </w:pPr>
      <w:r>
        <w:rPr>
          <w:rFonts w:ascii="Arial" w:hAnsi="Arial"/>
          <w:snapToGrid w:val="0"/>
          <w:sz w:val="24"/>
          <w:u w:val="single"/>
        </w:rPr>
        <w:t>Stuttgart</w:t>
      </w:r>
      <w:r>
        <w:rPr>
          <w:rFonts w:ascii="Arial" w:hAnsi="Arial"/>
          <w:snapToGrid w:val="0"/>
          <w:sz w:val="24"/>
          <w:u w:val="single"/>
        </w:rPr>
        <w:tab/>
      </w:r>
      <w:r>
        <w:rPr>
          <w:rFonts w:ascii="Arial" w:hAnsi="Arial"/>
          <w:snapToGrid w:val="0"/>
          <w:sz w:val="24"/>
        </w:rPr>
        <w:t>,</w:t>
      </w:r>
      <w:r>
        <w:rPr>
          <w:rFonts w:ascii="Arial" w:hAnsi="Arial"/>
          <w:snapToGrid w:val="0"/>
          <w:sz w:val="24"/>
        </w:rPr>
        <w:tab/>
        <w:t>28.10.2020</w:t>
      </w:r>
      <w:r>
        <w:rPr>
          <w:rFonts w:ascii="Arial" w:hAnsi="Arial"/>
          <w:snapToGrid w:val="0"/>
          <w:sz w:val="24"/>
          <w:u w:val="single"/>
        </w:rPr>
        <w:tab/>
      </w:r>
      <w:r>
        <w:rPr>
          <w:rFonts w:ascii="Arial" w:hAnsi="Arial"/>
          <w:snapToGrid w:val="0"/>
          <w:sz w:val="24"/>
        </w:rPr>
        <w:tab/>
        <w:t>Winfried Kretschmann</w:t>
      </w:r>
      <w:r>
        <w:rPr>
          <w:rFonts w:ascii="Arial" w:hAnsi="Arial"/>
          <w:snapToGrid w:val="0"/>
          <w:sz w:val="24"/>
          <w:u w:val="single"/>
        </w:rPr>
        <w:tab/>
      </w:r>
    </w:p>
    <w:p w14:paraId="523E7685" w14:textId="77777777" w:rsidR="00001328" w:rsidRDefault="00001328">
      <w:pPr>
        <w:widowControl w:val="0"/>
        <w:tabs>
          <w:tab w:val="left" w:pos="3402"/>
          <w:tab w:val="left" w:pos="4111"/>
          <w:tab w:val="left" w:pos="5954"/>
          <w:tab w:val="left" w:pos="6379"/>
          <w:tab w:val="left" w:pos="6804"/>
        </w:tabs>
        <w:spacing w:after="240" w:line="240" w:lineRule="auto"/>
        <w:ind w:left="567"/>
        <w:jc w:val="both"/>
        <w:rPr>
          <w:rFonts w:ascii="Arial" w:eastAsia="Times New Roman" w:hAnsi="Arial" w:cs="Arial"/>
          <w:snapToGrid w:val="0"/>
          <w:sz w:val="24"/>
          <w:szCs w:val="24"/>
          <w:lang w:eastAsia="de-DE"/>
        </w:rPr>
      </w:pPr>
    </w:p>
    <w:p w14:paraId="4155B9DD" w14:textId="77777777" w:rsidR="00001328" w:rsidRDefault="00A4265D">
      <w:pPr>
        <w:widowControl w:val="0"/>
        <w:tabs>
          <w:tab w:val="left" w:pos="3402"/>
          <w:tab w:val="left" w:pos="4111"/>
          <w:tab w:val="left" w:pos="5954"/>
          <w:tab w:val="left" w:pos="6379"/>
          <w:tab w:val="left" w:pos="6804"/>
        </w:tabs>
        <w:spacing w:after="480" w:line="240" w:lineRule="auto"/>
        <w:ind w:left="567"/>
        <w:jc w:val="both"/>
        <w:rPr>
          <w:rFonts w:ascii="Arial" w:eastAsia="Times New Roman" w:hAnsi="Arial" w:cs="Arial"/>
          <w:snapToGrid w:val="0"/>
          <w:sz w:val="24"/>
          <w:szCs w:val="24"/>
        </w:rPr>
      </w:pPr>
      <w:r>
        <w:rPr>
          <w:rFonts w:ascii="Arial" w:hAnsi="Arial"/>
          <w:snapToGrid w:val="0"/>
          <w:sz w:val="24"/>
        </w:rPr>
        <w:t>Pour le Land de Bavière</w:t>
      </w:r>
    </w:p>
    <w:p w14:paraId="10C81C32" w14:textId="77777777" w:rsidR="00001328" w:rsidRDefault="00A4265D">
      <w:pPr>
        <w:widowControl w:val="0"/>
        <w:tabs>
          <w:tab w:val="left" w:pos="3402"/>
          <w:tab w:val="left" w:pos="4111"/>
          <w:tab w:val="left" w:pos="5954"/>
          <w:tab w:val="left" w:pos="6237"/>
          <w:tab w:val="left" w:pos="6521"/>
          <w:tab w:val="right" w:pos="9899"/>
        </w:tabs>
        <w:spacing w:after="240" w:line="240" w:lineRule="auto"/>
        <w:ind w:left="567"/>
        <w:jc w:val="both"/>
        <w:rPr>
          <w:rFonts w:ascii="Arial" w:eastAsia="Times New Roman" w:hAnsi="Arial" w:cs="Arial"/>
          <w:snapToGrid w:val="0"/>
          <w:sz w:val="24"/>
          <w:szCs w:val="24"/>
        </w:rPr>
      </w:pPr>
      <w:r>
        <w:rPr>
          <w:rFonts w:ascii="Arial" w:hAnsi="Arial"/>
          <w:snapToGrid w:val="0"/>
          <w:sz w:val="24"/>
          <w:u w:val="single"/>
        </w:rPr>
        <w:t>Munich</w:t>
      </w:r>
      <w:r>
        <w:rPr>
          <w:rFonts w:ascii="Arial" w:hAnsi="Arial"/>
          <w:snapToGrid w:val="0"/>
          <w:sz w:val="24"/>
          <w:u w:val="single"/>
        </w:rPr>
        <w:tab/>
      </w:r>
      <w:r>
        <w:rPr>
          <w:rFonts w:ascii="Arial" w:hAnsi="Arial"/>
          <w:snapToGrid w:val="0"/>
          <w:sz w:val="24"/>
        </w:rPr>
        <w:t>,</w:t>
      </w:r>
      <w:r>
        <w:rPr>
          <w:rFonts w:ascii="Arial" w:hAnsi="Arial"/>
          <w:snapToGrid w:val="0"/>
          <w:sz w:val="24"/>
        </w:rPr>
        <w:tab/>
        <w:t>27.10.2020</w:t>
      </w:r>
      <w:r>
        <w:rPr>
          <w:rFonts w:ascii="Arial" w:hAnsi="Arial"/>
          <w:snapToGrid w:val="0"/>
          <w:sz w:val="24"/>
          <w:u w:val="single"/>
        </w:rPr>
        <w:tab/>
      </w:r>
      <w:r>
        <w:rPr>
          <w:rFonts w:ascii="Arial" w:hAnsi="Arial"/>
          <w:snapToGrid w:val="0"/>
          <w:sz w:val="24"/>
          <w:u w:val="single"/>
        </w:rPr>
        <w:tab/>
      </w:r>
      <w:r>
        <w:rPr>
          <w:rFonts w:ascii="Arial" w:hAnsi="Arial"/>
          <w:snapToGrid w:val="0"/>
          <w:sz w:val="24"/>
        </w:rPr>
        <w:tab/>
        <w:t>Markus Söder</w:t>
      </w:r>
      <w:r>
        <w:rPr>
          <w:rFonts w:ascii="Arial" w:hAnsi="Arial"/>
          <w:snapToGrid w:val="0"/>
          <w:sz w:val="24"/>
          <w:u w:val="single"/>
        </w:rPr>
        <w:tab/>
      </w:r>
    </w:p>
    <w:p w14:paraId="67EE5386" w14:textId="77777777" w:rsidR="00001328" w:rsidRDefault="00001328">
      <w:pPr>
        <w:widowControl w:val="0"/>
        <w:tabs>
          <w:tab w:val="left" w:pos="3402"/>
          <w:tab w:val="left" w:pos="4111"/>
          <w:tab w:val="left" w:pos="5954"/>
          <w:tab w:val="left" w:pos="6379"/>
          <w:tab w:val="left" w:pos="6804"/>
        </w:tabs>
        <w:spacing w:after="240" w:line="240" w:lineRule="auto"/>
        <w:ind w:left="567"/>
        <w:jc w:val="both"/>
        <w:rPr>
          <w:rFonts w:ascii="Arial" w:eastAsia="Times New Roman" w:hAnsi="Arial" w:cs="Arial"/>
          <w:snapToGrid w:val="0"/>
          <w:sz w:val="24"/>
          <w:szCs w:val="24"/>
          <w:lang w:eastAsia="de-DE"/>
        </w:rPr>
      </w:pPr>
    </w:p>
    <w:p w14:paraId="3D071FB6" w14:textId="77777777" w:rsidR="00001328" w:rsidRDefault="00A4265D">
      <w:pPr>
        <w:widowControl w:val="0"/>
        <w:tabs>
          <w:tab w:val="left" w:pos="3402"/>
          <w:tab w:val="left" w:pos="4111"/>
          <w:tab w:val="left" w:pos="5954"/>
          <w:tab w:val="left" w:pos="6379"/>
          <w:tab w:val="left" w:pos="6804"/>
        </w:tabs>
        <w:spacing w:after="480" w:line="240" w:lineRule="auto"/>
        <w:ind w:left="567"/>
        <w:jc w:val="both"/>
        <w:rPr>
          <w:rFonts w:ascii="Arial" w:eastAsia="Times New Roman" w:hAnsi="Arial" w:cs="Arial"/>
          <w:snapToGrid w:val="0"/>
          <w:sz w:val="24"/>
          <w:szCs w:val="24"/>
        </w:rPr>
      </w:pPr>
      <w:r>
        <w:rPr>
          <w:rFonts w:ascii="Arial" w:hAnsi="Arial"/>
          <w:snapToGrid w:val="0"/>
          <w:sz w:val="24"/>
        </w:rPr>
        <w:t>Pour le Land de Berlin</w:t>
      </w:r>
    </w:p>
    <w:p w14:paraId="55584F66" w14:textId="77777777" w:rsidR="00001328" w:rsidRDefault="00A4265D">
      <w:pPr>
        <w:widowControl w:val="0"/>
        <w:tabs>
          <w:tab w:val="left" w:pos="3402"/>
          <w:tab w:val="left" w:pos="4111"/>
          <w:tab w:val="left" w:pos="6237"/>
          <w:tab w:val="left" w:pos="6521"/>
          <w:tab w:val="right" w:pos="9899"/>
        </w:tabs>
        <w:spacing w:after="240" w:line="240" w:lineRule="auto"/>
        <w:ind w:left="567"/>
        <w:jc w:val="both"/>
        <w:rPr>
          <w:rFonts w:ascii="Arial" w:eastAsia="Times New Roman" w:hAnsi="Arial" w:cs="Arial"/>
          <w:snapToGrid w:val="0"/>
          <w:sz w:val="24"/>
          <w:szCs w:val="24"/>
        </w:rPr>
      </w:pPr>
      <w:r>
        <w:rPr>
          <w:rFonts w:ascii="Arial" w:hAnsi="Arial"/>
          <w:snapToGrid w:val="0"/>
          <w:sz w:val="24"/>
          <w:u w:val="single"/>
        </w:rPr>
        <w:t>Berlin</w:t>
      </w:r>
      <w:r>
        <w:rPr>
          <w:rFonts w:ascii="Arial" w:hAnsi="Arial"/>
          <w:snapToGrid w:val="0"/>
          <w:sz w:val="24"/>
          <w:u w:val="single"/>
        </w:rPr>
        <w:tab/>
      </w:r>
      <w:r>
        <w:rPr>
          <w:rFonts w:ascii="Arial" w:hAnsi="Arial"/>
          <w:snapToGrid w:val="0"/>
          <w:sz w:val="24"/>
        </w:rPr>
        <w:t>,</w:t>
      </w:r>
      <w:r>
        <w:rPr>
          <w:rFonts w:ascii="Arial" w:hAnsi="Arial"/>
          <w:snapToGrid w:val="0"/>
          <w:sz w:val="24"/>
        </w:rPr>
        <w:tab/>
        <w:t>27.10.2020</w:t>
      </w:r>
      <w:r>
        <w:rPr>
          <w:rFonts w:ascii="Arial" w:hAnsi="Arial"/>
          <w:snapToGrid w:val="0"/>
          <w:sz w:val="24"/>
          <w:u w:val="single"/>
        </w:rPr>
        <w:tab/>
      </w:r>
      <w:r>
        <w:rPr>
          <w:rFonts w:ascii="Arial" w:hAnsi="Arial"/>
          <w:snapToGrid w:val="0"/>
          <w:sz w:val="24"/>
        </w:rPr>
        <w:tab/>
        <w:t>Michael Müller</w:t>
      </w:r>
      <w:r>
        <w:rPr>
          <w:rFonts w:ascii="Arial" w:hAnsi="Arial"/>
          <w:snapToGrid w:val="0"/>
          <w:sz w:val="24"/>
          <w:u w:val="single"/>
        </w:rPr>
        <w:tab/>
      </w:r>
    </w:p>
    <w:p w14:paraId="37EAE46E" w14:textId="77777777" w:rsidR="00001328" w:rsidRDefault="00001328">
      <w:pPr>
        <w:widowControl w:val="0"/>
        <w:tabs>
          <w:tab w:val="left" w:pos="6804"/>
        </w:tabs>
        <w:spacing w:after="240" w:line="240" w:lineRule="auto"/>
        <w:ind w:left="567"/>
        <w:jc w:val="both"/>
        <w:rPr>
          <w:rFonts w:ascii="Arial" w:eastAsia="Times New Roman" w:hAnsi="Arial" w:cs="Arial"/>
          <w:snapToGrid w:val="0"/>
          <w:sz w:val="24"/>
          <w:szCs w:val="24"/>
          <w:lang w:eastAsia="de-DE"/>
        </w:rPr>
      </w:pPr>
    </w:p>
    <w:p w14:paraId="494A2AC6" w14:textId="77777777" w:rsidR="00001328" w:rsidRDefault="00A4265D">
      <w:pPr>
        <w:widowControl w:val="0"/>
        <w:tabs>
          <w:tab w:val="left" w:pos="6804"/>
        </w:tabs>
        <w:spacing w:after="480" w:line="240" w:lineRule="auto"/>
        <w:ind w:left="567"/>
        <w:jc w:val="both"/>
        <w:rPr>
          <w:rFonts w:ascii="Arial" w:eastAsia="Times New Roman" w:hAnsi="Arial" w:cs="Arial"/>
          <w:snapToGrid w:val="0"/>
          <w:sz w:val="24"/>
          <w:szCs w:val="24"/>
        </w:rPr>
      </w:pPr>
      <w:r>
        <w:rPr>
          <w:rFonts w:ascii="Arial" w:hAnsi="Arial"/>
          <w:snapToGrid w:val="0"/>
          <w:sz w:val="24"/>
        </w:rPr>
        <w:t>Pour le Land de Brandebourg</w:t>
      </w:r>
    </w:p>
    <w:p w14:paraId="3D57CD77" w14:textId="77777777" w:rsidR="00001328" w:rsidRDefault="00A4265D">
      <w:pPr>
        <w:widowControl w:val="0"/>
        <w:tabs>
          <w:tab w:val="left" w:pos="3402"/>
          <w:tab w:val="left" w:pos="4111"/>
          <w:tab w:val="left" w:pos="6237"/>
          <w:tab w:val="left" w:pos="6521"/>
          <w:tab w:val="right" w:pos="9899"/>
        </w:tabs>
        <w:spacing w:after="240" w:line="240" w:lineRule="auto"/>
        <w:ind w:left="567"/>
        <w:jc w:val="both"/>
        <w:rPr>
          <w:rFonts w:ascii="Arial" w:eastAsia="Times New Roman" w:hAnsi="Arial" w:cs="Arial"/>
          <w:snapToGrid w:val="0"/>
          <w:sz w:val="24"/>
          <w:szCs w:val="24"/>
        </w:rPr>
      </w:pPr>
      <w:r>
        <w:rPr>
          <w:rFonts w:ascii="Arial" w:hAnsi="Arial"/>
          <w:snapToGrid w:val="0"/>
          <w:sz w:val="24"/>
          <w:u w:val="single"/>
        </w:rPr>
        <w:t>Potsdam</w:t>
      </w:r>
      <w:r>
        <w:rPr>
          <w:rFonts w:ascii="Arial" w:hAnsi="Arial"/>
          <w:snapToGrid w:val="0"/>
          <w:sz w:val="24"/>
          <w:u w:val="single"/>
        </w:rPr>
        <w:tab/>
      </w:r>
      <w:r>
        <w:rPr>
          <w:rFonts w:ascii="Arial" w:hAnsi="Arial"/>
          <w:snapToGrid w:val="0"/>
          <w:sz w:val="24"/>
        </w:rPr>
        <w:t>,</w:t>
      </w:r>
      <w:r>
        <w:rPr>
          <w:rFonts w:ascii="Arial" w:hAnsi="Arial"/>
          <w:snapToGrid w:val="0"/>
          <w:sz w:val="24"/>
        </w:rPr>
        <w:tab/>
        <w:t>28.10.2020</w:t>
      </w:r>
      <w:r>
        <w:rPr>
          <w:rFonts w:ascii="Arial" w:hAnsi="Arial"/>
          <w:snapToGrid w:val="0"/>
          <w:sz w:val="24"/>
          <w:u w:val="single"/>
        </w:rPr>
        <w:tab/>
      </w:r>
      <w:r>
        <w:rPr>
          <w:rFonts w:ascii="Arial" w:hAnsi="Arial"/>
          <w:snapToGrid w:val="0"/>
          <w:sz w:val="24"/>
        </w:rPr>
        <w:tab/>
        <w:t>Dietmar Woidke</w:t>
      </w:r>
      <w:r>
        <w:rPr>
          <w:rFonts w:ascii="Arial" w:hAnsi="Arial"/>
          <w:snapToGrid w:val="0"/>
          <w:sz w:val="24"/>
          <w:u w:val="single"/>
        </w:rPr>
        <w:tab/>
      </w:r>
    </w:p>
    <w:p w14:paraId="6C721868" w14:textId="77777777" w:rsidR="00001328" w:rsidRDefault="00001328">
      <w:pPr>
        <w:widowControl w:val="0"/>
        <w:tabs>
          <w:tab w:val="left" w:pos="6804"/>
        </w:tabs>
        <w:spacing w:after="240" w:line="240" w:lineRule="auto"/>
        <w:ind w:left="567"/>
        <w:jc w:val="both"/>
        <w:rPr>
          <w:rFonts w:ascii="Arial" w:eastAsia="Times New Roman" w:hAnsi="Arial" w:cs="Arial"/>
          <w:snapToGrid w:val="0"/>
          <w:sz w:val="24"/>
          <w:szCs w:val="24"/>
          <w:lang w:eastAsia="de-DE"/>
        </w:rPr>
      </w:pPr>
    </w:p>
    <w:p w14:paraId="701F473D" w14:textId="77777777" w:rsidR="00001328" w:rsidRDefault="00A4265D">
      <w:pPr>
        <w:widowControl w:val="0"/>
        <w:tabs>
          <w:tab w:val="left" w:pos="6804"/>
        </w:tabs>
        <w:spacing w:after="480" w:line="240" w:lineRule="auto"/>
        <w:ind w:left="567"/>
        <w:jc w:val="both"/>
        <w:rPr>
          <w:rFonts w:ascii="Arial" w:eastAsia="Times New Roman" w:hAnsi="Arial" w:cs="Arial"/>
          <w:snapToGrid w:val="0"/>
          <w:sz w:val="24"/>
          <w:szCs w:val="24"/>
        </w:rPr>
      </w:pPr>
      <w:r>
        <w:rPr>
          <w:rFonts w:ascii="Arial" w:hAnsi="Arial"/>
          <w:snapToGrid w:val="0"/>
          <w:sz w:val="24"/>
        </w:rPr>
        <w:t>Pour la ville hanséatique libre de Brême</w:t>
      </w:r>
    </w:p>
    <w:p w14:paraId="7AFCD9EE" w14:textId="77777777" w:rsidR="00001328" w:rsidRDefault="00A4265D">
      <w:pPr>
        <w:widowControl w:val="0"/>
        <w:tabs>
          <w:tab w:val="left" w:pos="3402"/>
          <w:tab w:val="left" w:pos="4111"/>
          <w:tab w:val="left" w:pos="6237"/>
          <w:tab w:val="left" w:pos="6521"/>
          <w:tab w:val="right" w:pos="9899"/>
        </w:tabs>
        <w:spacing w:after="240" w:line="240" w:lineRule="auto"/>
        <w:ind w:left="567"/>
        <w:jc w:val="both"/>
        <w:rPr>
          <w:rFonts w:ascii="Arial" w:eastAsia="Times New Roman" w:hAnsi="Arial" w:cs="Arial"/>
          <w:snapToGrid w:val="0"/>
          <w:sz w:val="24"/>
          <w:szCs w:val="24"/>
        </w:rPr>
      </w:pPr>
      <w:r>
        <w:rPr>
          <w:rFonts w:ascii="Arial" w:hAnsi="Arial"/>
          <w:snapToGrid w:val="0"/>
          <w:sz w:val="24"/>
        </w:rPr>
        <w:t>Brême</w:t>
      </w:r>
      <w:r>
        <w:rPr>
          <w:rFonts w:ascii="Arial" w:hAnsi="Arial"/>
          <w:snapToGrid w:val="0"/>
          <w:sz w:val="24"/>
          <w:u w:val="single"/>
        </w:rPr>
        <w:tab/>
      </w:r>
      <w:r>
        <w:rPr>
          <w:rFonts w:ascii="Arial" w:hAnsi="Arial"/>
          <w:snapToGrid w:val="0"/>
          <w:sz w:val="24"/>
        </w:rPr>
        <w:t>,</w:t>
      </w:r>
      <w:r>
        <w:rPr>
          <w:rFonts w:ascii="Arial" w:hAnsi="Arial"/>
          <w:snapToGrid w:val="0"/>
          <w:sz w:val="24"/>
        </w:rPr>
        <w:tab/>
        <w:t>29.10.2020</w:t>
      </w:r>
      <w:r>
        <w:rPr>
          <w:rFonts w:ascii="Arial" w:hAnsi="Arial"/>
          <w:snapToGrid w:val="0"/>
          <w:sz w:val="24"/>
          <w:u w:val="single"/>
        </w:rPr>
        <w:tab/>
      </w:r>
      <w:r>
        <w:rPr>
          <w:rFonts w:ascii="Arial" w:hAnsi="Arial"/>
          <w:snapToGrid w:val="0"/>
          <w:sz w:val="24"/>
        </w:rPr>
        <w:tab/>
        <w:t>Andreas Bovenschulte</w:t>
      </w:r>
      <w:r>
        <w:rPr>
          <w:rFonts w:ascii="Arial" w:hAnsi="Arial"/>
          <w:snapToGrid w:val="0"/>
          <w:sz w:val="24"/>
          <w:u w:val="single"/>
        </w:rPr>
        <w:tab/>
      </w:r>
    </w:p>
    <w:p w14:paraId="51417985" w14:textId="77777777" w:rsidR="00001328" w:rsidRDefault="00001328">
      <w:pPr>
        <w:widowControl w:val="0"/>
        <w:tabs>
          <w:tab w:val="left" w:pos="6804"/>
        </w:tabs>
        <w:spacing w:after="240" w:line="240" w:lineRule="auto"/>
        <w:ind w:left="567"/>
        <w:jc w:val="both"/>
        <w:rPr>
          <w:rFonts w:ascii="Arial" w:eastAsia="Times New Roman" w:hAnsi="Arial" w:cs="Arial"/>
          <w:snapToGrid w:val="0"/>
          <w:sz w:val="24"/>
          <w:szCs w:val="24"/>
          <w:lang w:eastAsia="de-DE"/>
        </w:rPr>
      </w:pPr>
    </w:p>
    <w:p w14:paraId="57DFB91C" w14:textId="77777777" w:rsidR="00001328" w:rsidRDefault="00A4265D">
      <w:pPr>
        <w:widowControl w:val="0"/>
        <w:tabs>
          <w:tab w:val="left" w:pos="6804"/>
        </w:tabs>
        <w:spacing w:after="480" w:line="240" w:lineRule="auto"/>
        <w:ind w:left="567"/>
        <w:jc w:val="both"/>
        <w:rPr>
          <w:rFonts w:ascii="Arial" w:eastAsia="Times New Roman" w:hAnsi="Arial" w:cs="Arial"/>
          <w:snapToGrid w:val="0"/>
          <w:sz w:val="24"/>
          <w:szCs w:val="24"/>
        </w:rPr>
      </w:pPr>
      <w:r>
        <w:rPr>
          <w:rFonts w:ascii="Arial" w:hAnsi="Arial"/>
          <w:snapToGrid w:val="0"/>
          <w:sz w:val="24"/>
        </w:rPr>
        <w:t>Pour la ville hanséatique libre de Hambourg,</w:t>
      </w:r>
    </w:p>
    <w:p w14:paraId="3CCD4030" w14:textId="77777777" w:rsidR="00001328" w:rsidRDefault="00A4265D">
      <w:pPr>
        <w:widowControl w:val="0"/>
        <w:tabs>
          <w:tab w:val="left" w:pos="3402"/>
          <w:tab w:val="left" w:pos="4111"/>
          <w:tab w:val="left" w:pos="6237"/>
          <w:tab w:val="left" w:pos="6521"/>
          <w:tab w:val="right" w:pos="9899"/>
        </w:tabs>
        <w:spacing w:after="240" w:line="240" w:lineRule="auto"/>
        <w:ind w:left="567"/>
        <w:jc w:val="both"/>
        <w:rPr>
          <w:rFonts w:ascii="Arial" w:eastAsia="Times New Roman" w:hAnsi="Arial" w:cs="Arial"/>
          <w:snapToGrid w:val="0"/>
          <w:sz w:val="24"/>
          <w:szCs w:val="24"/>
        </w:rPr>
      </w:pPr>
      <w:r>
        <w:rPr>
          <w:rFonts w:ascii="Arial" w:hAnsi="Arial"/>
          <w:snapToGrid w:val="0"/>
          <w:sz w:val="24"/>
        </w:rPr>
        <w:t>Hambourg</w:t>
      </w:r>
      <w:r>
        <w:rPr>
          <w:rFonts w:ascii="Arial" w:hAnsi="Arial"/>
          <w:snapToGrid w:val="0"/>
          <w:sz w:val="24"/>
          <w:u w:val="single"/>
        </w:rPr>
        <w:tab/>
      </w:r>
      <w:r>
        <w:rPr>
          <w:rFonts w:ascii="Arial" w:hAnsi="Arial"/>
          <w:snapToGrid w:val="0"/>
          <w:sz w:val="24"/>
        </w:rPr>
        <w:t>,</w:t>
      </w:r>
      <w:r>
        <w:rPr>
          <w:rFonts w:ascii="Arial" w:hAnsi="Arial"/>
          <w:snapToGrid w:val="0"/>
          <w:sz w:val="24"/>
        </w:rPr>
        <w:tab/>
        <w:t>27.10.2020</w:t>
      </w:r>
      <w:r>
        <w:rPr>
          <w:rFonts w:ascii="Arial" w:hAnsi="Arial"/>
          <w:snapToGrid w:val="0"/>
          <w:sz w:val="24"/>
          <w:u w:val="single"/>
        </w:rPr>
        <w:tab/>
      </w:r>
      <w:r>
        <w:rPr>
          <w:rFonts w:ascii="Arial" w:hAnsi="Arial"/>
          <w:snapToGrid w:val="0"/>
          <w:sz w:val="24"/>
        </w:rPr>
        <w:tab/>
        <w:t>Peter Tschentscher</w:t>
      </w:r>
      <w:r>
        <w:rPr>
          <w:rFonts w:ascii="Arial" w:hAnsi="Arial"/>
          <w:snapToGrid w:val="0"/>
          <w:sz w:val="24"/>
          <w:u w:val="single"/>
        </w:rPr>
        <w:tab/>
      </w:r>
    </w:p>
    <w:p w14:paraId="29244330" w14:textId="77777777" w:rsidR="00001328" w:rsidRDefault="00001328">
      <w:pPr>
        <w:widowControl w:val="0"/>
        <w:tabs>
          <w:tab w:val="left" w:pos="6804"/>
        </w:tabs>
        <w:spacing w:after="240" w:line="240" w:lineRule="auto"/>
        <w:ind w:left="567"/>
        <w:jc w:val="both"/>
        <w:rPr>
          <w:rFonts w:ascii="Arial" w:eastAsia="Times New Roman" w:hAnsi="Arial" w:cs="Arial"/>
          <w:snapToGrid w:val="0"/>
          <w:sz w:val="24"/>
          <w:szCs w:val="24"/>
          <w:lang w:eastAsia="de-DE"/>
        </w:rPr>
      </w:pPr>
    </w:p>
    <w:p w14:paraId="6F32426E" w14:textId="77777777" w:rsidR="00001328" w:rsidRDefault="00A4265D">
      <w:pPr>
        <w:widowControl w:val="0"/>
        <w:tabs>
          <w:tab w:val="left" w:pos="6804"/>
        </w:tabs>
        <w:spacing w:after="480" w:line="240" w:lineRule="auto"/>
        <w:ind w:left="567"/>
        <w:jc w:val="both"/>
        <w:rPr>
          <w:rFonts w:ascii="Arial" w:eastAsia="Times New Roman" w:hAnsi="Arial" w:cs="Arial"/>
          <w:snapToGrid w:val="0"/>
          <w:sz w:val="24"/>
          <w:szCs w:val="24"/>
        </w:rPr>
      </w:pPr>
      <w:r>
        <w:rPr>
          <w:rFonts w:ascii="Arial" w:hAnsi="Arial"/>
          <w:snapToGrid w:val="0"/>
          <w:sz w:val="24"/>
        </w:rPr>
        <w:t>Pour le Land de Hesse</w:t>
      </w:r>
    </w:p>
    <w:p w14:paraId="762B666D" w14:textId="77777777" w:rsidR="00001328" w:rsidRDefault="00A4265D">
      <w:pPr>
        <w:widowControl w:val="0"/>
        <w:tabs>
          <w:tab w:val="left" w:pos="2694"/>
          <w:tab w:val="left" w:pos="3402"/>
          <w:tab w:val="left" w:pos="4111"/>
          <w:tab w:val="left" w:pos="6237"/>
          <w:tab w:val="left" w:pos="6521"/>
          <w:tab w:val="right" w:pos="9899"/>
        </w:tabs>
        <w:spacing w:after="240" w:line="240" w:lineRule="auto"/>
        <w:ind w:left="567"/>
        <w:jc w:val="both"/>
        <w:rPr>
          <w:rFonts w:ascii="Arial" w:eastAsia="Times New Roman" w:hAnsi="Arial" w:cs="Arial"/>
          <w:snapToGrid w:val="0"/>
          <w:sz w:val="24"/>
          <w:szCs w:val="24"/>
        </w:rPr>
      </w:pPr>
      <w:r>
        <w:rPr>
          <w:rFonts w:ascii="Arial" w:hAnsi="Arial"/>
          <w:snapToGrid w:val="0"/>
          <w:sz w:val="24"/>
          <w:u w:val="single"/>
        </w:rPr>
        <w:t>Wiesbaden</w:t>
      </w:r>
      <w:r>
        <w:rPr>
          <w:rFonts w:ascii="Arial" w:hAnsi="Arial"/>
          <w:snapToGrid w:val="0"/>
          <w:sz w:val="24"/>
          <w:u w:val="single"/>
        </w:rPr>
        <w:tab/>
      </w:r>
      <w:r>
        <w:rPr>
          <w:rFonts w:ascii="Arial" w:hAnsi="Arial"/>
          <w:snapToGrid w:val="0"/>
          <w:sz w:val="24"/>
          <w:u w:val="single"/>
        </w:rPr>
        <w:tab/>
      </w:r>
      <w:r>
        <w:rPr>
          <w:rFonts w:ascii="Arial" w:hAnsi="Arial"/>
          <w:snapToGrid w:val="0"/>
          <w:sz w:val="24"/>
        </w:rPr>
        <w:t>,</w:t>
      </w:r>
      <w:r>
        <w:rPr>
          <w:rFonts w:ascii="Arial" w:hAnsi="Arial"/>
          <w:snapToGrid w:val="0"/>
          <w:sz w:val="24"/>
        </w:rPr>
        <w:tab/>
        <w:t>23.10.2020</w:t>
      </w:r>
      <w:r>
        <w:rPr>
          <w:rFonts w:ascii="Arial" w:hAnsi="Arial"/>
          <w:snapToGrid w:val="0"/>
          <w:sz w:val="24"/>
          <w:u w:val="single"/>
        </w:rPr>
        <w:tab/>
      </w:r>
      <w:r>
        <w:rPr>
          <w:rFonts w:ascii="Arial" w:hAnsi="Arial"/>
          <w:snapToGrid w:val="0"/>
          <w:sz w:val="24"/>
        </w:rPr>
        <w:tab/>
        <w:t>Volker Bouffier</w:t>
      </w:r>
      <w:r>
        <w:rPr>
          <w:rFonts w:ascii="Arial" w:hAnsi="Arial"/>
          <w:snapToGrid w:val="0"/>
          <w:sz w:val="24"/>
          <w:u w:val="single"/>
        </w:rPr>
        <w:tab/>
      </w:r>
    </w:p>
    <w:p w14:paraId="7A055629" w14:textId="77777777" w:rsidR="00001328" w:rsidRDefault="00001328">
      <w:pPr>
        <w:widowControl w:val="0"/>
        <w:tabs>
          <w:tab w:val="left" w:pos="6804"/>
        </w:tabs>
        <w:spacing w:after="240" w:line="240" w:lineRule="auto"/>
        <w:ind w:left="567"/>
        <w:jc w:val="both"/>
        <w:rPr>
          <w:rFonts w:ascii="Arial" w:eastAsia="Times New Roman" w:hAnsi="Arial" w:cs="Arial"/>
          <w:snapToGrid w:val="0"/>
          <w:sz w:val="24"/>
          <w:szCs w:val="24"/>
          <w:lang w:eastAsia="de-DE"/>
        </w:rPr>
      </w:pPr>
    </w:p>
    <w:p w14:paraId="39C758C2" w14:textId="77777777" w:rsidR="00001328" w:rsidRDefault="00A4265D">
      <w:pPr>
        <w:widowControl w:val="0"/>
        <w:tabs>
          <w:tab w:val="left" w:pos="6804"/>
        </w:tabs>
        <w:spacing w:after="480" w:line="240" w:lineRule="auto"/>
        <w:ind w:left="567"/>
        <w:jc w:val="both"/>
        <w:rPr>
          <w:rFonts w:ascii="Arial" w:eastAsia="Times New Roman" w:hAnsi="Arial" w:cs="Arial"/>
          <w:snapToGrid w:val="0"/>
          <w:sz w:val="24"/>
          <w:szCs w:val="24"/>
        </w:rPr>
      </w:pPr>
      <w:r>
        <w:rPr>
          <w:rFonts w:ascii="Arial" w:hAnsi="Arial"/>
          <w:snapToGrid w:val="0"/>
          <w:sz w:val="24"/>
        </w:rPr>
        <w:t>Pour le Land de Mecklembourg-Poméranie occidentale</w:t>
      </w:r>
    </w:p>
    <w:p w14:paraId="2FA4D9AD" w14:textId="77777777" w:rsidR="00001328" w:rsidRDefault="00A4265D">
      <w:pPr>
        <w:widowControl w:val="0"/>
        <w:tabs>
          <w:tab w:val="left" w:pos="3402"/>
          <w:tab w:val="left" w:pos="4111"/>
          <w:tab w:val="left" w:pos="6237"/>
          <w:tab w:val="left" w:pos="6521"/>
          <w:tab w:val="right" w:pos="9899"/>
        </w:tabs>
        <w:spacing w:after="240" w:line="240" w:lineRule="auto"/>
        <w:ind w:left="567"/>
        <w:jc w:val="both"/>
        <w:rPr>
          <w:rFonts w:ascii="Arial" w:eastAsia="Times New Roman" w:hAnsi="Arial" w:cs="Arial"/>
          <w:snapToGrid w:val="0"/>
          <w:sz w:val="24"/>
          <w:szCs w:val="24"/>
        </w:rPr>
      </w:pPr>
      <w:r>
        <w:rPr>
          <w:rFonts w:ascii="Arial" w:hAnsi="Arial"/>
          <w:snapToGrid w:val="0"/>
          <w:sz w:val="24"/>
          <w:u w:val="single"/>
        </w:rPr>
        <w:t>Schwerin</w:t>
      </w:r>
      <w:r>
        <w:rPr>
          <w:rFonts w:ascii="Arial" w:hAnsi="Arial"/>
          <w:snapToGrid w:val="0"/>
          <w:sz w:val="24"/>
          <w:u w:val="single"/>
        </w:rPr>
        <w:tab/>
      </w:r>
      <w:r>
        <w:rPr>
          <w:rFonts w:ascii="Arial" w:hAnsi="Arial"/>
          <w:snapToGrid w:val="0"/>
          <w:sz w:val="24"/>
        </w:rPr>
        <w:t>,</w:t>
      </w:r>
      <w:r>
        <w:rPr>
          <w:rFonts w:ascii="Arial" w:hAnsi="Arial"/>
          <w:snapToGrid w:val="0"/>
          <w:sz w:val="24"/>
          <w:u w:val="single"/>
        </w:rPr>
        <w:tab/>
        <w:t>23.10.2020</w:t>
      </w:r>
      <w:r>
        <w:rPr>
          <w:rFonts w:ascii="Arial" w:hAnsi="Arial"/>
          <w:snapToGrid w:val="0"/>
          <w:sz w:val="24"/>
          <w:u w:val="single"/>
        </w:rPr>
        <w:tab/>
      </w:r>
      <w:r>
        <w:rPr>
          <w:rFonts w:ascii="Arial" w:hAnsi="Arial"/>
          <w:snapToGrid w:val="0"/>
          <w:sz w:val="24"/>
        </w:rPr>
        <w:tab/>
        <w:t>Manuela Schwesig</w:t>
      </w:r>
      <w:r>
        <w:rPr>
          <w:rFonts w:ascii="Arial" w:hAnsi="Arial"/>
          <w:snapToGrid w:val="0"/>
          <w:sz w:val="24"/>
          <w:u w:val="single"/>
        </w:rPr>
        <w:tab/>
      </w:r>
    </w:p>
    <w:p w14:paraId="623F9B76" w14:textId="77777777" w:rsidR="00001328" w:rsidRDefault="00A4265D">
      <w:pPr>
        <w:rPr>
          <w:rFonts w:ascii="Arial" w:eastAsia="Times New Roman" w:hAnsi="Arial" w:cs="Arial"/>
          <w:snapToGrid w:val="0"/>
          <w:sz w:val="24"/>
          <w:szCs w:val="24"/>
        </w:rPr>
      </w:pPr>
      <w:r>
        <w:br w:type="page"/>
      </w:r>
    </w:p>
    <w:p w14:paraId="3D3BE0FF" w14:textId="77777777" w:rsidR="00001328" w:rsidRDefault="00001328">
      <w:pPr>
        <w:widowControl w:val="0"/>
        <w:tabs>
          <w:tab w:val="left" w:pos="6804"/>
        </w:tabs>
        <w:spacing w:after="240" w:line="240" w:lineRule="auto"/>
        <w:ind w:left="567"/>
        <w:jc w:val="both"/>
        <w:rPr>
          <w:rFonts w:ascii="Arial" w:eastAsia="Times New Roman" w:hAnsi="Arial" w:cs="Arial"/>
          <w:snapToGrid w:val="0"/>
          <w:sz w:val="24"/>
          <w:szCs w:val="24"/>
          <w:lang w:eastAsia="de-DE"/>
        </w:rPr>
      </w:pPr>
    </w:p>
    <w:p w14:paraId="3D337C64" w14:textId="77777777" w:rsidR="00001328" w:rsidRDefault="00001328">
      <w:pPr>
        <w:spacing w:after="0" w:line="240" w:lineRule="auto"/>
        <w:rPr>
          <w:rFonts w:ascii="Arial" w:eastAsia="Times New Roman" w:hAnsi="Arial" w:cs="Arial"/>
          <w:sz w:val="20"/>
          <w:szCs w:val="24"/>
          <w:lang w:eastAsia="de-DE"/>
        </w:rPr>
      </w:pPr>
    </w:p>
    <w:p w14:paraId="7B37D56D" w14:textId="77777777" w:rsidR="00001328" w:rsidRDefault="00A4265D">
      <w:pPr>
        <w:widowControl w:val="0"/>
        <w:tabs>
          <w:tab w:val="left" w:pos="6804"/>
        </w:tabs>
        <w:spacing w:after="480" w:line="240" w:lineRule="auto"/>
        <w:ind w:left="567"/>
        <w:jc w:val="both"/>
        <w:rPr>
          <w:rFonts w:ascii="Arial" w:eastAsia="Times New Roman" w:hAnsi="Arial" w:cs="Arial"/>
          <w:snapToGrid w:val="0"/>
          <w:sz w:val="24"/>
          <w:szCs w:val="24"/>
        </w:rPr>
      </w:pPr>
      <w:r>
        <w:rPr>
          <w:rFonts w:ascii="Arial" w:hAnsi="Arial"/>
          <w:snapToGrid w:val="0"/>
          <w:sz w:val="24"/>
        </w:rPr>
        <w:t>Pour le Land de Basse-Saxe</w:t>
      </w:r>
    </w:p>
    <w:p w14:paraId="2803B348" w14:textId="77777777" w:rsidR="00001328" w:rsidRDefault="00A4265D">
      <w:pPr>
        <w:widowControl w:val="0"/>
        <w:tabs>
          <w:tab w:val="left" w:pos="3402"/>
          <w:tab w:val="left" w:pos="4111"/>
          <w:tab w:val="left" w:pos="6237"/>
          <w:tab w:val="left" w:pos="6521"/>
          <w:tab w:val="right" w:pos="9899"/>
        </w:tabs>
        <w:spacing w:after="240" w:line="240" w:lineRule="auto"/>
        <w:ind w:left="567"/>
        <w:jc w:val="both"/>
        <w:rPr>
          <w:rFonts w:ascii="Arial" w:eastAsia="Times New Roman" w:hAnsi="Arial" w:cs="Arial"/>
          <w:snapToGrid w:val="0"/>
          <w:sz w:val="24"/>
          <w:szCs w:val="24"/>
        </w:rPr>
      </w:pPr>
      <w:r>
        <w:rPr>
          <w:rFonts w:ascii="Arial" w:hAnsi="Arial"/>
          <w:snapToGrid w:val="0"/>
          <w:sz w:val="24"/>
        </w:rPr>
        <w:t>Hanover</w:t>
      </w:r>
      <w:r>
        <w:rPr>
          <w:rFonts w:ascii="Arial" w:hAnsi="Arial"/>
          <w:snapToGrid w:val="0"/>
          <w:sz w:val="24"/>
          <w:u w:val="single"/>
        </w:rPr>
        <w:tab/>
      </w:r>
      <w:r>
        <w:rPr>
          <w:rFonts w:ascii="Arial" w:hAnsi="Arial"/>
          <w:snapToGrid w:val="0"/>
          <w:sz w:val="24"/>
        </w:rPr>
        <w:t>,</w:t>
      </w:r>
      <w:r>
        <w:rPr>
          <w:rFonts w:ascii="Arial" w:hAnsi="Arial"/>
          <w:snapToGrid w:val="0"/>
          <w:sz w:val="24"/>
        </w:rPr>
        <w:tab/>
        <w:t>26.10.2020</w:t>
      </w:r>
      <w:r>
        <w:rPr>
          <w:rFonts w:ascii="Arial" w:hAnsi="Arial"/>
          <w:snapToGrid w:val="0"/>
          <w:sz w:val="24"/>
          <w:u w:val="single"/>
        </w:rPr>
        <w:tab/>
      </w:r>
      <w:r>
        <w:rPr>
          <w:rFonts w:ascii="Arial" w:hAnsi="Arial"/>
          <w:snapToGrid w:val="0"/>
          <w:sz w:val="24"/>
        </w:rPr>
        <w:tab/>
        <w:t>Stephan Weil</w:t>
      </w:r>
      <w:r>
        <w:rPr>
          <w:rFonts w:ascii="Arial" w:hAnsi="Arial"/>
          <w:snapToGrid w:val="0"/>
          <w:sz w:val="24"/>
          <w:u w:val="single"/>
        </w:rPr>
        <w:tab/>
      </w:r>
    </w:p>
    <w:p w14:paraId="31018E39" w14:textId="77777777" w:rsidR="00001328" w:rsidRDefault="00001328">
      <w:pPr>
        <w:widowControl w:val="0"/>
        <w:tabs>
          <w:tab w:val="left" w:pos="6804"/>
        </w:tabs>
        <w:spacing w:after="240" w:line="240" w:lineRule="auto"/>
        <w:ind w:left="567"/>
        <w:jc w:val="both"/>
        <w:rPr>
          <w:rFonts w:ascii="Arial" w:eastAsia="Times New Roman" w:hAnsi="Arial" w:cs="Arial"/>
          <w:snapToGrid w:val="0"/>
          <w:sz w:val="24"/>
          <w:szCs w:val="24"/>
          <w:lang w:eastAsia="de-DE"/>
        </w:rPr>
      </w:pPr>
    </w:p>
    <w:p w14:paraId="23B9FBF9" w14:textId="77777777" w:rsidR="00001328" w:rsidRDefault="00A4265D">
      <w:pPr>
        <w:widowControl w:val="0"/>
        <w:tabs>
          <w:tab w:val="left" w:pos="6804"/>
        </w:tabs>
        <w:spacing w:after="480" w:line="240" w:lineRule="auto"/>
        <w:ind w:left="567"/>
        <w:jc w:val="both"/>
        <w:rPr>
          <w:rFonts w:ascii="Arial" w:eastAsia="Times New Roman" w:hAnsi="Arial" w:cs="Arial"/>
          <w:snapToGrid w:val="0"/>
          <w:sz w:val="24"/>
          <w:szCs w:val="24"/>
        </w:rPr>
      </w:pPr>
      <w:r>
        <w:rPr>
          <w:rFonts w:ascii="Arial" w:hAnsi="Arial"/>
          <w:snapToGrid w:val="0"/>
          <w:sz w:val="24"/>
        </w:rPr>
        <w:t>Pour l’État fédéral de Rhénanie-du-Nord-Westphalie,</w:t>
      </w:r>
    </w:p>
    <w:p w14:paraId="31043C13" w14:textId="77777777" w:rsidR="00001328" w:rsidRDefault="00A4265D">
      <w:pPr>
        <w:widowControl w:val="0"/>
        <w:tabs>
          <w:tab w:val="left" w:pos="3402"/>
          <w:tab w:val="left" w:pos="4111"/>
          <w:tab w:val="left" w:pos="6237"/>
          <w:tab w:val="left" w:pos="6521"/>
          <w:tab w:val="right" w:pos="9899"/>
        </w:tabs>
        <w:spacing w:after="240" w:line="240" w:lineRule="auto"/>
        <w:ind w:left="567"/>
        <w:jc w:val="both"/>
        <w:rPr>
          <w:rFonts w:ascii="Arial" w:eastAsia="Times New Roman" w:hAnsi="Arial" w:cs="Arial"/>
          <w:snapToGrid w:val="0"/>
          <w:sz w:val="24"/>
          <w:szCs w:val="24"/>
        </w:rPr>
      </w:pPr>
      <w:r>
        <w:rPr>
          <w:rFonts w:ascii="Arial" w:hAnsi="Arial"/>
          <w:snapToGrid w:val="0"/>
          <w:sz w:val="24"/>
          <w:u w:val="single"/>
        </w:rPr>
        <w:t>Düsseldorf</w:t>
      </w:r>
      <w:r>
        <w:rPr>
          <w:rFonts w:ascii="Arial" w:hAnsi="Arial"/>
          <w:snapToGrid w:val="0"/>
          <w:sz w:val="24"/>
          <w:u w:val="single"/>
        </w:rPr>
        <w:tab/>
      </w:r>
      <w:r>
        <w:rPr>
          <w:rFonts w:ascii="Arial" w:hAnsi="Arial"/>
          <w:snapToGrid w:val="0"/>
          <w:sz w:val="24"/>
        </w:rPr>
        <w:t>,</w:t>
      </w:r>
      <w:r>
        <w:rPr>
          <w:rFonts w:ascii="Arial" w:hAnsi="Arial"/>
          <w:snapToGrid w:val="0"/>
          <w:sz w:val="24"/>
        </w:rPr>
        <w:tab/>
        <w:t>23.10.2020</w:t>
      </w:r>
      <w:r>
        <w:rPr>
          <w:rFonts w:ascii="Arial" w:hAnsi="Arial"/>
          <w:snapToGrid w:val="0"/>
          <w:sz w:val="24"/>
          <w:u w:val="single"/>
        </w:rPr>
        <w:tab/>
      </w:r>
      <w:r>
        <w:rPr>
          <w:rFonts w:ascii="Arial" w:hAnsi="Arial"/>
          <w:snapToGrid w:val="0"/>
          <w:sz w:val="24"/>
        </w:rPr>
        <w:tab/>
        <w:t>Armin Laschet</w:t>
      </w:r>
      <w:r>
        <w:rPr>
          <w:rFonts w:ascii="Arial" w:hAnsi="Arial"/>
          <w:snapToGrid w:val="0"/>
          <w:sz w:val="24"/>
          <w:u w:val="single"/>
        </w:rPr>
        <w:tab/>
      </w:r>
    </w:p>
    <w:p w14:paraId="0A817CB9" w14:textId="77777777" w:rsidR="00001328" w:rsidRDefault="00001328">
      <w:pPr>
        <w:widowControl w:val="0"/>
        <w:tabs>
          <w:tab w:val="left" w:pos="6379"/>
          <w:tab w:val="left" w:pos="6804"/>
        </w:tabs>
        <w:spacing w:after="240" w:line="240" w:lineRule="auto"/>
        <w:ind w:left="567"/>
        <w:jc w:val="both"/>
        <w:rPr>
          <w:rFonts w:ascii="Arial" w:eastAsia="Times New Roman" w:hAnsi="Arial" w:cs="Arial"/>
          <w:snapToGrid w:val="0"/>
          <w:sz w:val="24"/>
          <w:szCs w:val="24"/>
          <w:lang w:eastAsia="de-DE"/>
        </w:rPr>
      </w:pPr>
    </w:p>
    <w:p w14:paraId="249A7430" w14:textId="77777777" w:rsidR="00001328" w:rsidRDefault="00A4265D">
      <w:pPr>
        <w:widowControl w:val="0"/>
        <w:tabs>
          <w:tab w:val="left" w:pos="6379"/>
          <w:tab w:val="left" w:pos="6804"/>
        </w:tabs>
        <w:spacing w:after="480" w:line="240" w:lineRule="auto"/>
        <w:ind w:left="567"/>
        <w:jc w:val="both"/>
        <w:rPr>
          <w:rFonts w:ascii="Arial" w:eastAsia="Times New Roman" w:hAnsi="Arial" w:cs="Arial"/>
          <w:snapToGrid w:val="0"/>
          <w:sz w:val="24"/>
          <w:szCs w:val="24"/>
        </w:rPr>
      </w:pPr>
      <w:r>
        <w:rPr>
          <w:rFonts w:ascii="Arial" w:hAnsi="Arial"/>
          <w:snapToGrid w:val="0"/>
          <w:sz w:val="24"/>
        </w:rPr>
        <w:t>Pour le Land de Rhénanie-Palatinat</w:t>
      </w:r>
    </w:p>
    <w:p w14:paraId="54682B01" w14:textId="4BF81E98" w:rsidR="00001328" w:rsidRDefault="00A4265D">
      <w:pPr>
        <w:widowControl w:val="0"/>
        <w:tabs>
          <w:tab w:val="left" w:pos="3402"/>
          <w:tab w:val="left" w:pos="4111"/>
          <w:tab w:val="left" w:pos="6237"/>
          <w:tab w:val="left" w:pos="6521"/>
          <w:tab w:val="right" w:pos="9899"/>
        </w:tabs>
        <w:spacing w:after="240" w:line="240" w:lineRule="auto"/>
        <w:ind w:left="567"/>
        <w:jc w:val="both"/>
        <w:rPr>
          <w:rFonts w:ascii="Arial" w:eastAsia="Times New Roman" w:hAnsi="Arial" w:cs="Arial"/>
          <w:snapToGrid w:val="0"/>
          <w:sz w:val="24"/>
          <w:szCs w:val="24"/>
        </w:rPr>
      </w:pPr>
      <w:r>
        <w:rPr>
          <w:rFonts w:ascii="Arial" w:hAnsi="Arial"/>
          <w:snapToGrid w:val="0"/>
          <w:sz w:val="24"/>
        </w:rPr>
        <w:t>Mayence</w:t>
      </w:r>
      <w:r w:rsidR="002A4249">
        <w:rPr>
          <w:rFonts w:ascii="Arial" w:hAnsi="Arial"/>
          <w:snapToGrid w:val="0"/>
          <w:sz w:val="24"/>
        </w:rPr>
        <w:t>______________,</w:t>
      </w:r>
      <w:r>
        <w:rPr>
          <w:rFonts w:ascii="Arial" w:hAnsi="Arial"/>
          <w:snapToGrid w:val="0"/>
          <w:sz w:val="24"/>
        </w:rPr>
        <w:tab/>
        <w:t>27.10.2020</w:t>
      </w:r>
      <w:r w:rsidR="002A4249">
        <w:rPr>
          <w:rFonts w:ascii="Arial" w:hAnsi="Arial"/>
          <w:snapToGrid w:val="0"/>
          <w:sz w:val="24"/>
        </w:rPr>
        <w:t>______</w:t>
      </w:r>
      <w:r>
        <w:rPr>
          <w:rFonts w:ascii="Arial" w:hAnsi="Arial"/>
          <w:snapToGrid w:val="0"/>
          <w:sz w:val="24"/>
        </w:rPr>
        <w:tab/>
        <w:t>Malu Dreyer</w:t>
      </w:r>
      <w:r>
        <w:rPr>
          <w:rFonts w:ascii="Arial" w:hAnsi="Arial"/>
          <w:snapToGrid w:val="0"/>
          <w:sz w:val="24"/>
          <w:u w:val="single"/>
        </w:rPr>
        <w:tab/>
      </w:r>
    </w:p>
    <w:p w14:paraId="3B46AFD6" w14:textId="77777777" w:rsidR="00001328" w:rsidRDefault="00001328">
      <w:pPr>
        <w:widowControl w:val="0"/>
        <w:tabs>
          <w:tab w:val="left" w:pos="6804"/>
        </w:tabs>
        <w:spacing w:after="240" w:line="240" w:lineRule="auto"/>
        <w:ind w:left="567"/>
        <w:jc w:val="both"/>
        <w:rPr>
          <w:rFonts w:ascii="Arial" w:eastAsia="Times New Roman" w:hAnsi="Arial" w:cs="Arial"/>
          <w:snapToGrid w:val="0"/>
          <w:sz w:val="24"/>
          <w:szCs w:val="24"/>
          <w:lang w:eastAsia="de-DE"/>
        </w:rPr>
      </w:pPr>
    </w:p>
    <w:p w14:paraId="21D482DB" w14:textId="77777777" w:rsidR="00001328" w:rsidRDefault="00A4265D">
      <w:pPr>
        <w:widowControl w:val="0"/>
        <w:tabs>
          <w:tab w:val="left" w:pos="6804"/>
        </w:tabs>
        <w:spacing w:after="480" w:line="240" w:lineRule="auto"/>
        <w:ind w:left="567"/>
        <w:jc w:val="both"/>
        <w:rPr>
          <w:rFonts w:ascii="Arial" w:eastAsia="Times New Roman" w:hAnsi="Arial" w:cs="Arial"/>
          <w:snapToGrid w:val="0"/>
          <w:sz w:val="24"/>
          <w:szCs w:val="24"/>
        </w:rPr>
      </w:pPr>
      <w:r>
        <w:rPr>
          <w:rFonts w:ascii="Arial" w:hAnsi="Arial"/>
          <w:snapToGrid w:val="0"/>
          <w:sz w:val="24"/>
        </w:rPr>
        <w:t>Pour le Land de la Sarre</w:t>
      </w:r>
    </w:p>
    <w:p w14:paraId="70ACC46D" w14:textId="77777777" w:rsidR="00001328" w:rsidRDefault="00A4265D">
      <w:pPr>
        <w:widowControl w:val="0"/>
        <w:tabs>
          <w:tab w:val="left" w:pos="3402"/>
          <w:tab w:val="left" w:pos="4111"/>
          <w:tab w:val="left" w:pos="6237"/>
          <w:tab w:val="left" w:pos="6521"/>
          <w:tab w:val="right" w:pos="9899"/>
        </w:tabs>
        <w:spacing w:after="240" w:line="240" w:lineRule="auto"/>
        <w:ind w:left="567"/>
        <w:jc w:val="both"/>
        <w:rPr>
          <w:rFonts w:ascii="Arial" w:eastAsia="Times New Roman" w:hAnsi="Arial" w:cs="Arial"/>
          <w:snapToGrid w:val="0"/>
          <w:sz w:val="24"/>
          <w:szCs w:val="24"/>
        </w:rPr>
      </w:pPr>
      <w:r>
        <w:rPr>
          <w:rFonts w:ascii="Arial" w:hAnsi="Arial"/>
          <w:snapToGrid w:val="0"/>
          <w:sz w:val="24"/>
          <w:u w:val="single"/>
        </w:rPr>
        <w:t>Saarbrück</w:t>
      </w:r>
      <w:r>
        <w:rPr>
          <w:rFonts w:ascii="Arial" w:hAnsi="Arial"/>
          <w:snapToGrid w:val="0"/>
          <w:sz w:val="24"/>
          <w:u w:val="single"/>
        </w:rPr>
        <w:tab/>
      </w:r>
      <w:r>
        <w:rPr>
          <w:rFonts w:ascii="Arial" w:hAnsi="Arial"/>
          <w:snapToGrid w:val="0"/>
          <w:sz w:val="24"/>
        </w:rPr>
        <w:t>,</w:t>
      </w:r>
      <w:r>
        <w:rPr>
          <w:rFonts w:ascii="Arial" w:hAnsi="Arial"/>
          <w:snapToGrid w:val="0"/>
          <w:sz w:val="24"/>
        </w:rPr>
        <w:tab/>
        <w:t>29.10.2020</w:t>
      </w:r>
      <w:r>
        <w:rPr>
          <w:rFonts w:ascii="Arial" w:hAnsi="Arial"/>
          <w:snapToGrid w:val="0"/>
          <w:sz w:val="24"/>
          <w:u w:val="single"/>
        </w:rPr>
        <w:tab/>
      </w:r>
      <w:r>
        <w:rPr>
          <w:rFonts w:ascii="Arial" w:hAnsi="Arial"/>
          <w:snapToGrid w:val="0"/>
          <w:sz w:val="24"/>
        </w:rPr>
        <w:tab/>
        <w:t>Tobias Hans</w:t>
      </w:r>
      <w:r>
        <w:rPr>
          <w:rFonts w:ascii="Arial" w:hAnsi="Arial"/>
          <w:snapToGrid w:val="0"/>
          <w:sz w:val="24"/>
          <w:u w:val="single"/>
        </w:rPr>
        <w:tab/>
      </w:r>
    </w:p>
    <w:p w14:paraId="2EF884A2" w14:textId="77777777" w:rsidR="00001328" w:rsidRDefault="00001328">
      <w:pPr>
        <w:widowControl w:val="0"/>
        <w:tabs>
          <w:tab w:val="left" w:pos="6804"/>
        </w:tabs>
        <w:spacing w:after="240" w:line="240" w:lineRule="auto"/>
        <w:ind w:left="567"/>
        <w:jc w:val="both"/>
        <w:rPr>
          <w:rFonts w:ascii="Arial" w:eastAsia="Times New Roman" w:hAnsi="Arial" w:cs="Arial"/>
          <w:snapToGrid w:val="0"/>
          <w:sz w:val="24"/>
          <w:szCs w:val="24"/>
          <w:lang w:eastAsia="de-DE"/>
        </w:rPr>
      </w:pPr>
    </w:p>
    <w:p w14:paraId="0F04F839" w14:textId="77777777" w:rsidR="00001328" w:rsidRDefault="00A4265D">
      <w:pPr>
        <w:widowControl w:val="0"/>
        <w:tabs>
          <w:tab w:val="left" w:pos="3402"/>
          <w:tab w:val="left" w:pos="4111"/>
          <w:tab w:val="left" w:pos="6379"/>
          <w:tab w:val="left" w:pos="6804"/>
        </w:tabs>
        <w:spacing w:after="480" w:line="240" w:lineRule="auto"/>
        <w:ind w:left="567"/>
        <w:jc w:val="both"/>
        <w:rPr>
          <w:rFonts w:ascii="Arial" w:eastAsia="Times New Roman" w:hAnsi="Arial" w:cs="Arial"/>
          <w:snapToGrid w:val="0"/>
          <w:sz w:val="24"/>
          <w:szCs w:val="24"/>
        </w:rPr>
      </w:pPr>
      <w:r>
        <w:rPr>
          <w:rFonts w:ascii="Arial" w:hAnsi="Arial"/>
          <w:snapToGrid w:val="0"/>
          <w:sz w:val="24"/>
        </w:rPr>
        <w:t>Pour l’État libre de Saxe</w:t>
      </w:r>
    </w:p>
    <w:p w14:paraId="4CB34D1E" w14:textId="77777777" w:rsidR="00001328" w:rsidRDefault="00A4265D">
      <w:pPr>
        <w:widowControl w:val="0"/>
        <w:tabs>
          <w:tab w:val="left" w:pos="3402"/>
          <w:tab w:val="left" w:pos="4111"/>
          <w:tab w:val="left" w:pos="5954"/>
          <w:tab w:val="left" w:pos="6237"/>
          <w:tab w:val="left" w:pos="6521"/>
          <w:tab w:val="right" w:pos="9899"/>
        </w:tabs>
        <w:spacing w:after="240" w:line="240" w:lineRule="auto"/>
        <w:ind w:left="567"/>
        <w:jc w:val="both"/>
        <w:rPr>
          <w:rFonts w:ascii="Arial" w:eastAsia="Times New Roman" w:hAnsi="Arial" w:cs="Arial"/>
          <w:snapToGrid w:val="0"/>
          <w:sz w:val="24"/>
          <w:szCs w:val="24"/>
        </w:rPr>
      </w:pPr>
      <w:r>
        <w:rPr>
          <w:rFonts w:ascii="Arial" w:hAnsi="Arial"/>
          <w:snapToGrid w:val="0"/>
          <w:sz w:val="24"/>
          <w:u w:val="single"/>
        </w:rPr>
        <w:t>Dresde</w:t>
      </w:r>
      <w:r>
        <w:rPr>
          <w:rFonts w:ascii="Arial" w:hAnsi="Arial"/>
          <w:snapToGrid w:val="0"/>
          <w:sz w:val="24"/>
          <w:u w:val="single"/>
        </w:rPr>
        <w:tab/>
      </w:r>
      <w:r>
        <w:rPr>
          <w:rFonts w:ascii="Arial" w:hAnsi="Arial"/>
          <w:snapToGrid w:val="0"/>
          <w:sz w:val="24"/>
        </w:rPr>
        <w:t>,</w:t>
      </w:r>
      <w:r>
        <w:rPr>
          <w:rFonts w:ascii="Arial" w:hAnsi="Arial"/>
          <w:snapToGrid w:val="0"/>
          <w:sz w:val="24"/>
        </w:rPr>
        <w:tab/>
        <w:t>27.10.2020</w:t>
      </w:r>
      <w:r>
        <w:rPr>
          <w:rFonts w:ascii="Arial" w:hAnsi="Arial"/>
          <w:snapToGrid w:val="0"/>
          <w:sz w:val="24"/>
          <w:u w:val="single"/>
        </w:rPr>
        <w:tab/>
      </w:r>
      <w:r>
        <w:rPr>
          <w:rFonts w:ascii="Arial" w:hAnsi="Arial"/>
          <w:snapToGrid w:val="0"/>
          <w:sz w:val="24"/>
          <w:u w:val="single"/>
        </w:rPr>
        <w:tab/>
      </w:r>
      <w:r>
        <w:rPr>
          <w:rFonts w:ascii="Arial" w:hAnsi="Arial"/>
          <w:snapToGrid w:val="0"/>
          <w:sz w:val="24"/>
        </w:rPr>
        <w:tab/>
        <w:t>Michael Kretschmer</w:t>
      </w:r>
      <w:r>
        <w:rPr>
          <w:rFonts w:ascii="Arial" w:hAnsi="Arial"/>
          <w:snapToGrid w:val="0"/>
          <w:sz w:val="24"/>
          <w:u w:val="single"/>
        </w:rPr>
        <w:tab/>
      </w:r>
    </w:p>
    <w:p w14:paraId="15A24A66" w14:textId="77777777" w:rsidR="00001328" w:rsidRDefault="00001328">
      <w:pPr>
        <w:widowControl w:val="0"/>
        <w:tabs>
          <w:tab w:val="left" w:pos="3402"/>
          <w:tab w:val="left" w:pos="4111"/>
          <w:tab w:val="left" w:pos="6379"/>
          <w:tab w:val="left" w:pos="6804"/>
        </w:tabs>
        <w:spacing w:after="240" w:line="240" w:lineRule="auto"/>
        <w:ind w:left="567"/>
        <w:jc w:val="both"/>
        <w:rPr>
          <w:rFonts w:ascii="Arial" w:eastAsia="Times New Roman" w:hAnsi="Arial" w:cs="Arial"/>
          <w:b/>
          <w:snapToGrid w:val="0"/>
          <w:sz w:val="24"/>
          <w:szCs w:val="24"/>
          <w:lang w:eastAsia="de-DE"/>
        </w:rPr>
      </w:pPr>
    </w:p>
    <w:p w14:paraId="0E0CDE02" w14:textId="77777777" w:rsidR="00001328" w:rsidRDefault="00A4265D">
      <w:pPr>
        <w:widowControl w:val="0"/>
        <w:tabs>
          <w:tab w:val="left" w:pos="3402"/>
          <w:tab w:val="left" w:pos="4111"/>
          <w:tab w:val="left" w:pos="6379"/>
          <w:tab w:val="left" w:pos="6804"/>
        </w:tabs>
        <w:spacing w:after="480" w:line="240" w:lineRule="auto"/>
        <w:ind w:left="567"/>
        <w:jc w:val="both"/>
        <w:rPr>
          <w:rFonts w:ascii="Arial" w:eastAsia="Times New Roman" w:hAnsi="Arial" w:cs="Arial"/>
          <w:snapToGrid w:val="0"/>
          <w:sz w:val="24"/>
          <w:szCs w:val="24"/>
        </w:rPr>
      </w:pPr>
      <w:r>
        <w:rPr>
          <w:rFonts w:ascii="Arial" w:hAnsi="Arial"/>
          <w:snapToGrid w:val="0"/>
          <w:sz w:val="24"/>
        </w:rPr>
        <w:t>Pour le Land de Saxe-Anhalt</w:t>
      </w:r>
    </w:p>
    <w:p w14:paraId="1EADB9FC" w14:textId="08BA9586" w:rsidR="00001328" w:rsidRDefault="00A4265D">
      <w:pPr>
        <w:widowControl w:val="0"/>
        <w:tabs>
          <w:tab w:val="left" w:pos="3402"/>
          <w:tab w:val="left" w:pos="4111"/>
          <w:tab w:val="left" w:pos="6237"/>
          <w:tab w:val="left" w:pos="6521"/>
          <w:tab w:val="right" w:pos="9899"/>
        </w:tabs>
        <w:spacing w:after="240" w:line="240" w:lineRule="auto"/>
        <w:ind w:left="567"/>
        <w:jc w:val="both"/>
        <w:rPr>
          <w:rFonts w:ascii="Arial" w:eastAsia="Times New Roman" w:hAnsi="Arial" w:cs="Arial"/>
          <w:snapToGrid w:val="0"/>
          <w:sz w:val="24"/>
          <w:szCs w:val="24"/>
        </w:rPr>
      </w:pPr>
      <w:r>
        <w:rPr>
          <w:rFonts w:ascii="Arial" w:hAnsi="Arial"/>
          <w:snapToGrid w:val="0"/>
          <w:sz w:val="24"/>
        </w:rPr>
        <w:t>Magdebourg</w:t>
      </w:r>
      <w:r>
        <w:rPr>
          <w:rFonts w:ascii="Arial" w:hAnsi="Arial"/>
          <w:snapToGrid w:val="0"/>
          <w:sz w:val="24"/>
          <w:u w:val="single"/>
        </w:rPr>
        <w:tab/>
      </w:r>
      <w:r>
        <w:rPr>
          <w:rFonts w:ascii="Arial" w:hAnsi="Arial"/>
          <w:snapToGrid w:val="0"/>
          <w:sz w:val="24"/>
        </w:rPr>
        <w:t>,</w:t>
      </w:r>
      <w:r>
        <w:rPr>
          <w:rFonts w:ascii="Arial" w:hAnsi="Arial"/>
          <w:snapToGrid w:val="0"/>
          <w:sz w:val="24"/>
        </w:rPr>
        <w:tab/>
        <w:t>29.10.2020</w:t>
      </w:r>
      <w:r>
        <w:rPr>
          <w:rFonts w:ascii="Arial" w:hAnsi="Arial"/>
          <w:snapToGrid w:val="0"/>
          <w:sz w:val="24"/>
          <w:u w:val="single"/>
        </w:rPr>
        <w:tab/>
      </w:r>
      <w:r>
        <w:rPr>
          <w:rFonts w:ascii="Arial" w:hAnsi="Arial"/>
          <w:snapToGrid w:val="0"/>
          <w:sz w:val="24"/>
        </w:rPr>
        <w:tab/>
        <w:t>Reiner Haseloff</w:t>
      </w:r>
      <w:r>
        <w:rPr>
          <w:rFonts w:ascii="Arial" w:hAnsi="Arial"/>
          <w:snapToGrid w:val="0"/>
          <w:sz w:val="24"/>
          <w:u w:val="single"/>
        </w:rPr>
        <w:tab/>
      </w:r>
    </w:p>
    <w:p w14:paraId="09C4C86D" w14:textId="77777777" w:rsidR="00001328" w:rsidRDefault="00001328">
      <w:pPr>
        <w:widowControl w:val="0"/>
        <w:tabs>
          <w:tab w:val="left" w:pos="6804"/>
        </w:tabs>
        <w:spacing w:after="240" w:line="240" w:lineRule="auto"/>
        <w:ind w:left="567"/>
        <w:jc w:val="both"/>
        <w:rPr>
          <w:rFonts w:ascii="Arial" w:eastAsia="Times New Roman" w:hAnsi="Arial" w:cs="Arial"/>
          <w:snapToGrid w:val="0"/>
          <w:sz w:val="24"/>
          <w:szCs w:val="24"/>
          <w:lang w:eastAsia="de-DE"/>
        </w:rPr>
      </w:pPr>
    </w:p>
    <w:p w14:paraId="5D49A2D6" w14:textId="77777777" w:rsidR="00001328" w:rsidRDefault="00A4265D">
      <w:pPr>
        <w:widowControl w:val="0"/>
        <w:tabs>
          <w:tab w:val="left" w:pos="6804"/>
        </w:tabs>
        <w:spacing w:after="480" w:line="240" w:lineRule="auto"/>
        <w:ind w:left="567"/>
        <w:jc w:val="both"/>
        <w:rPr>
          <w:rFonts w:ascii="Arial" w:eastAsia="Times New Roman" w:hAnsi="Arial" w:cs="Arial"/>
          <w:snapToGrid w:val="0"/>
          <w:sz w:val="24"/>
          <w:szCs w:val="24"/>
        </w:rPr>
      </w:pPr>
      <w:r>
        <w:rPr>
          <w:rFonts w:ascii="Arial" w:hAnsi="Arial"/>
          <w:snapToGrid w:val="0"/>
          <w:sz w:val="24"/>
        </w:rPr>
        <w:t>Pour le Land de Schleswig-Holstein et</w:t>
      </w:r>
    </w:p>
    <w:p w14:paraId="6CF8D025" w14:textId="77777777" w:rsidR="00001328" w:rsidRDefault="00A4265D">
      <w:pPr>
        <w:widowControl w:val="0"/>
        <w:tabs>
          <w:tab w:val="left" w:pos="3402"/>
          <w:tab w:val="left" w:pos="4111"/>
          <w:tab w:val="left" w:pos="6237"/>
          <w:tab w:val="left" w:pos="6521"/>
          <w:tab w:val="right" w:pos="9899"/>
        </w:tabs>
        <w:spacing w:after="240" w:line="240" w:lineRule="auto"/>
        <w:ind w:left="567"/>
        <w:jc w:val="both"/>
        <w:rPr>
          <w:rFonts w:ascii="Arial" w:eastAsia="Times New Roman" w:hAnsi="Arial" w:cs="Arial"/>
          <w:snapToGrid w:val="0"/>
          <w:sz w:val="24"/>
          <w:szCs w:val="24"/>
        </w:rPr>
      </w:pPr>
      <w:r>
        <w:rPr>
          <w:rFonts w:ascii="Arial" w:hAnsi="Arial"/>
          <w:snapToGrid w:val="0"/>
          <w:sz w:val="24"/>
          <w:u w:val="single"/>
        </w:rPr>
        <w:t>Kiel</w:t>
      </w:r>
      <w:r>
        <w:rPr>
          <w:rFonts w:ascii="Arial" w:hAnsi="Arial"/>
          <w:snapToGrid w:val="0"/>
          <w:sz w:val="24"/>
          <w:u w:val="single"/>
        </w:rPr>
        <w:tab/>
      </w:r>
      <w:r>
        <w:rPr>
          <w:rFonts w:ascii="Arial" w:hAnsi="Arial"/>
          <w:snapToGrid w:val="0"/>
          <w:sz w:val="24"/>
        </w:rPr>
        <w:t>,</w:t>
      </w:r>
      <w:r>
        <w:rPr>
          <w:rFonts w:ascii="Arial" w:hAnsi="Arial"/>
          <w:snapToGrid w:val="0"/>
          <w:sz w:val="24"/>
        </w:rPr>
        <w:tab/>
        <w:t>28.10.2020</w:t>
      </w:r>
      <w:r>
        <w:rPr>
          <w:rFonts w:ascii="Arial" w:hAnsi="Arial"/>
          <w:snapToGrid w:val="0"/>
          <w:sz w:val="24"/>
          <w:u w:val="single"/>
        </w:rPr>
        <w:tab/>
      </w:r>
      <w:r>
        <w:rPr>
          <w:rFonts w:ascii="Arial" w:hAnsi="Arial"/>
          <w:snapToGrid w:val="0"/>
          <w:sz w:val="24"/>
        </w:rPr>
        <w:tab/>
        <w:t>Daniel Günther</w:t>
      </w:r>
      <w:r>
        <w:rPr>
          <w:rFonts w:ascii="Arial" w:hAnsi="Arial"/>
          <w:snapToGrid w:val="0"/>
          <w:sz w:val="24"/>
          <w:u w:val="single"/>
        </w:rPr>
        <w:tab/>
      </w:r>
    </w:p>
    <w:p w14:paraId="20560491" w14:textId="77777777" w:rsidR="00001328" w:rsidRDefault="00001328">
      <w:pPr>
        <w:widowControl w:val="0"/>
        <w:tabs>
          <w:tab w:val="left" w:pos="6804"/>
        </w:tabs>
        <w:spacing w:after="240" w:line="240" w:lineRule="auto"/>
        <w:ind w:left="567"/>
        <w:jc w:val="both"/>
        <w:rPr>
          <w:rFonts w:ascii="Arial" w:eastAsia="Times New Roman" w:hAnsi="Arial" w:cs="Arial"/>
          <w:snapToGrid w:val="0"/>
          <w:sz w:val="24"/>
          <w:szCs w:val="24"/>
          <w:lang w:eastAsia="de-DE"/>
        </w:rPr>
      </w:pPr>
    </w:p>
    <w:p w14:paraId="1EFA0286" w14:textId="77777777" w:rsidR="00001328" w:rsidRDefault="00A4265D">
      <w:pPr>
        <w:widowControl w:val="0"/>
        <w:tabs>
          <w:tab w:val="left" w:pos="6804"/>
        </w:tabs>
        <w:spacing w:after="480" w:line="240" w:lineRule="auto"/>
        <w:ind w:left="567"/>
        <w:jc w:val="both"/>
        <w:rPr>
          <w:rFonts w:ascii="Arial" w:eastAsia="Times New Roman" w:hAnsi="Arial" w:cs="Arial"/>
          <w:snapToGrid w:val="0"/>
          <w:sz w:val="24"/>
          <w:szCs w:val="24"/>
        </w:rPr>
      </w:pPr>
      <w:r>
        <w:rPr>
          <w:rFonts w:ascii="Arial" w:hAnsi="Arial"/>
          <w:snapToGrid w:val="0"/>
          <w:sz w:val="24"/>
        </w:rPr>
        <w:t>Pour le Land de Thuringe</w:t>
      </w:r>
    </w:p>
    <w:p w14:paraId="783F8BF8" w14:textId="77777777" w:rsidR="00001328" w:rsidRDefault="00A4265D">
      <w:pPr>
        <w:widowControl w:val="0"/>
        <w:tabs>
          <w:tab w:val="left" w:pos="3402"/>
          <w:tab w:val="left" w:pos="4111"/>
          <w:tab w:val="left" w:pos="6237"/>
          <w:tab w:val="left" w:pos="6521"/>
          <w:tab w:val="right" w:pos="9899"/>
        </w:tabs>
        <w:spacing w:after="240" w:line="240" w:lineRule="auto"/>
        <w:ind w:left="567"/>
        <w:jc w:val="both"/>
        <w:rPr>
          <w:rFonts w:ascii="Arial" w:eastAsia="Times New Roman" w:hAnsi="Arial" w:cs="Arial"/>
          <w:snapToGrid w:val="0"/>
          <w:sz w:val="24"/>
          <w:szCs w:val="24"/>
        </w:rPr>
      </w:pPr>
      <w:r>
        <w:rPr>
          <w:rFonts w:ascii="Arial" w:hAnsi="Arial"/>
          <w:snapToGrid w:val="0"/>
          <w:sz w:val="24"/>
          <w:u w:val="single"/>
        </w:rPr>
        <w:t>Erfurt</w:t>
      </w:r>
      <w:r>
        <w:rPr>
          <w:rFonts w:ascii="Arial" w:hAnsi="Arial"/>
          <w:snapToGrid w:val="0"/>
          <w:sz w:val="24"/>
          <w:u w:val="single"/>
        </w:rPr>
        <w:tab/>
      </w:r>
      <w:r>
        <w:rPr>
          <w:rFonts w:ascii="Arial" w:hAnsi="Arial"/>
          <w:snapToGrid w:val="0"/>
          <w:sz w:val="24"/>
        </w:rPr>
        <w:t>,</w:t>
      </w:r>
      <w:r>
        <w:rPr>
          <w:rFonts w:ascii="Arial" w:hAnsi="Arial"/>
          <w:snapToGrid w:val="0"/>
          <w:sz w:val="24"/>
        </w:rPr>
        <w:tab/>
        <w:t>28.10.2020</w:t>
      </w:r>
      <w:r>
        <w:rPr>
          <w:rFonts w:ascii="Arial" w:hAnsi="Arial"/>
          <w:snapToGrid w:val="0"/>
          <w:sz w:val="24"/>
          <w:u w:val="single"/>
        </w:rPr>
        <w:tab/>
      </w:r>
      <w:r>
        <w:rPr>
          <w:rFonts w:ascii="Arial" w:hAnsi="Arial"/>
          <w:snapToGrid w:val="0"/>
          <w:sz w:val="24"/>
        </w:rPr>
        <w:tab/>
        <w:t>Bodo Ramelow</w:t>
      </w:r>
      <w:r>
        <w:rPr>
          <w:rFonts w:ascii="Arial" w:hAnsi="Arial"/>
          <w:snapToGrid w:val="0"/>
          <w:sz w:val="24"/>
          <w:u w:val="single"/>
        </w:rPr>
        <w:tab/>
      </w:r>
    </w:p>
    <w:p w14:paraId="38E99943" w14:textId="77777777" w:rsidR="00001328" w:rsidRDefault="00001328">
      <w:pPr>
        <w:pStyle w:val="Bezeichnungnderungsdokument"/>
        <w:jc w:val="left"/>
        <w:rPr>
          <w:sz w:val="22"/>
        </w:rPr>
      </w:pPr>
    </w:p>
    <w:sectPr w:rsidR="00001328">
      <w:headerReference w:type="even" r:id="rId8"/>
      <w:headerReference w:type="default" r:id="rId9"/>
      <w:footerReference w:type="even" r:id="rId10"/>
      <w:footerReference w:type="default" r:id="rId11"/>
      <w:headerReference w:type="first" r:id="rId12"/>
      <w:footerReference w:type="first" r:id="rId13"/>
      <w:pgSz w:w="11906" w:h="16838"/>
      <w:pgMar w:top="993" w:right="1418"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E69C2" w14:textId="77777777" w:rsidR="00001328" w:rsidRDefault="00A4265D">
      <w:pPr>
        <w:spacing w:after="0" w:line="240" w:lineRule="auto"/>
      </w:pPr>
      <w:r>
        <w:separator/>
      </w:r>
    </w:p>
  </w:endnote>
  <w:endnote w:type="continuationSeparator" w:id="0">
    <w:p w14:paraId="2E53CE3F" w14:textId="77777777" w:rsidR="00001328" w:rsidRDefault="00A4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FCC7" w14:textId="77777777" w:rsidR="00001328" w:rsidRDefault="000013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A0A0B" w14:textId="77777777" w:rsidR="00001328" w:rsidRDefault="00A4265D">
    <w:pPr>
      <w:pStyle w:val="Sidfot"/>
      <w:jc w:val="right"/>
      <w:rPr>
        <w:rFonts w:ascii="Arial" w:hAnsi="Arial" w:cs="Arial"/>
        <w:sz w:val="18"/>
        <w:szCs w:val="18"/>
      </w:rPr>
    </w:pPr>
    <w:r>
      <w:rPr>
        <w:rFonts w:ascii="Arial" w:hAnsi="Arial" w:cs="Arial"/>
        <w:sz w:val="18"/>
      </w:rPr>
      <w:fldChar w:fldCharType="begin"/>
    </w:r>
    <w:r>
      <w:rPr>
        <w:rFonts w:ascii="Arial" w:hAnsi="Arial" w:cs="Arial"/>
        <w:sz w:val="18"/>
      </w:rPr>
      <w:instrText>PAGE   \* MERGEFORMAT</w:instrText>
    </w:r>
    <w:r>
      <w:rPr>
        <w:rFonts w:ascii="Arial" w:hAnsi="Arial" w:cs="Arial"/>
        <w:sz w:val="18"/>
      </w:rPr>
      <w:fldChar w:fldCharType="separate"/>
    </w:r>
    <w:r>
      <w:rPr>
        <w:rFonts w:ascii="Arial" w:hAnsi="Arial" w:cs="Arial"/>
        <w:sz w:val="18"/>
      </w:rPr>
      <w:t>6</w:t>
    </w:r>
    <w:r>
      <w:rPr>
        <w:rFonts w:ascii="Arial" w:hAnsi="Arial" w:cs="Arial"/>
        <w:sz w:val="18"/>
      </w:rPr>
      <w:t>7</w:t>
    </w:r>
    <w:r>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B049" w14:textId="77777777" w:rsidR="00001328" w:rsidRDefault="000013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97607" w14:textId="77777777" w:rsidR="00001328" w:rsidRDefault="00A4265D">
      <w:pPr>
        <w:spacing w:after="0" w:line="240" w:lineRule="auto"/>
      </w:pPr>
      <w:r>
        <w:separator/>
      </w:r>
    </w:p>
  </w:footnote>
  <w:footnote w:type="continuationSeparator" w:id="0">
    <w:p w14:paraId="45204895" w14:textId="77777777" w:rsidR="00001328" w:rsidRDefault="00A4265D">
      <w:pPr>
        <w:spacing w:after="0" w:line="240" w:lineRule="auto"/>
      </w:pPr>
      <w:r>
        <w:continuationSeparator/>
      </w:r>
    </w:p>
  </w:footnote>
  <w:footnote w:id="1">
    <w:p w14:paraId="7CFB1A57" w14:textId="77777777" w:rsidR="00001328" w:rsidRDefault="00A4265D">
      <w:pPr>
        <w:pStyle w:val="Fotnotstext"/>
      </w:pPr>
      <w:r>
        <w:t xml:space="preserve"> Notifié conformément à la directive (UE) 2015/1535 du Parlement européen et du Conseil du 9 septembre 2015 prévoyant une procédure d’information dans le domaine des réglementations techniques et des règles relatives aux services de la société de l’information (JO L 241 du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F1D5" w14:textId="77777777" w:rsidR="00001328" w:rsidRDefault="0000132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3C23" w14:textId="77777777" w:rsidR="00001328" w:rsidRDefault="0000132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77B1" w14:textId="77777777" w:rsidR="00001328" w:rsidRDefault="000013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9FB"/>
    <w:multiLevelType w:val="hybridMultilevel"/>
    <w:tmpl w:val="54FC9A8E"/>
    <w:lvl w:ilvl="0" w:tplc="EBCCB51A">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07EA4FE7"/>
    <w:multiLevelType w:val="hybridMultilevel"/>
    <w:tmpl w:val="58ECE430"/>
    <w:lvl w:ilvl="0" w:tplc="9432CE1A">
      <w:start w:val="1"/>
      <w:numFmt w:val="lowerLetter"/>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2" w15:restartNumberingAfterBreak="0">
    <w:nsid w:val="0A035783"/>
    <w:multiLevelType w:val="hybridMultilevel"/>
    <w:tmpl w:val="5D06217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5435F7"/>
    <w:multiLevelType w:val="hybridMultilevel"/>
    <w:tmpl w:val="527A8234"/>
    <w:lvl w:ilvl="0" w:tplc="F8CC6C9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CB0789E"/>
    <w:multiLevelType w:val="hybridMultilevel"/>
    <w:tmpl w:val="3A369C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F817D8F"/>
    <w:multiLevelType w:val="hybridMultilevel"/>
    <w:tmpl w:val="E6CA838A"/>
    <w:lvl w:ilvl="0" w:tplc="E68AC9C4">
      <w:start w:val="1"/>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6" w15:restartNumberingAfterBreak="0">
    <w:nsid w:val="104978B1"/>
    <w:multiLevelType w:val="hybridMultilevel"/>
    <w:tmpl w:val="4A92275C"/>
    <w:lvl w:ilvl="0" w:tplc="28F21678">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966ECB"/>
    <w:multiLevelType w:val="hybridMultilevel"/>
    <w:tmpl w:val="492ECAD6"/>
    <w:lvl w:ilvl="0" w:tplc="8564C9CE">
      <w:start w:val="1"/>
      <w:numFmt w:val="decimal"/>
      <w:lvlText w:val="%1."/>
      <w:lvlJc w:val="left"/>
      <w:pPr>
        <w:tabs>
          <w:tab w:val="num" w:pos="417"/>
        </w:tabs>
        <w:ind w:left="417"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8" w15:restartNumberingAfterBreak="0">
    <w:nsid w:val="181A547B"/>
    <w:multiLevelType w:val="hybridMultilevel"/>
    <w:tmpl w:val="FEBE6D6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19494621"/>
    <w:multiLevelType w:val="hybridMultilevel"/>
    <w:tmpl w:val="20C69B88"/>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0" w15:restartNumberingAfterBreak="0">
    <w:nsid w:val="1CE64D88"/>
    <w:multiLevelType w:val="hybridMultilevel"/>
    <w:tmpl w:val="9E2A2746"/>
    <w:lvl w:ilvl="0" w:tplc="6C04363A">
      <w:start w:val="1"/>
      <w:numFmt w:val="decimal"/>
      <w:lvlText w:val="%1."/>
      <w:lvlJc w:val="left"/>
      <w:pPr>
        <w:tabs>
          <w:tab w:val="num" w:pos="777"/>
        </w:tabs>
        <w:ind w:left="777" w:hanging="360"/>
      </w:pPr>
      <w:rPr>
        <w:sz w:val="22"/>
        <w:szCs w:val="22"/>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1" w15:restartNumberingAfterBreak="0">
    <w:nsid w:val="2C100B88"/>
    <w:multiLevelType w:val="hybridMultilevel"/>
    <w:tmpl w:val="446C70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0804D72"/>
    <w:multiLevelType w:val="hybridMultilevel"/>
    <w:tmpl w:val="2A78945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4DB68E6"/>
    <w:multiLevelType w:val="hybridMultilevel"/>
    <w:tmpl w:val="6472D0EA"/>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37805F84"/>
    <w:multiLevelType w:val="hybridMultilevel"/>
    <w:tmpl w:val="D7D22C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DB457DD"/>
    <w:multiLevelType w:val="hybridMultilevel"/>
    <w:tmpl w:val="9DC4F1B0"/>
    <w:lvl w:ilvl="0" w:tplc="FCFC1B5A">
      <w:start w:val="4"/>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416E6C07"/>
    <w:multiLevelType w:val="hybridMultilevel"/>
    <w:tmpl w:val="1096BF06"/>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3FE16BA"/>
    <w:multiLevelType w:val="hybridMultilevel"/>
    <w:tmpl w:val="71765C1C"/>
    <w:lvl w:ilvl="0" w:tplc="0407000F">
      <w:start w:val="1"/>
      <w:numFmt w:val="decimal"/>
      <w:lvlText w:val="%1."/>
      <w:lvlJc w:val="left"/>
      <w:pPr>
        <w:ind w:left="1211"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46A4505C"/>
    <w:multiLevelType w:val="hybridMultilevel"/>
    <w:tmpl w:val="A6126C22"/>
    <w:lvl w:ilvl="0" w:tplc="EB9079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A6B2A4C"/>
    <w:multiLevelType w:val="hybridMultilevel"/>
    <w:tmpl w:val="B2FE3F2A"/>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0" w15:restartNumberingAfterBreak="0">
    <w:nsid w:val="4C41296A"/>
    <w:multiLevelType w:val="hybridMultilevel"/>
    <w:tmpl w:val="18606F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C4C5333"/>
    <w:multiLevelType w:val="hybridMultilevel"/>
    <w:tmpl w:val="A044D4E4"/>
    <w:lvl w:ilvl="0" w:tplc="2B4EC44E">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F38631E"/>
    <w:multiLevelType w:val="hybridMultilevel"/>
    <w:tmpl w:val="90325D30"/>
    <w:lvl w:ilvl="0" w:tplc="429A6986">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6C86D15"/>
    <w:multiLevelType w:val="hybridMultilevel"/>
    <w:tmpl w:val="2C008666"/>
    <w:lvl w:ilvl="0" w:tplc="0670340C">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4" w15:restartNumberingAfterBreak="0">
    <w:nsid w:val="56DA43F1"/>
    <w:multiLevelType w:val="hybridMultilevel"/>
    <w:tmpl w:val="4B8A42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B662007"/>
    <w:multiLevelType w:val="hybridMultilevel"/>
    <w:tmpl w:val="F8A46CE0"/>
    <w:lvl w:ilvl="0" w:tplc="AC608DB6">
      <w:start w:val="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E315ADB"/>
    <w:multiLevelType w:val="hybridMultilevel"/>
    <w:tmpl w:val="80E8BDBC"/>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7" w15:restartNumberingAfterBreak="0">
    <w:nsid w:val="62B929AA"/>
    <w:multiLevelType w:val="hybridMultilevel"/>
    <w:tmpl w:val="1B32AC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59840E2"/>
    <w:multiLevelType w:val="hybridMultilevel"/>
    <w:tmpl w:val="4C18C4E8"/>
    <w:lvl w:ilvl="0" w:tplc="6978932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6A03374E"/>
    <w:multiLevelType w:val="hybridMultilevel"/>
    <w:tmpl w:val="DF0A00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A760C9F"/>
    <w:multiLevelType w:val="hybridMultilevel"/>
    <w:tmpl w:val="E1C82F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D605AF7"/>
    <w:multiLevelType w:val="hybridMultilevel"/>
    <w:tmpl w:val="3BE8C13A"/>
    <w:lvl w:ilvl="0" w:tplc="C9F2DAB2">
      <w:start w:val="1"/>
      <w:numFmt w:val="lowerLetter"/>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32" w15:restartNumberingAfterBreak="0">
    <w:nsid w:val="70C75692"/>
    <w:multiLevelType w:val="hybridMultilevel"/>
    <w:tmpl w:val="576C66C8"/>
    <w:lvl w:ilvl="0" w:tplc="97FE8F9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21565C4"/>
    <w:multiLevelType w:val="hybridMultilevel"/>
    <w:tmpl w:val="CF5E05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3DE4B20"/>
    <w:multiLevelType w:val="hybridMultilevel"/>
    <w:tmpl w:val="BE3A39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5410C5E"/>
    <w:multiLevelType w:val="hybridMultilevel"/>
    <w:tmpl w:val="222A298C"/>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6" w15:restartNumberingAfterBreak="0">
    <w:nsid w:val="76BC545D"/>
    <w:multiLevelType w:val="hybridMultilevel"/>
    <w:tmpl w:val="4774875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A9E407A"/>
    <w:multiLevelType w:val="hybridMultilevel"/>
    <w:tmpl w:val="719A90DE"/>
    <w:lvl w:ilvl="0" w:tplc="44108770">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B2E6331"/>
    <w:multiLevelType w:val="hybridMultilevel"/>
    <w:tmpl w:val="0DD87752"/>
    <w:lvl w:ilvl="0" w:tplc="0D68C026">
      <w:start w:val="9"/>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7"/>
  </w:num>
  <w:num w:numId="4">
    <w:abstractNumId w:val="37"/>
  </w:num>
  <w:num w:numId="5">
    <w:abstractNumId w:val="32"/>
  </w:num>
  <w:num w:numId="6">
    <w:abstractNumId w:val="16"/>
  </w:num>
  <w:num w:numId="7">
    <w:abstractNumId w:val="34"/>
  </w:num>
  <w:num w:numId="8">
    <w:abstractNumId w:val="22"/>
  </w:num>
  <w:num w:numId="9">
    <w:abstractNumId w:val="6"/>
  </w:num>
  <w:num w:numId="10">
    <w:abstractNumId w:val="11"/>
  </w:num>
  <w:num w:numId="11">
    <w:abstractNumId w:val="5"/>
  </w:num>
  <w:num w:numId="12">
    <w:abstractNumId w:val="12"/>
  </w:num>
  <w:num w:numId="13">
    <w:abstractNumId w:val="25"/>
  </w:num>
  <w:num w:numId="14">
    <w:abstractNumId w:val="18"/>
  </w:num>
  <w:num w:numId="15">
    <w:abstractNumId w:val="38"/>
  </w:num>
  <w:num w:numId="16">
    <w:abstractNumId w:val="2"/>
  </w:num>
  <w:num w:numId="17">
    <w:abstractNumId w:val="28"/>
  </w:num>
  <w:num w:numId="18">
    <w:abstractNumId w:val="4"/>
  </w:num>
  <w:num w:numId="19">
    <w:abstractNumId w:val="14"/>
  </w:num>
  <w:num w:numId="20">
    <w:abstractNumId w:val="29"/>
  </w:num>
  <w:num w:numId="21">
    <w:abstractNumId w:val="19"/>
  </w:num>
  <w:num w:numId="22">
    <w:abstractNumId w:val="23"/>
  </w:num>
  <w:num w:numId="23">
    <w:abstractNumId w:val="35"/>
  </w:num>
  <w:num w:numId="24">
    <w:abstractNumId w:val="0"/>
  </w:num>
  <w:num w:numId="25">
    <w:abstractNumId w:val="9"/>
  </w:num>
  <w:num w:numId="26">
    <w:abstractNumId w:val="15"/>
  </w:num>
  <w:num w:numId="27">
    <w:abstractNumId w:val="21"/>
  </w:num>
  <w:num w:numId="28">
    <w:abstractNumId w:val="3"/>
  </w:num>
  <w:num w:numId="29">
    <w:abstractNumId w:val="3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0"/>
  </w:num>
  <w:num w:numId="35">
    <w:abstractNumId w:val="33"/>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27"/>
  </w:num>
  <w:num w:numId="39">
    <w:abstractNumId w:val="24"/>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328"/>
    <w:rsid w:val="00001328"/>
    <w:rsid w:val="00042717"/>
    <w:rsid w:val="002A4249"/>
    <w:rsid w:val="004C126C"/>
    <w:rsid w:val="004C6DB1"/>
    <w:rsid w:val="007737D1"/>
    <w:rsid w:val="00A4265D"/>
    <w:rsid w:val="00BE298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BC2498"/>
  <w15:docId w15:val="{6686AE0A-005C-4E67-A1AA-2B5C12454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Brdtext"/>
    <w:pPr>
      <w:widowControl w:val="0"/>
      <w:suppressAutoHyphens/>
      <w:spacing w:after="0" w:line="240" w:lineRule="auto"/>
    </w:pPr>
    <w:rPr>
      <w:rFonts w:ascii="Times New Roman" w:eastAsia="Times New Roman" w:hAnsi="Times New Roman" w:cs="Times New Roman"/>
      <w:sz w:val="24"/>
      <w:szCs w:val="20"/>
      <w:lang w:eastAsia="ar-SA"/>
    </w:rPr>
  </w:style>
  <w:style w:type="paragraph" w:styleId="Brdtext">
    <w:name w:val="Body Text"/>
    <w:basedOn w:val="Normal"/>
    <w:link w:val="BrdtextChar"/>
    <w:uiPriority w:val="99"/>
    <w:semiHidden/>
    <w:unhideWhenUsed/>
    <w:pPr>
      <w:spacing w:after="120"/>
    </w:pPr>
  </w:style>
  <w:style w:type="character" w:customStyle="1" w:styleId="BrdtextChar">
    <w:name w:val="Brödtext Char"/>
    <w:basedOn w:val="Standardstycketeckensnitt"/>
    <w:link w:val="Brdtext"/>
    <w:uiPriority w:val="99"/>
    <w:semiHidden/>
  </w:style>
  <w:style w:type="paragraph" w:customStyle="1" w:styleId="p12">
    <w:name w:val="p12"/>
    <w:basedOn w:val="Normal"/>
    <w:pPr>
      <w:tabs>
        <w:tab w:val="left" w:pos="720"/>
      </w:tabs>
      <w:spacing w:after="0" w:line="240" w:lineRule="atLeast"/>
      <w:jc w:val="both"/>
    </w:pPr>
    <w:rPr>
      <w:rFonts w:ascii="Times New Roman" w:eastAsia="Times New Roman" w:hAnsi="Times New Roman" w:cs="Times New Roman"/>
      <w:sz w:val="24"/>
      <w:szCs w:val="20"/>
      <w:lang w:eastAsia="de-DE"/>
    </w:r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styleId="Kommentarsreferens">
    <w:name w:val="annotation reference"/>
    <w:basedOn w:val="Standardstycketeckensnitt"/>
    <w:uiPriority w:val="99"/>
    <w:semiHidden/>
    <w:unhideWhenUsed/>
    <w:rPr>
      <w:sz w:val="16"/>
      <w:szCs w:val="16"/>
    </w:rPr>
  </w:style>
  <w:style w:type="paragraph" w:styleId="Ballongtext">
    <w:name w:val="Balloon Text"/>
    <w:basedOn w:val="Normal"/>
    <w:link w:val="BallongtextChar"/>
    <w:uiPriority w:val="99"/>
    <w:semiHidden/>
    <w:unhideWhenUse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Pr>
      <w:rFonts w:ascii="Tahoma" w:hAnsi="Tahoma" w:cs="Tahoma"/>
      <w:sz w:val="16"/>
      <w:szCs w:val="16"/>
    </w:rPr>
  </w:style>
  <w:style w:type="paragraph" w:styleId="Kommentarsmne">
    <w:name w:val="annotation subject"/>
    <w:basedOn w:val="Kommentarer"/>
    <w:next w:val="Kommentarer"/>
    <w:link w:val="KommentarsmneChar"/>
    <w:uiPriority w:val="99"/>
    <w:semiHidden/>
    <w:unhideWhenUsed/>
    <w:rPr>
      <w:b/>
      <w:bCs/>
    </w:rPr>
  </w:style>
  <w:style w:type="character" w:customStyle="1" w:styleId="KommentarsmneChar">
    <w:name w:val="Kommentarsämne Char"/>
    <w:basedOn w:val="KommentarerChar"/>
    <w:link w:val="Kommentarsmne"/>
    <w:uiPriority w:val="99"/>
    <w:semiHidden/>
    <w:rPr>
      <w:b/>
      <w:bCs/>
      <w:sz w:val="20"/>
      <w:szCs w:val="20"/>
    </w:rPr>
  </w:style>
  <w:style w:type="paragraph" w:styleId="Sidhuvud">
    <w:name w:val="header"/>
    <w:basedOn w:val="Normal"/>
    <w:link w:val="SidhuvudChar"/>
    <w:uiPriority w:val="99"/>
    <w:unhideWhenUsed/>
    <w:pPr>
      <w:tabs>
        <w:tab w:val="center" w:pos="4536"/>
        <w:tab w:val="right" w:pos="9072"/>
      </w:tabs>
      <w:spacing w:after="0" w:line="240" w:lineRule="auto"/>
    </w:pPr>
  </w:style>
  <w:style w:type="character" w:customStyle="1" w:styleId="SidhuvudChar">
    <w:name w:val="Sidhuvud Char"/>
    <w:basedOn w:val="Standardstycketeckensnitt"/>
    <w:link w:val="Sidhuvud"/>
    <w:uiPriority w:val="99"/>
  </w:style>
  <w:style w:type="paragraph" w:styleId="Sidfot">
    <w:name w:val="footer"/>
    <w:basedOn w:val="Normal"/>
    <w:link w:val="SidfotChar"/>
    <w:uiPriority w:val="99"/>
    <w:unhideWhenUsed/>
    <w:pPr>
      <w:tabs>
        <w:tab w:val="center" w:pos="4536"/>
        <w:tab w:val="right" w:pos="9072"/>
      </w:tabs>
      <w:spacing w:after="0" w:line="240" w:lineRule="auto"/>
    </w:pPr>
  </w:style>
  <w:style w:type="character" w:customStyle="1" w:styleId="SidfotChar">
    <w:name w:val="Sidfot Char"/>
    <w:basedOn w:val="Standardstycketeckensnitt"/>
    <w:link w:val="Sidfot"/>
    <w:uiPriority w:val="99"/>
  </w:style>
  <w:style w:type="paragraph" w:styleId="Liststycke">
    <w:name w:val="List Paragraph"/>
    <w:basedOn w:val="Normal"/>
    <w:uiPriority w:val="34"/>
    <w:qFormat/>
    <w:pPr>
      <w:ind w:left="720"/>
      <w:contextualSpacing/>
    </w:pPr>
  </w:style>
  <w:style w:type="paragraph" w:styleId="Oformateradtext">
    <w:name w:val="Plain Text"/>
    <w:basedOn w:val="Normal"/>
    <w:link w:val="OformateradtextChar"/>
    <w:uiPriority w:val="99"/>
    <w:unhideWhenUsed/>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rPr>
      <w:rFonts w:ascii="Calibri" w:hAnsi="Calibri"/>
      <w:szCs w:val="21"/>
    </w:rPr>
  </w:style>
  <w:style w:type="paragraph" w:styleId="Revision">
    <w:name w:val="Revision"/>
    <w:hidden/>
    <w:uiPriority w:val="99"/>
    <w:semiHidden/>
    <w:pPr>
      <w:spacing w:after="0" w:line="240" w:lineRule="auto"/>
    </w:pPr>
  </w:style>
  <w:style w:type="paragraph" w:styleId="Fotnotstext">
    <w:name w:val="footnote text"/>
    <w:basedOn w:val="Normal"/>
    <w:link w:val="FotnotstextChar"/>
    <w:uiPriority w:val="99"/>
    <w:semiHidden/>
    <w:unhideWhenUsed/>
    <w:pPr>
      <w:spacing w:after="0" w:line="240" w:lineRule="auto"/>
    </w:pPr>
    <w:rPr>
      <w:sz w:val="20"/>
      <w:szCs w:val="20"/>
    </w:rPr>
  </w:style>
  <w:style w:type="character" w:customStyle="1" w:styleId="FotnotstextChar">
    <w:name w:val="Fotnotstext Char"/>
    <w:basedOn w:val="Standardstycketeckensnitt"/>
    <w:link w:val="Fotnotstext"/>
    <w:uiPriority w:val="99"/>
    <w:semiHidden/>
    <w:rPr>
      <w:sz w:val="20"/>
      <w:szCs w:val="20"/>
    </w:rPr>
  </w:style>
  <w:style w:type="character" w:styleId="Fotnotsreferens">
    <w:name w:val="footnote reference"/>
    <w:basedOn w:val="Standardstycketeckensnitt"/>
    <w:uiPriority w:val="99"/>
    <w:semiHidden/>
    <w:unhideWhenUsed/>
    <w:rPr>
      <w:vertAlign w:val="superscript"/>
    </w:rPr>
  </w:style>
  <w:style w:type="character" w:styleId="Hyperlnk">
    <w:name w:val="Hyperlink"/>
    <w:basedOn w:val="Standardstycketeckensnitt"/>
    <w:uiPriority w:val="99"/>
    <w:unhideWhenUsed/>
    <w:rPr>
      <w:color w:val="0000FF" w:themeColor="hyperlink"/>
      <w:u w:val="single"/>
    </w:rPr>
  </w:style>
  <w:style w:type="paragraph" w:customStyle="1" w:styleId="Bezeichnungnderungsdokument">
    <w:name w:val="Bezeichnung (Änderungsdokument)"/>
    <w:basedOn w:val="Normal"/>
    <w:next w:val="Normal"/>
    <w:pPr>
      <w:spacing w:before="120" w:after="120" w:line="240" w:lineRule="auto"/>
      <w:jc w:val="center"/>
    </w:pPr>
    <w:rPr>
      <w:rFonts w:ascii="Arial" w:eastAsia="Calibri" w:hAnsi="Arial" w:cs="Arial"/>
      <w:b/>
      <w:sz w:val="26"/>
      <w:lang w:eastAsia="de-DE"/>
    </w:rPr>
  </w:style>
  <w:style w:type="paragraph" w:styleId="Brdtextmedindrag">
    <w:name w:val="Body Text Indent"/>
    <w:basedOn w:val="Normal"/>
    <w:link w:val="BrdtextmedindragChar"/>
    <w:uiPriority w:val="99"/>
    <w:semiHidden/>
    <w:unhideWhenUsed/>
    <w:pPr>
      <w:spacing w:after="120"/>
      <w:ind w:left="283"/>
    </w:pPr>
  </w:style>
  <w:style w:type="character" w:customStyle="1" w:styleId="BrdtextmedindragChar">
    <w:name w:val="Brödtext med indrag Char"/>
    <w:basedOn w:val="Standardstycketeckensnitt"/>
    <w:link w:val="Brdtextmedindrag"/>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8684">
      <w:bodyDiv w:val="1"/>
      <w:marLeft w:val="0"/>
      <w:marRight w:val="0"/>
      <w:marTop w:val="0"/>
      <w:marBottom w:val="0"/>
      <w:divBdr>
        <w:top w:val="none" w:sz="0" w:space="0" w:color="auto"/>
        <w:left w:val="none" w:sz="0" w:space="0" w:color="auto"/>
        <w:bottom w:val="none" w:sz="0" w:space="0" w:color="auto"/>
        <w:right w:val="none" w:sz="0" w:space="0" w:color="auto"/>
      </w:divBdr>
    </w:div>
    <w:div w:id="135221276">
      <w:bodyDiv w:val="1"/>
      <w:marLeft w:val="0"/>
      <w:marRight w:val="0"/>
      <w:marTop w:val="0"/>
      <w:marBottom w:val="0"/>
      <w:divBdr>
        <w:top w:val="none" w:sz="0" w:space="0" w:color="auto"/>
        <w:left w:val="none" w:sz="0" w:space="0" w:color="auto"/>
        <w:bottom w:val="none" w:sz="0" w:space="0" w:color="auto"/>
        <w:right w:val="none" w:sz="0" w:space="0" w:color="auto"/>
      </w:divBdr>
    </w:div>
    <w:div w:id="195309913">
      <w:bodyDiv w:val="1"/>
      <w:marLeft w:val="0"/>
      <w:marRight w:val="0"/>
      <w:marTop w:val="0"/>
      <w:marBottom w:val="0"/>
      <w:divBdr>
        <w:top w:val="none" w:sz="0" w:space="0" w:color="auto"/>
        <w:left w:val="none" w:sz="0" w:space="0" w:color="auto"/>
        <w:bottom w:val="none" w:sz="0" w:space="0" w:color="auto"/>
        <w:right w:val="none" w:sz="0" w:space="0" w:color="auto"/>
      </w:divBdr>
    </w:div>
    <w:div w:id="389577060">
      <w:bodyDiv w:val="1"/>
      <w:marLeft w:val="0"/>
      <w:marRight w:val="0"/>
      <w:marTop w:val="0"/>
      <w:marBottom w:val="0"/>
      <w:divBdr>
        <w:top w:val="none" w:sz="0" w:space="0" w:color="auto"/>
        <w:left w:val="none" w:sz="0" w:space="0" w:color="auto"/>
        <w:bottom w:val="none" w:sz="0" w:space="0" w:color="auto"/>
        <w:right w:val="none" w:sz="0" w:space="0" w:color="auto"/>
      </w:divBdr>
      <w:divsChild>
        <w:div w:id="379522758">
          <w:marLeft w:val="0"/>
          <w:marRight w:val="0"/>
          <w:marTop w:val="0"/>
          <w:marBottom w:val="0"/>
          <w:divBdr>
            <w:top w:val="none" w:sz="0" w:space="0" w:color="auto"/>
            <w:left w:val="none" w:sz="0" w:space="0" w:color="auto"/>
            <w:bottom w:val="none" w:sz="0" w:space="0" w:color="auto"/>
            <w:right w:val="none" w:sz="0" w:space="0" w:color="auto"/>
          </w:divBdr>
        </w:div>
        <w:div w:id="922028709">
          <w:marLeft w:val="0"/>
          <w:marRight w:val="0"/>
          <w:marTop w:val="0"/>
          <w:marBottom w:val="0"/>
          <w:divBdr>
            <w:top w:val="none" w:sz="0" w:space="0" w:color="auto"/>
            <w:left w:val="none" w:sz="0" w:space="0" w:color="auto"/>
            <w:bottom w:val="none" w:sz="0" w:space="0" w:color="auto"/>
            <w:right w:val="none" w:sz="0" w:space="0" w:color="auto"/>
          </w:divBdr>
        </w:div>
        <w:div w:id="1230311796">
          <w:marLeft w:val="0"/>
          <w:marRight w:val="0"/>
          <w:marTop w:val="0"/>
          <w:marBottom w:val="0"/>
          <w:divBdr>
            <w:top w:val="none" w:sz="0" w:space="0" w:color="auto"/>
            <w:left w:val="none" w:sz="0" w:space="0" w:color="auto"/>
            <w:bottom w:val="none" w:sz="0" w:space="0" w:color="auto"/>
            <w:right w:val="none" w:sz="0" w:space="0" w:color="auto"/>
          </w:divBdr>
        </w:div>
        <w:div w:id="1284119505">
          <w:marLeft w:val="0"/>
          <w:marRight w:val="0"/>
          <w:marTop w:val="0"/>
          <w:marBottom w:val="0"/>
          <w:divBdr>
            <w:top w:val="none" w:sz="0" w:space="0" w:color="auto"/>
            <w:left w:val="none" w:sz="0" w:space="0" w:color="auto"/>
            <w:bottom w:val="none" w:sz="0" w:space="0" w:color="auto"/>
            <w:right w:val="none" w:sz="0" w:space="0" w:color="auto"/>
          </w:divBdr>
        </w:div>
        <w:div w:id="2041734065">
          <w:marLeft w:val="0"/>
          <w:marRight w:val="0"/>
          <w:marTop w:val="0"/>
          <w:marBottom w:val="0"/>
          <w:divBdr>
            <w:top w:val="none" w:sz="0" w:space="0" w:color="auto"/>
            <w:left w:val="none" w:sz="0" w:space="0" w:color="auto"/>
            <w:bottom w:val="none" w:sz="0" w:space="0" w:color="auto"/>
            <w:right w:val="none" w:sz="0" w:space="0" w:color="auto"/>
          </w:divBdr>
        </w:div>
        <w:div w:id="2141803127">
          <w:marLeft w:val="0"/>
          <w:marRight w:val="0"/>
          <w:marTop w:val="0"/>
          <w:marBottom w:val="0"/>
          <w:divBdr>
            <w:top w:val="none" w:sz="0" w:space="0" w:color="auto"/>
            <w:left w:val="none" w:sz="0" w:space="0" w:color="auto"/>
            <w:bottom w:val="none" w:sz="0" w:space="0" w:color="auto"/>
            <w:right w:val="none" w:sz="0" w:space="0" w:color="auto"/>
          </w:divBdr>
        </w:div>
      </w:divsChild>
    </w:div>
    <w:div w:id="416828033">
      <w:bodyDiv w:val="1"/>
      <w:marLeft w:val="0"/>
      <w:marRight w:val="0"/>
      <w:marTop w:val="0"/>
      <w:marBottom w:val="0"/>
      <w:divBdr>
        <w:top w:val="none" w:sz="0" w:space="0" w:color="auto"/>
        <w:left w:val="none" w:sz="0" w:space="0" w:color="auto"/>
        <w:bottom w:val="none" w:sz="0" w:space="0" w:color="auto"/>
        <w:right w:val="none" w:sz="0" w:space="0" w:color="auto"/>
      </w:divBdr>
    </w:div>
    <w:div w:id="440730246">
      <w:bodyDiv w:val="1"/>
      <w:marLeft w:val="0"/>
      <w:marRight w:val="0"/>
      <w:marTop w:val="0"/>
      <w:marBottom w:val="0"/>
      <w:divBdr>
        <w:top w:val="none" w:sz="0" w:space="0" w:color="auto"/>
        <w:left w:val="none" w:sz="0" w:space="0" w:color="auto"/>
        <w:bottom w:val="none" w:sz="0" w:space="0" w:color="auto"/>
        <w:right w:val="none" w:sz="0" w:space="0" w:color="auto"/>
      </w:divBdr>
    </w:div>
    <w:div w:id="801771437">
      <w:bodyDiv w:val="1"/>
      <w:marLeft w:val="0"/>
      <w:marRight w:val="0"/>
      <w:marTop w:val="0"/>
      <w:marBottom w:val="0"/>
      <w:divBdr>
        <w:top w:val="none" w:sz="0" w:space="0" w:color="auto"/>
        <w:left w:val="none" w:sz="0" w:space="0" w:color="auto"/>
        <w:bottom w:val="none" w:sz="0" w:space="0" w:color="auto"/>
        <w:right w:val="none" w:sz="0" w:space="0" w:color="auto"/>
      </w:divBdr>
    </w:div>
    <w:div w:id="824129838">
      <w:bodyDiv w:val="1"/>
      <w:marLeft w:val="0"/>
      <w:marRight w:val="0"/>
      <w:marTop w:val="0"/>
      <w:marBottom w:val="0"/>
      <w:divBdr>
        <w:top w:val="none" w:sz="0" w:space="0" w:color="auto"/>
        <w:left w:val="none" w:sz="0" w:space="0" w:color="auto"/>
        <w:bottom w:val="none" w:sz="0" w:space="0" w:color="auto"/>
        <w:right w:val="none" w:sz="0" w:space="0" w:color="auto"/>
      </w:divBdr>
    </w:div>
    <w:div w:id="839660745">
      <w:bodyDiv w:val="1"/>
      <w:marLeft w:val="0"/>
      <w:marRight w:val="0"/>
      <w:marTop w:val="0"/>
      <w:marBottom w:val="0"/>
      <w:divBdr>
        <w:top w:val="none" w:sz="0" w:space="0" w:color="auto"/>
        <w:left w:val="none" w:sz="0" w:space="0" w:color="auto"/>
        <w:bottom w:val="none" w:sz="0" w:space="0" w:color="auto"/>
        <w:right w:val="none" w:sz="0" w:space="0" w:color="auto"/>
      </w:divBdr>
    </w:div>
    <w:div w:id="1217010891">
      <w:bodyDiv w:val="1"/>
      <w:marLeft w:val="0"/>
      <w:marRight w:val="0"/>
      <w:marTop w:val="0"/>
      <w:marBottom w:val="0"/>
      <w:divBdr>
        <w:top w:val="none" w:sz="0" w:space="0" w:color="auto"/>
        <w:left w:val="none" w:sz="0" w:space="0" w:color="auto"/>
        <w:bottom w:val="none" w:sz="0" w:space="0" w:color="auto"/>
        <w:right w:val="none" w:sz="0" w:space="0" w:color="auto"/>
      </w:divBdr>
    </w:div>
    <w:div w:id="1475636079">
      <w:bodyDiv w:val="1"/>
      <w:marLeft w:val="0"/>
      <w:marRight w:val="0"/>
      <w:marTop w:val="0"/>
      <w:marBottom w:val="0"/>
      <w:divBdr>
        <w:top w:val="none" w:sz="0" w:space="0" w:color="auto"/>
        <w:left w:val="none" w:sz="0" w:space="0" w:color="auto"/>
        <w:bottom w:val="none" w:sz="0" w:space="0" w:color="auto"/>
        <w:right w:val="none" w:sz="0" w:space="0" w:color="auto"/>
      </w:divBdr>
      <w:divsChild>
        <w:div w:id="858619481">
          <w:marLeft w:val="0"/>
          <w:marRight w:val="0"/>
          <w:marTop w:val="0"/>
          <w:marBottom w:val="0"/>
          <w:divBdr>
            <w:top w:val="none" w:sz="0" w:space="0" w:color="auto"/>
            <w:left w:val="none" w:sz="0" w:space="0" w:color="auto"/>
            <w:bottom w:val="none" w:sz="0" w:space="0" w:color="auto"/>
            <w:right w:val="none" w:sz="0" w:space="0" w:color="auto"/>
          </w:divBdr>
        </w:div>
        <w:div w:id="881552360">
          <w:marLeft w:val="0"/>
          <w:marRight w:val="0"/>
          <w:marTop w:val="0"/>
          <w:marBottom w:val="0"/>
          <w:divBdr>
            <w:top w:val="none" w:sz="0" w:space="0" w:color="auto"/>
            <w:left w:val="none" w:sz="0" w:space="0" w:color="auto"/>
            <w:bottom w:val="none" w:sz="0" w:space="0" w:color="auto"/>
            <w:right w:val="none" w:sz="0" w:space="0" w:color="auto"/>
          </w:divBdr>
        </w:div>
        <w:div w:id="1156263581">
          <w:marLeft w:val="0"/>
          <w:marRight w:val="0"/>
          <w:marTop w:val="0"/>
          <w:marBottom w:val="0"/>
          <w:divBdr>
            <w:top w:val="none" w:sz="0" w:space="0" w:color="auto"/>
            <w:left w:val="none" w:sz="0" w:space="0" w:color="auto"/>
            <w:bottom w:val="none" w:sz="0" w:space="0" w:color="auto"/>
            <w:right w:val="none" w:sz="0" w:space="0" w:color="auto"/>
          </w:divBdr>
        </w:div>
        <w:div w:id="1323267029">
          <w:marLeft w:val="0"/>
          <w:marRight w:val="0"/>
          <w:marTop w:val="0"/>
          <w:marBottom w:val="0"/>
          <w:divBdr>
            <w:top w:val="none" w:sz="0" w:space="0" w:color="auto"/>
            <w:left w:val="none" w:sz="0" w:space="0" w:color="auto"/>
            <w:bottom w:val="none" w:sz="0" w:space="0" w:color="auto"/>
            <w:right w:val="none" w:sz="0" w:space="0" w:color="auto"/>
          </w:divBdr>
        </w:div>
        <w:div w:id="1460877290">
          <w:marLeft w:val="0"/>
          <w:marRight w:val="0"/>
          <w:marTop w:val="0"/>
          <w:marBottom w:val="0"/>
          <w:divBdr>
            <w:top w:val="none" w:sz="0" w:space="0" w:color="auto"/>
            <w:left w:val="none" w:sz="0" w:space="0" w:color="auto"/>
            <w:bottom w:val="none" w:sz="0" w:space="0" w:color="auto"/>
            <w:right w:val="none" w:sz="0" w:space="0" w:color="auto"/>
          </w:divBdr>
        </w:div>
        <w:div w:id="1545874427">
          <w:marLeft w:val="0"/>
          <w:marRight w:val="0"/>
          <w:marTop w:val="0"/>
          <w:marBottom w:val="0"/>
          <w:divBdr>
            <w:top w:val="none" w:sz="0" w:space="0" w:color="auto"/>
            <w:left w:val="none" w:sz="0" w:space="0" w:color="auto"/>
            <w:bottom w:val="none" w:sz="0" w:space="0" w:color="auto"/>
            <w:right w:val="none" w:sz="0" w:space="0" w:color="auto"/>
          </w:divBdr>
        </w:div>
      </w:divsChild>
    </w:div>
    <w:div w:id="1561594152">
      <w:bodyDiv w:val="1"/>
      <w:marLeft w:val="0"/>
      <w:marRight w:val="0"/>
      <w:marTop w:val="0"/>
      <w:marBottom w:val="0"/>
      <w:divBdr>
        <w:top w:val="none" w:sz="0" w:space="0" w:color="auto"/>
        <w:left w:val="none" w:sz="0" w:space="0" w:color="auto"/>
        <w:bottom w:val="none" w:sz="0" w:space="0" w:color="auto"/>
        <w:right w:val="none" w:sz="0" w:space="0" w:color="auto"/>
      </w:divBdr>
    </w:div>
    <w:div w:id="1706831234">
      <w:bodyDiv w:val="1"/>
      <w:marLeft w:val="0"/>
      <w:marRight w:val="0"/>
      <w:marTop w:val="0"/>
      <w:marBottom w:val="0"/>
      <w:divBdr>
        <w:top w:val="none" w:sz="0" w:space="0" w:color="auto"/>
        <w:left w:val="none" w:sz="0" w:space="0" w:color="auto"/>
        <w:bottom w:val="none" w:sz="0" w:space="0" w:color="auto"/>
        <w:right w:val="none" w:sz="0" w:space="0" w:color="auto"/>
      </w:divBdr>
    </w:div>
    <w:div w:id="1762214447">
      <w:bodyDiv w:val="1"/>
      <w:marLeft w:val="0"/>
      <w:marRight w:val="0"/>
      <w:marTop w:val="0"/>
      <w:marBottom w:val="0"/>
      <w:divBdr>
        <w:top w:val="none" w:sz="0" w:space="0" w:color="auto"/>
        <w:left w:val="none" w:sz="0" w:space="0" w:color="auto"/>
        <w:bottom w:val="none" w:sz="0" w:space="0" w:color="auto"/>
        <w:right w:val="none" w:sz="0" w:space="0" w:color="auto"/>
      </w:divBdr>
    </w:div>
    <w:div w:id="1941520182">
      <w:bodyDiv w:val="1"/>
      <w:marLeft w:val="0"/>
      <w:marRight w:val="0"/>
      <w:marTop w:val="0"/>
      <w:marBottom w:val="0"/>
      <w:divBdr>
        <w:top w:val="none" w:sz="0" w:space="0" w:color="auto"/>
        <w:left w:val="none" w:sz="0" w:space="0" w:color="auto"/>
        <w:bottom w:val="none" w:sz="0" w:space="0" w:color="auto"/>
        <w:right w:val="none" w:sz="0" w:space="0" w:color="auto"/>
      </w:divBdr>
    </w:div>
    <w:div w:id="1963917620">
      <w:bodyDiv w:val="1"/>
      <w:marLeft w:val="0"/>
      <w:marRight w:val="0"/>
      <w:marTop w:val="0"/>
      <w:marBottom w:val="0"/>
      <w:divBdr>
        <w:top w:val="none" w:sz="0" w:space="0" w:color="auto"/>
        <w:left w:val="none" w:sz="0" w:space="0" w:color="auto"/>
        <w:bottom w:val="none" w:sz="0" w:space="0" w:color="auto"/>
        <w:right w:val="none" w:sz="0" w:space="0" w:color="auto"/>
      </w:divBdr>
    </w:div>
    <w:div w:id="1978484507">
      <w:bodyDiv w:val="1"/>
      <w:marLeft w:val="0"/>
      <w:marRight w:val="0"/>
      <w:marTop w:val="0"/>
      <w:marBottom w:val="0"/>
      <w:divBdr>
        <w:top w:val="none" w:sz="0" w:space="0" w:color="auto"/>
        <w:left w:val="none" w:sz="0" w:space="0" w:color="auto"/>
        <w:bottom w:val="none" w:sz="0" w:space="0" w:color="auto"/>
        <w:right w:val="none" w:sz="0" w:space="0" w:color="auto"/>
      </w:divBdr>
    </w:div>
    <w:div w:id="2003657984">
      <w:bodyDiv w:val="1"/>
      <w:marLeft w:val="0"/>
      <w:marRight w:val="0"/>
      <w:marTop w:val="0"/>
      <w:marBottom w:val="0"/>
      <w:divBdr>
        <w:top w:val="none" w:sz="0" w:space="0" w:color="auto"/>
        <w:left w:val="none" w:sz="0" w:space="0" w:color="auto"/>
        <w:bottom w:val="none" w:sz="0" w:space="0" w:color="auto"/>
        <w:right w:val="none" w:sz="0" w:space="0" w:color="auto"/>
      </w:divBdr>
      <w:divsChild>
        <w:div w:id="194196825">
          <w:marLeft w:val="0"/>
          <w:marRight w:val="0"/>
          <w:marTop w:val="0"/>
          <w:marBottom w:val="0"/>
          <w:divBdr>
            <w:top w:val="none" w:sz="0" w:space="0" w:color="auto"/>
            <w:left w:val="none" w:sz="0" w:space="0" w:color="auto"/>
            <w:bottom w:val="none" w:sz="0" w:space="0" w:color="auto"/>
            <w:right w:val="none" w:sz="0" w:space="0" w:color="auto"/>
          </w:divBdr>
        </w:div>
        <w:div w:id="1101485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D2708-A39D-4081-8EE9-5A42F60CB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69</Pages>
  <Words>28140</Words>
  <Characters>149148</Characters>
  <Application>Microsoft Office Word</Application>
  <DocSecurity>4</DocSecurity>
  <Lines>1242</Lines>
  <Paragraphs>353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176935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Holtgrewe, Kay</dc:creator>
  <cp:keywords/>
  <dc:description/>
  <cp:lastModifiedBy>Sara Kjellberg</cp:lastModifiedBy>
  <cp:revision>2</cp:revision>
  <cp:lastPrinted>2020-03-11T09:45:00Z</cp:lastPrinted>
  <dcterms:created xsi:type="dcterms:W3CDTF">2021-12-09T16:10:00Z</dcterms:created>
  <dcterms:modified xsi:type="dcterms:W3CDTF">2021-12-09T16:10:00Z</dcterms:modified>
</cp:coreProperties>
</file>