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7C4128" w14:textId="77777777" w:rsidR="0040649C" w:rsidRDefault="0040649C" w:rsidP="0040649C">
      <w:pPr>
        <w:autoSpaceDE w:val="0"/>
        <w:autoSpaceDN w:val="0"/>
        <w:adjustRightInd w:val="0"/>
        <w:spacing w:after="0" w:line="240" w:lineRule="auto"/>
        <w:jc w:val="center"/>
        <w:rPr>
          <w:b/>
          <w:bCs/>
          <w:sz w:val="44"/>
          <w:szCs w:val="44"/>
          <w:rFonts w:ascii="Times New Roman" w:hAnsi="Times New Roman" w:cs="Times New Roman"/>
        </w:rPr>
      </w:pPr>
      <w:r>
        <w:rPr>
          <w:b/>
          <w:sz w:val="44"/>
          <w:rFonts w:ascii="Times New Roman" w:hAnsi="Times New Roman"/>
        </w:rPr>
        <w:t xml:space="preserve">OSNUTEK ZAKONA</w:t>
      </w:r>
    </w:p>
    <w:p w14:paraId="2BDC59CC"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44"/>
          <w:szCs w:val="44"/>
        </w:rPr>
      </w:pPr>
    </w:p>
    <w:p w14:paraId="3F6DBEC7" w14:textId="2E4AB870" w:rsidR="00A57D62" w:rsidRDefault="0040649C" w:rsidP="0040649C">
      <w:pPr>
        <w:jc w:val="center"/>
        <w:rPr>
          <w:i/>
          <w:iCs/>
          <w:sz w:val="28"/>
          <w:szCs w:val="28"/>
          <w:rFonts w:ascii="Times New Roman" w:hAnsi="Times New Roman" w:cs="Times New Roman"/>
        </w:rPr>
      </w:pPr>
      <w:r>
        <w:rPr>
          <w:sz w:val="28"/>
          <w:i/>
          <w:rFonts w:ascii="Times New Roman" w:hAnsi="Times New Roman"/>
        </w:rPr>
        <w:t xml:space="preserve">za </w:t>
      </w:r>
      <w:r>
        <w:rPr>
          <w:sz w:val="28"/>
          <w:b/>
          <w:rFonts w:ascii="Times New Roman" w:hAnsi="Times New Roman"/>
        </w:rPr>
        <w:t xml:space="preserve">krepitev</w:t>
      </w:r>
      <w:r>
        <w:rPr>
          <w:sz w:val="28"/>
          <w:i/>
          <w:rFonts w:ascii="Times New Roman" w:hAnsi="Times New Roman"/>
        </w:rPr>
        <w:t xml:space="preserve"> </w:t>
      </w:r>
      <w:r>
        <w:rPr>
          <w:sz w:val="28"/>
          <w:rFonts w:ascii="Times New Roman" w:hAnsi="Times New Roman"/>
        </w:rPr>
        <w:t xml:space="preserve"> </w:t>
      </w:r>
      <w:r>
        <w:rPr>
          <w:sz w:val="28"/>
          <w:b/>
          <w:rFonts w:ascii="Times New Roman" w:hAnsi="Times New Roman"/>
        </w:rPr>
        <w:t xml:space="preserve">starševskega nadzora </w:t>
      </w:r>
      <w:r>
        <w:rPr>
          <w:sz w:val="28"/>
          <w:i/>
          <w:rFonts w:ascii="Times New Roman" w:hAnsi="Times New Roman"/>
        </w:rPr>
        <w:t xml:space="preserve">nad </w:t>
      </w:r>
      <w:r>
        <w:rPr>
          <w:sz w:val="28"/>
          <w:b/>
          <w:rFonts w:ascii="Times New Roman" w:hAnsi="Times New Roman"/>
        </w:rPr>
        <w:t xml:space="preserve">sredstvi </w:t>
      </w:r>
      <w:r>
        <w:rPr>
          <w:sz w:val="28"/>
          <w:i/>
          <w:rFonts w:ascii="Times New Roman" w:hAnsi="Times New Roman"/>
        </w:rPr>
        <w:t xml:space="preserve">za </w:t>
      </w:r>
      <w:r>
        <w:rPr>
          <w:sz w:val="28"/>
          <w:b/>
          <w:rFonts w:ascii="Times New Roman" w:hAnsi="Times New Roman"/>
        </w:rPr>
        <w:t xml:space="preserve">dostop do interneta</w:t>
      </w:r>
      <w:r>
        <w:rPr>
          <w:sz w:val="28"/>
          <w:i/>
          <w:rFonts w:ascii="Times New Roman" w:hAnsi="Times New Roman"/>
        </w:rPr>
        <w:t xml:space="preserve">,</w:t>
      </w:r>
    </w:p>
    <w:p w14:paraId="703C9FB2" w14:textId="77777777" w:rsidR="0040649C" w:rsidRDefault="0040649C" w:rsidP="0040649C">
      <w:pPr>
        <w:jc w:val="both"/>
        <w:rPr>
          <w:rFonts w:ascii="Times New Roman" w:hAnsi="Times New Roman" w:cs="Times New Roman"/>
          <w:i/>
          <w:iCs/>
          <w:sz w:val="28"/>
          <w:szCs w:val="28"/>
        </w:rPr>
      </w:pPr>
    </w:p>
    <w:p w14:paraId="60C773D6" w14:textId="77777777" w:rsidR="0040649C" w:rsidRDefault="0040649C" w:rsidP="0040649C">
      <w:pPr>
        <w:jc w:val="both"/>
        <w:rPr>
          <w:rFonts w:ascii="Times New Roman" w:hAnsi="Times New Roman" w:cs="Times New Roman"/>
          <w:i/>
          <w:iCs/>
          <w:sz w:val="28"/>
          <w:szCs w:val="28"/>
        </w:rPr>
      </w:pPr>
    </w:p>
    <w:p w14:paraId="5EB3C277" w14:textId="77777777" w:rsidR="0040649C" w:rsidRDefault="0040649C" w:rsidP="0040649C">
      <w:pPr>
        <w:autoSpaceDE w:val="0"/>
        <w:autoSpaceDN w:val="0"/>
        <w:adjustRightInd w:val="0"/>
        <w:spacing w:after="0" w:line="240" w:lineRule="auto"/>
        <w:jc w:val="center"/>
        <w:rPr>
          <w:b/>
          <w:bCs/>
          <w:sz w:val="18"/>
          <w:szCs w:val="18"/>
          <w:rFonts w:ascii="Times New Roman" w:hAnsi="Times New Roman" w:cs="Times New Roman"/>
        </w:rPr>
      </w:pPr>
      <w:r>
        <w:rPr>
          <w:b/>
          <w:sz w:val="28"/>
          <w:rFonts w:ascii="Times New Roman" w:hAnsi="Times New Roman"/>
        </w:rPr>
        <w:t xml:space="preserve">Člen 1</w:t>
      </w:r>
    </w:p>
    <w:p w14:paraId="31383463" w14:textId="77777777" w:rsidR="0040649C" w:rsidRDefault="0040649C" w:rsidP="0040649C">
      <w:pPr>
        <w:autoSpaceDE w:val="0"/>
        <w:autoSpaceDN w:val="0"/>
        <w:adjustRightInd w:val="0"/>
        <w:spacing w:after="0" w:line="240" w:lineRule="auto"/>
        <w:jc w:val="center"/>
        <w:rPr>
          <w:rFonts w:ascii="Times New Roman" w:hAnsi="Times New Roman" w:cs="Times New Roman"/>
          <w:b/>
          <w:bCs/>
          <w:sz w:val="18"/>
          <w:szCs w:val="18"/>
        </w:rPr>
      </w:pPr>
    </w:p>
    <w:p w14:paraId="543E75AF"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 – Oddelek 5 poglavja II naslova I knjige II Zakonika o poštnih in elektronskih komunikacijah se dopolni s členom L. 34-9-3, kot sledi:</w:t>
      </w:r>
    </w:p>
    <w:p w14:paraId="7B358B7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035679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w:t>
      </w:r>
      <w:r>
        <w:rPr>
          <w:sz w:val="28"/>
          <w:i/>
          <w:rFonts w:ascii="Times New Roman" w:hAnsi="Times New Roman"/>
        </w:rPr>
        <w:t xml:space="preserve">Člen L. 34-9-3</w:t>
      </w:r>
      <w:r>
        <w:rPr>
          <w:sz w:val="28"/>
          <w:rFonts w:ascii="Times New Roman" w:hAnsi="Times New Roman"/>
        </w:rPr>
        <w:t xml:space="preserve">.</w:t>
      </w:r>
      <w:r>
        <w:rPr>
          <w:sz w:val="28"/>
          <w:rFonts w:ascii="Times New Roman" w:hAnsi="Times New Roman"/>
        </w:rPr>
        <w:t xml:space="preserve"> </w:t>
      </w:r>
      <w:r>
        <w:rPr>
          <w:sz w:val="28"/>
          <w:rFonts w:ascii="Times New Roman" w:hAnsi="Times New Roman"/>
        </w:rPr>
        <w:t xml:space="preserve">— I. – Terminalska oprema, namenjena uporabi spletnih javnih komunikacijskih storitev, ki zagotavljajo dostop do storitev in vsebin, ki bi lahko ogrozile telesni, duševni ali moralni razvoj mladoletnikov, je opremljena z lahko dostopnim in razumljivim sistemom, ki uporabnikom omogoča, da omejijo ali nadzorujejo dostop teh oseb do teh storitev in vsebin.</w:t>
      </w:r>
    </w:p>
    <w:p w14:paraId="2BD31D30"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D13896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Aktiviranje sistema iz prvega pododstavka te točke I se uporabniku ponudi, ko je oprema prvič dana v uporabo.</w:t>
      </w:r>
      <w:r>
        <w:rPr>
          <w:sz w:val="28"/>
          <w:rFonts w:ascii="Times New Roman" w:hAnsi="Times New Roman"/>
        </w:rPr>
        <w:t xml:space="preserve"> </w:t>
      </w:r>
      <w:r>
        <w:rPr>
          <w:sz w:val="28"/>
          <w:rFonts w:ascii="Times New Roman" w:hAnsi="Times New Roman"/>
        </w:rPr>
        <w:t xml:space="preserve">Osebni podatki mladoletnikov, zbrani ali ustvarjeni med aktiviranjem tega sistema, se ne uporabljajo, tudi potem, ko zainteresirane stranke postanejo polnoletne, v komercialne namene, kot so neposredno trženje, profiliranje in vedenjsko usmerjeno oglaševanje.</w:t>
      </w:r>
    </w:p>
    <w:p w14:paraId="518B6C3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C3697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Proizvajalci pri dajanju svoje terminalske opreme na trg zagotovijo, da operacijski sistemi, nameščeni na to opremo, vključujejo sistem iz prvega pododstavka.</w:t>
      </w:r>
      <w:r>
        <w:rPr>
          <w:sz w:val="28"/>
          <w:rFonts w:ascii="Times New Roman" w:hAnsi="Times New Roman"/>
        </w:rPr>
        <w:t xml:space="preserve"> </w:t>
      </w:r>
      <w:r>
        <w:rPr>
          <w:sz w:val="28"/>
          <w:rFonts w:ascii="Times New Roman" w:hAnsi="Times New Roman"/>
        </w:rPr>
        <w:t xml:space="preserve">Aktiviranje, uporaba in po potrebi odstranitev tega sistema so za uporabnika dovoljene brez dodatnih stroškov.</w:t>
      </w:r>
    </w:p>
    <w:p w14:paraId="1FB22B97"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13EF13D"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Kadar je primerno, ponudnik operacijskega sistema proizvajalcu na njegovo zahtevo zagotovi in potrdi, da operacijski sistem, namenjen namestitvi na terminalsko opremo, vključuje sistem iz navedenega prvega pododstavka.</w:t>
      </w:r>
    </w:p>
    <w:p w14:paraId="36B9592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9EC6A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Proizvajalci uvoznikom, distributerjem in ponudnikom storitev skladiščenja, pakiranja in dostave zagotovijo, da terminalska oprema, dana na trg, vključuje sistem iz prvega pododstavka.</w:t>
      </w:r>
      <w:r>
        <w:rPr>
          <w:sz w:val="28"/>
          <w:rFonts w:ascii="Times New Roman" w:hAnsi="Times New Roman"/>
        </w:rPr>
        <w:t xml:space="preserve"> </w:t>
      </w:r>
      <w:r>
        <w:rPr>
          <w:sz w:val="28"/>
          <w:rFonts w:ascii="Times New Roman" w:hAnsi="Times New Roman"/>
        </w:rPr>
        <w:t xml:space="preserve">V primeru iz četrtega pododstavka te točke I proizvajalec tem osebam posreduje potrdilo dobavitelja operacijskega sistema.</w:t>
      </w:r>
    </w:p>
    <w:p w14:paraId="09389E9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5C289BC2"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Uvozniki, distributerji in ponudniki storitev skladiščenja, pakiranja in dostave preverijo, ali so terminalsko opremo certificirali proizvajalci ali po potrebi dobavitelj operacijskega sistema pod pogoji iz petega pododstavka te točke I.</w:t>
      </w:r>
    </w:p>
    <w:p w14:paraId="1CEC5551" w14:textId="77777777" w:rsidR="0040649C" w:rsidRP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3191D739"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 </w:t>
      </w:r>
      <w:r>
        <w:rPr>
          <w:sz w:val="28"/>
          <w:rFonts w:ascii="Times New Roman" w:hAnsi="Times New Roman"/>
        </w:rPr>
        <w:t xml:space="preserve">Sistem iz prvega pododstavka te točke I se ne uporablja za opremo, dano na trg brez operacijskega sistema.</w:t>
      </w:r>
    </w:p>
    <w:p w14:paraId="42FA7488"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D55628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Obveznosti iz tretjega in petega pododstavka te točke I se po potrebi uporabljajo za pooblaščenega zastopnika proizvajalca.</w:t>
      </w:r>
    </w:p>
    <w:p w14:paraId="6FB23FD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4490B88"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Osebe, ki dajejo na trg terminalsko opremo iz prvega pododstavka te točke I, kadar se uporablja oprema, kot je opredeljena v tretjem odstavku člena L. 321-1 trgovinskega zakonika, zagotovijo, da taka oprema vključuje sistem iz prvega pododstavka te točke I.</w:t>
      </w:r>
    </w:p>
    <w:p w14:paraId="214C18D4"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7F614E3C"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Odlok Državnega sveta, izdan po mnenju Nacionalne komisije za informacijsko tehnologijo in svoboščine, določa:</w:t>
      </w:r>
    </w:p>
    <w:p w14:paraId="5303501A"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4124DC79" w14:textId="6FCBA180"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 Metode izvajanja točke I, vključno z minimalnimi funkcijami in tehničnimi značilnostmi sistema iz prvega pododstavka iste točke I, in sredstva, ki jih proizvajalec uporablja za lažjo uporabo navedenega sistema;</w:t>
      </w:r>
    </w:p>
    <w:p w14:paraId="3E2ADE6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0DA3FEF3"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„(1)</w:t>
      </w:r>
      <w:r>
        <w:rPr>
          <w:sz w:val="28"/>
          <w:i/>
          <w:rFonts w:ascii="Times New Roman" w:hAnsi="Times New Roman"/>
        </w:rPr>
        <w:t xml:space="preserve">(a) </w:t>
      </w:r>
      <w:r>
        <w:rPr>
          <w:sz w:val="28"/>
          <w:rFonts w:ascii="Times New Roman" w:hAnsi="Times New Roman"/>
        </w:rPr>
        <w:t xml:space="preserve">Način, kako proizvajalci in po potrebi ponudnik operacijskega sistema potrdijo, da operacijski sistemi, nameščeni na terminalski opremi, vključujejo sistem iz prvega pododstavka;</w:t>
      </w:r>
    </w:p>
    <w:p w14:paraId="677873B6"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2FBF93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„(2) Pogoje, pod katerimi lahko pristojni organ omeji ali prepove dajanje na trg terminalske opreme iz prvega pododstavka, ki predstavlja tveganje ali ni skladna, ter pogoje, pod katerimi jo lahko pristojni organ odpokliče ali umakne;</w:t>
      </w:r>
    </w:p>
    <w:p w14:paraId="6795771E"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6C07B18E"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„(3) Način, kako proizvajalci prispevajo k razširjanju razpoložljivih informacij o tveganjih, povezanih z uporabo spletnih javnih komunikacijskih storitev s strani mladoletnikov, zgodnje izpostavljenosti otrok zaslonom in sredstev za preprečevanje takšnih tveganj.“</w:t>
      </w:r>
    </w:p>
    <w:p w14:paraId="7E3397DB"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1C55B5C1"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II. — Zadnji odstavek točke I člena L. 34-9-3 Zakonika o poštnih in elektronskih komunikacijah se uporablja za terminalsko opremo, ki je bila prvič dana na trg po objavi odloka Državnega sveta iz člena L. 34-9-3.</w:t>
      </w:r>
    </w:p>
    <w:p w14:paraId="1F2A7712" w14:textId="77777777" w:rsidR="0040649C" w:rsidRDefault="0040649C" w:rsidP="0040649C">
      <w:pPr>
        <w:autoSpaceDE w:val="0"/>
        <w:autoSpaceDN w:val="0"/>
        <w:adjustRightInd w:val="0"/>
        <w:spacing w:after="0" w:line="240" w:lineRule="auto"/>
        <w:jc w:val="both"/>
        <w:rPr>
          <w:rFonts w:ascii="Numero" w:eastAsia="Numero" w:hAnsi="Times New Roman" w:cs="Numero"/>
          <w:sz w:val="34"/>
          <w:szCs w:val="34"/>
        </w:rPr>
      </w:pPr>
    </w:p>
    <w:p w14:paraId="3B26AB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Odlok Državnega sveta določi pogoje, pod katerimi osebe iz zadnjega odstavka točke I navedenega člena L. 34-9-3 v zvezi z opremo, ki je bila prvič dana na trg pred objavo odloka Državnega sveta iz člena L. 34-9-3, obvestijo uporabnika o obstoju sistemov, ki mu omogočajo, da omeji ali nadzoruje dostop mladoletnikov do storitev in vsebin, ki lahko škodujejo telesnemu, duševnemu ali moralnemu razvoju mladoletnikov.</w:t>
      </w:r>
    </w:p>
    <w:p w14:paraId="5596F5A1" w14:textId="77777777" w:rsidR="0040649C" w:rsidRDefault="0040649C" w:rsidP="0040649C">
      <w:pPr>
        <w:autoSpaceDE w:val="0"/>
        <w:autoSpaceDN w:val="0"/>
        <w:adjustRightInd w:val="0"/>
        <w:spacing w:after="0" w:line="240" w:lineRule="auto"/>
        <w:jc w:val="both"/>
        <w:rPr>
          <w:rFonts w:ascii="Times New Roman" w:hAnsi="Times New Roman" w:cs="Times New Roman"/>
          <w:sz w:val="24"/>
          <w:szCs w:val="24"/>
        </w:rPr>
      </w:pPr>
    </w:p>
    <w:p w14:paraId="1B5A1362" w14:textId="77777777" w:rsidR="0040649C" w:rsidRDefault="0040649C" w:rsidP="0040649C">
      <w:pPr>
        <w:autoSpaceDE w:val="0"/>
        <w:autoSpaceDN w:val="0"/>
        <w:adjustRightInd w:val="0"/>
        <w:spacing w:after="0" w:line="240" w:lineRule="auto"/>
        <w:jc w:val="center"/>
        <w:rPr>
          <w:b/>
          <w:bCs/>
          <w:i/>
          <w:iCs/>
          <w:sz w:val="28"/>
          <w:szCs w:val="28"/>
          <w:rFonts w:ascii="Times New Roman" w:hAnsi="Times New Roman" w:cs="Times New Roman"/>
        </w:rPr>
      </w:pPr>
      <w:r>
        <w:rPr>
          <w:b/>
          <w:sz w:val="28"/>
          <w:rFonts w:ascii="Times New Roman" w:hAnsi="Times New Roman"/>
        </w:rPr>
        <w:t xml:space="preserve">Člen 3</w:t>
      </w:r>
      <w:r>
        <w:rPr>
          <w:b/>
          <w:sz w:val="28"/>
          <w:i/>
          <w:rFonts w:ascii="Times New Roman" w:hAnsi="Times New Roman"/>
        </w:rPr>
        <w:t xml:space="preserve">(a)</w:t>
      </w:r>
    </w:p>
    <w:p w14:paraId="69A64DAC" w14:textId="77777777" w:rsidR="0040649C" w:rsidRDefault="0040649C" w:rsidP="0040649C">
      <w:pPr>
        <w:autoSpaceDE w:val="0"/>
        <w:autoSpaceDN w:val="0"/>
        <w:adjustRightInd w:val="0"/>
        <w:spacing w:after="0" w:line="240" w:lineRule="auto"/>
        <w:jc w:val="both"/>
        <w:rPr>
          <w:rFonts w:ascii="Times New Roman" w:hAnsi="Times New Roman" w:cs="Times New Roman"/>
          <w:sz w:val="28"/>
          <w:szCs w:val="28"/>
        </w:rPr>
      </w:pPr>
    </w:p>
    <w:p w14:paraId="2BFEACBB" w14:textId="77777777" w:rsidR="0040649C" w:rsidRDefault="0040649C" w:rsidP="0040649C">
      <w:pPr>
        <w:autoSpaceDE w:val="0"/>
        <w:autoSpaceDN w:val="0"/>
        <w:adjustRightInd w:val="0"/>
        <w:spacing w:after="0" w:line="240" w:lineRule="auto"/>
        <w:jc w:val="both"/>
        <w:rPr>
          <w:sz w:val="28"/>
          <w:szCs w:val="28"/>
          <w:rFonts w:ascii="Times New Roman" w:hAnsi="Times New Roman" w:cs="Times New Roman"/>
        </w:rPr>
      </w:pPr>
      <w:r>
        <w:rPr>
          <w:sz w:val="28"/>
          <w:rFonts w:ascii="Times New Roman" w:hAnsi="Times New Roman"/>
        </w:rPr>
        <w:t xml:space="preserve">Ta zakon začne veljati na dan, določen z odlokom, ki ne sme biti daljši od treh mesecev po datumu, ko vlada prejme odgovor Evropske komisije, na podlagi katerega lahko šteje, da so zakonske določbe, o katerih je bila obveščena, v skladu s pravom Evropske unije.</w:t>
      </w:r>
    </w:p>
    <w:p w14:paraId="64355554" w14:textId="77777777" w:rsidR="0040649C" w:rsidRDefault="0040649C" w:rsidP="0040649C">
      <w:pPr>
        <w:jc w:val="both"/>
      </w:pPr>
    </w:p>
    <w:sectPr w:rsidR="004064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umero">
    <w:altName w:val="Microsoft JhengHei"/>
    <w:panose1 w:val="00000000000000000000"/>
    <w:charset w:val="88"/>
    <w:family w:val="auto"/>
    <w:notTrueType/>
    <w:pitch w:val="default"/>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649C"/>
    <w:rsid w:val="000868C1"/>
    <w:rsid w:val="001246BF"/>
    <w:rsid w:val="0040649C"/>
    <w:rsid w:val="00A57D6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36BD"/>
  <w15:chartTrackingRefBased/>
  <w15:docId w15:val="{F0E58F22-4C65-4FF2-AC15-9BE63125D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3</Pages>
  <Words>766</Words>
  <Characters>4372</Characters>
  <Application>Microsoft Office Word</Application>
  <DocSecurity>0</DocSecurity>
  <Lines>36</Lines>
  <Paragraphs>10</Paragraphs>
  <ScaleCrop>false</ScaleCrop>
  <Company>Secrétariat Général</Company>
  <LinksUpToDate>false</LinksUpToDate>
  <CharactersWithSpaces>5128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BORTOLUZZI Noemie</dc:creator>
  <cp:keywords/>
  <dc:description/>
  <cp:lastModifiedBy>Liana Brili</cp:lastModifiedBy>
  <cp:revision>4</cp:revision>
  <dcterms:created xsi:type="dcterms:W3CDTF">2022-02-22T14:47:00Z</dcterms:created>
  <dcterms:modified xsi:type="dcterms:W3CDTF">2022-02-25T08:34:00Z</dcterms:modified>
</cp:coreProperties>
</file>