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Order of 10 May 2019 amending the Order of 30 December 2011 regulating safety in the construction of high-rise buildings and their protection against the risks of fire and panic</w:t>
      </w:r>
    </w:p>
    <w:p w14:paraId="3A3496B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Public concerned: operators and owners of establishments open to the public, business owners, main contractors, architects, members of safety committees, technical inspectors, manufacturers and installers of equipment using refrigerants.</w:t>
      </w:r>
      <w:r>
        <w:rPr>
          <w:rFonts w:ascii="Times New Roman" w:hAnsi="Times New Roman"/>
          <w:color w:val="000000"/>
          <w:sz w:val="27"/>
        </w:rPr>
        <w:br/>
        <w:t>Purpose: amendment of a provision concerning the characteristics of electrical appliances used for cooling in high-rise buildings (IGHs).</w:t>
      </w:r>
      <w:r>
        <w:rPr>
          <w:rFonts w:ascii="Times New Roman" w:hAnsi="Times New Roman"/>
          <w:color w:val="000000"/>
          <w:sz w:val="27"/>
        </w:rPr>
        <w:br/>
        <w:t>Entry into force: the day after publication in the Official Journal of the French Republic.</w:t>
      </w:r>
      <w:r>
        <w:rPr>
          <w:rFonts w:ascii="Times New Roman" w:hAnsi="Times New Roman"/>
          <w:color w:val="000000"/>
          <w:sz w:val="27"/>
        </w:rPr>
        <w:br/>
        <w:t>Notice: the fire safety and anti-panic regulations in establishments open to the public (ERPs) has been amended, notably Article CH 35 thereof, to authorise the use of flammable refrigerants, hitherto prohibited. Article GH 37(2) of the fire safety regulation for high-rise buildings refers to the provisions of Article CH 35. Pending a specific risk assessment study, it is necessary to continue to restrict the use of flammable fluids in high-rise buildings and to avoid the creation of a loophole through the referral of Article GH 37 to Article CH 35.</w:t>
      </w:r>
      <w:r>
        <w:rPr>
          <w:rFonts w:ascii="Times New Roman" w:hAnsi="Times New Roman"/>
          <w:color w:val="000000"/>
          <w:sz w:val="27"/>
        </w:rPr>
        <w:br/>
        <w:t xml:space="preserve">References: the wording of the text, as amended by this order, may be consulted on the </w:t>
      </w:r>
      <w:proofErr w:type="spellStart"/>
      <w:r>
        <w:rPr>
          <w:rFonts w:ascii="Times New Roman" w:hAnsi="Times New Roman"/>
          <w:color w:val="000000"/>
          <w:sz w:val="27"/>
        </w:rPr>
        <w:t>Légifrance</w:t>
      </w:r>
      <w:proofErr w:type="spellEnd"/>
      <w:r>
        <w:rPr>
          <w:rFonts w:ascii="Times New Roman" w:hAnsi="Times New Roman"/>
          <w:color w:val="000000"/>
          <w:sz w:val="27"/>
        </w:rPr>
        <w:t xml:space="preserve"> website (http://www.legifrance.gouv.fr).</w:t>
      </w:r>
    </w:p>
    <w:p w14:paraId="0E85CD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State for the Ecological and Inclusive Transition, the Keeper of the Seals, the Minister of Justice, the Minister of the Economy and Finance, the Minister of Labour, the Minister of the Interior, the Minister of Higher Education, Research and Innovation, the Minister for Territorial Cohesion and Relations with Local and Regional Authorities, and the Minister of Culture</w:t>
      </w:r>
      <w:r>
        <w:rPr>
          <w:rFonts w:ascii="Times New Roman" w:hAnsi="Times New Roman"/>
          <w:color w:val="000000"/>
          <w:sz w:val="27"/>
        </w:rPr>
        <w:br/>
        <w:t>Having regard to Directive (EU) 2015/1535 of the European Parliament and of the Council of 9 September 2015 laying down a procedure for the provision of information in the field of technical regulations and of rules on Information Society services, in particular Notification No 2018/469/F;</w:t>
      </w:r>
      <w:r>
        <w:rPr>
          <w:rFonts w:ascii="Times New Roman" w:hAnsi="Times New Roman"/>
          <w:color w:val="000000"/>
          <w:sz w:val="27"/>
        </w:rPr>
        <w:br/>
        <w:t>Having regard to the Construction and Housing Code, and in particular Article R122-4 thereof    ;</w:t>
      </w:r>
      <w:r>
        <w:rPr>
          <w:rFonts w:ascii="Times New Roman" w:hAnsi="Times New Roman"/>
          <w:color w:val="000000"/>
          <w:sz w:val="27"/>
        </w:rPr>
        <w:br/>
        <w:t>Having regard to the Order of 30 December 2011 regulating safety in the construction of high-rise buildings and their protection against the risks of fire and panic,</w:t>
      </w:r>
      <w:r>
        <w:rPr>
          <w:rFonts w:ascii="Times New Roman" w:hAnsi="Times New Roman"/>
          <w:color w:val="000000"/>
          <w:sz w:val="27"/>
        </w:rPr>
        <w:br/>
        <w:t>Having regard to the opinion of the High Council on Construction and Energy Efficiency, given on 16 October 2018;</w:t>
      </w:r>
      <w:r>
        <w:rPr>
          <w:rFonts w:ascii="Times New Roman" w:hAnsi="Times New Roman"/>
          <w:color w:val="000000"/>
          <w:sz w:val="27"/>
        </w:rPr>
        <w:br/>
        <w:t>Having regard to the opinion of the National Standards Evaluation Council of 11 October 2018,</w:t>
      </w:r>
      <w:r>
        <w:rPr>
          <w:rFonts w:ascii="Times New Roman" w:hAnsi="Times New Roman"/>
          <w:color w:val="000000"/>
          <w:sz w:val="27"/>
        </w:rPr>
        <w:br/>
        <w:t>Hereby order:</w:t>
      </w:r>
    </w:p>
    <w:p w14:paraId="3E2119D9"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lastRenderedPageBreak/>
        <w:t>Article 1</w:t>
      </w:r>
    </w:p>
    <w:p w14:paraId="16E979BE"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Title 1, Chapter II, Section VII of the regulations on safety in the construction of high-rise buildings and their protection against the risks of fire and panic, approved by the above-mentioned Order of 30 December 2011, is amended in accordance with Article 2.</w:t>
      </w:r>
    </w:p>
    <w:p w14:paraId="15F034AF"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2</w:t>
      </w:r>
    </w:p>
    <w:p w14:paraId="3B21DC11"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In Article GH 37, after the words: ‘</w:t>
      </w:r>
      <w:proofErr w:type="spellStart"/>
      <w:r>
        <w:rPr>
          <w:rFonts w:ascii="Times New Roman" w:hAnsi="Times New Roman"/>
          <w:color w:val="000000"/>
          <w:sz w:val="27"/>
        </w:rPr>
        <w:t>appareils</w:t>
      </w:r>
      <w:proofErr w:type="spellEnd"/>
      <w:r>
        <w:rPr>
          <w:rFonts w:ascii="Times New Roman" w:hAnsi="Times New Roman"/>
          <w:color w:val="000000"/>
          <w:sz w:val="27"/>
        </w:rPr>
        <w:t xml:space="preserve"> </w:t>
      </w:r>
      <w:proofErr w:type="spellStart"/>
      <w:r>
        <w:rPr>
          <w:rFonts w:ascii="Times New Roman" w:hAnsi="Times New Roman"/>
          <w:color w:val="000000"/>
          <w:sz w:val="27"/>
        </w:rPr>
        <w:t>électriques</w:t>
      </w:r>
      <w:proofErr w:type="spellEnd"/>
      <w:r>
        <w:rPr>
          <w:rFonts w:ascii="Times New Roman" w:hAnsi="Times New Roman"/>
          <w:color w:val="000000"/>
          <w:sz w:val="27"/>
        </w:rPr>
        <w:t xml:space="preserve"> de production de </w:t>
      </w:r>
      <w:proofErr w:type="spellStart"/>
      <w:r>
        <w:rPr>
          <w:rFonts w:ascii="Times New Roman" w:hAnsi="Times New Roman"/>
          <w:color w:val="000000"/>
          <w:sz w:val="27"/>
        </w:rPr>
        <w:t>froid</w:t>
      </w:r>
      <w:proofErr w:type="spellEnd"/>
      <w:r>
        <w:rPr>
          <w:rFonts w:ascii="Times New Roman" w:hAnsi="Times New Roman"/>
          <w:color w:val="000000"/>
          <w:sz w:val="27"/>
        </w:rPr>
        <w:t xml:space="preserve">’ (‘Electrical cooling appliances)’, the words: ‘, </w:t>
      </w:r>
      <w:proofErr w:type="spellStart"/>
      <w:r>
        <w:rPr>
          <w:rFonts w:ascii="Times New Roman" w:hAnsi="Times New Roman"/>
          <w:color w:val="000000"/>
          <w:sz w:val="27"/>
        </w:rPr>
        <w:t>n’utilisant</w:t>
      </w:r>
      <w:proofErr w:type="spellEnd"/>
      <w:r>
        <w:rPr>
          <w:rFonts w:ascii="Times New Roman" w:hAnsi="Times New Roman"/>
          <w:color w:val="000000"/>
          <w:sz w:val="27"/>
        </w:rPr>
        <w:t xml:space="preserve"> pas de </w:t>
      </w:r>
      <w:proofErr w:type="spellStart"/>
      <w:r>
        <w:rPr>
          <w:rFonts w:ascii="Times New Roman" w:hAnsi="Times New Roman"/>
          <w:color w:val="000000"/>
          <w:sz w:val="27"/>
        </w:rPr>
        <w:t>fluides</w:t>
      </w:r>
      <w:proofErr w:type="spellEnd"/>
      <w:r>
        <w:rPr>
          <w:rFonts w:ascii="Times New Roman" w:hAnsi="Times New Roman"/>
          <w:color w:val="000000"/>
          <w:sz w:val="27"/>
        </w:rPr>
        <w:t xml:space="preserve"> </w:t>
      </w:r>
      <w:proofErr w:type="spellStart"/>
      <w:r>
        <w:rPr>
          <w:rFonts w:ascii="Times New Roman" w:hAnsi="Times New Roman"/>
          <w:color w:val="000000"/>
          <w:sz w:val="27"/>
        </w:rPr>
        <w:t>frigorigènes</w:t>
      </w:r>
      <w:proofErr w:type="spellEnd"/>
      <w:r>
        <w:rPr>
          <w:rFonts w:ascii="Times New Roman" w:hAnsi="Times New Roman"/>
          <w:color w:val="000000"/>
          <w:sz w:val="27"/>
        </w:rPr>
        <w:t xml:space="preserve"> inflammables,’ (‘, not using flammable refrigerants,’) are inserted.</w:t>
      </w:r>
    </w:p>
    <w:p w14:paraId="1D043E63"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Article 3</w:t>
      </w:r>
    </w:p>
    <w:p w14:paraId="46DA1702"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This Order shall enter into force the day after its publication in the Official Journal of the French Republic.</w:t>
      </w:r>
    </w:p>
    <w:p w14:paraId="37B186A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Done on 10 May 2019.</w:t>
      </w:r>
    </w:p>
    <w:p w14:paraId="3087E08E" w14:textId="2E422699"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the Interior,</w:t>
      </w:r>
      <w:r>
        <w:rPr>
          <w:rFonts w:ascii="Times New Roman" w:hAnsi="Times New Roman"/>
          <w:color w:val="000000"/>
          <w:sz w:val="27"/>
        </w:rPr>
        <w:br/>
        <w:t>For and on behalf of the Minister:</w:t>
      </w:r>
      <w:r>
        <w:rPr>
          <w:rFonts w:ascii="Times New Roman" w:hAnsi="Times New Roman"/>
          <w:color w:val="000000"/>
          <w:sz w:val="27"/>
        </w:rPr>
        <w:br/>
        <w:t>The Head of Service, Deputy Director-General for Civil Security and Crisis Management, responsible for the Directorate of Firefighters,</w:t>
      </w:r>
      <w:r>
        <w:rPr>
          <w:rFonts w:ascii="Times New Roman" w:hAnsi="Times New Roman"/>
          <w:color w:val="000000"/>
          <w:sz w:val="27"/>
        </w:rPr>
        <w:br/>
        <w:t>M</w:t>
      </w:r>
      <w:r w:rsidR="007A46F7">
        <w:rPr>
          <w:rFonts w:ascii="Times New Roman" w:hAnsi="Times New Roman"/>
          <w:color w:val="000000"/>
          <w:sz w:val="27"/>
        </w:rPr>
        <w:t>.</w:t>
      </w:r>
      <w:r>
        <w:rPr>
          <w:rFonts w:ascii="Times New Roman" w:hAnsi="Times New Roman"/>
          <w:color w:val="000000"/>
          <w:sz w:val="27"/>
        </w:rPr>
        <w:t xml:space="preserve"> </w:t>
      </w:r>
      <w:proofErr w:type="spellStart"/>
      <w:r>
        <w:rPr>
          <w:rFonts w:ascii="Times New Roman" w:hAnsi="Times New Roman"/>
          <w:color w:val="000000"/>
          <w:sz w:val="27"/>
        </w:rPr>
        <w:t>Marquer</w:t>
      </w:r>
      <w:proofErr w:type="spellEnd"/>
    </w:p>
    <w:p w14:paraId="67BE75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State for the Ecological and Inclusive Transition,</w:t>
      </w:r>
      <w:r>
        <w:rPr>
          <w:rFonts w:ascii="Times New Roman" w:hAnsi="Times New Roman"/>
          <w:color w:val="000000"/>
          <w:sz w:val="27"/>
        </w:rPr>
        <w:br/>
        <w:t>For and on behalf of the Minister of State:</w:t>
      </w:r>
      <w:r>
        <w:rPr>
          <w:rFonts w:ascii="Times New Roman" w:hAnsi="Times New Roman"/>
          <w:color w:val="000000"/>
          <w:sz w:val="27"/>
        </w:rPr>
        <w:br/>
        <w:t>The Director of Housing, Urban Planning and Landscapes,</w:t>
      </w:r>
      <w:r>
        <w:rPr>
          <w:rFonts w:ascii="Times New Roman" w:hAnsi="Times New Roman"/>
          <w:color w:val="000000"/>
          <w:sz w:val="27"/>
        </w:rPr>
        <w:br/>
        <w:t>F. Adam</w:t>
      </w:r>
    </w:p>
    <w:p w14:paraId="10A6593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Keeper of the Seals, the Minister of Justice,</w:t>
      </w:r>
      <w:r>
        <w:rPr>
          <w:rFonts w:ascii="Times New Roman" w:hAnsi="Times New Roman"/>
          <w:color w:val="000000"/>
          <w:sz w:val="27"/>
        </w:rPr>
        <w:br/>
        <w:t>For and on behalf of the Minister:</w:t>
      </w:r>
      <w:r>
        <w:rPr>
          <w:rFonts w:ascii="Times New Roman" w:hAnsi="Times New Roman"/>
          <w:color w:val="000000"/>
          <w:sz w:val="27"/>
        </w:rPr>
        <w:br/>
        <w:t>The Secretary General,</w:t>
      </w:r>
      <w:r>
        <w:rPr>
          <w:rFonts w:ascii="Times New Roman" w:hAnsi="Times New Roman"/>
          <w:color w:val="000000"/>
          <w:sz w:val="27"/>
        </w:rPr>
        <w:br/>
        <w:t>V. Malbec</w:t>
      </w:r>
    </w:p>
    <w:p w14:paraId="58B9A22B"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Minister of the Economy and Finance,</w:t>
      </w:r>
      <w:r>
        <w:rPr>
          <w:rFonts w:ascii="Times New Roman" w:hAnsi="Times New Roman"/>
          <w:color w:val="000000"/>
          <w:sz w:val="27"/>
        </w:rPr>
        <w:br/>
        <w:t>For and on behalf of the Minister:</w:t>
      </w:r>
      <w:r>
        <w:rPr>
          <w:rFonts w:ascii="Times New Roman" w:hAnsi="Times New Roman"/>
          <w:color w:val="000000"/>
          <w:sz w:val="27"/>
        </w:rPr>
        <w:br/>
      </w:r>
      <w:r>
        <w:rPr>
          <w:rFonts w:ascii="Times New Roman" w:hAnsi="Times New Roman"/>
          <w:color w:val="000000"/>
          <w:sz w:val="27"/>
        </w:rPr>
        <w:lastRenderedPageBreak/>
        <w:t>Head of Industry Department,</w:t>
      </w:r>
      <w:r>
        <w:rPr>
          <w:rFonts w:ascii="Times New Roman" w:hAnsi="Times New Roman"/>
          <w:color w:val="000000"/>
          <w:sz w:val="27"/>
        </w:rPr>
        <w:br/>
        <w:t xml:space="preserve">J. </w:t>
      </w:r>
      <w:proofErr w:type="spellStart"/>
      <w:r>
        <w:rPr>
          <w:rFonts w:ascii="Times New Roman" w:hAnsi="Times New Roman"/>
          <w:color w:val="000000"/>
          <w:sz w:val="27"/>
        </w:rPr>
        <w:t>Tognola</w:t>
      </w:r>
      <w:proofErr w:type="spellEnd"/>
    </w:p>
    <w:p w14:paraId="648F29E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Labour,</w:t>
      </w:r>
      <w:r>
        <w:rPr>
          <w:rFonts w:ascii="Times New Roman" w:hAnsi="Times New Roman"/>
          <w:color w:val="000000"/>
          <w:sz w:val="27"/>
        </w:rPr>
        <w:br/>
        <w:t>For and on behalf of the Minister:</w:t>
      </w:r>
      <w:r>
        <w:rPr>
          <w:rFonts w:ascii="Times New Roman" w:hAnsi="Times New Roman"/>
          <w:color w:val="000000"/>
          <w:sz w:val="27"/>
        </w:rPr>
        <w:br/>
        <w:t>Director General of Labour,</w:t>
      </w:r>
      <w:r>
        <w:rPr>
          <w:rFonts w:ascii="Times New Roman" w:hAnsi="Times New Roman"/>
          <w:color w:val="000000"/>
          <w:sz w:val="27"/>
        </w:rPr>
        <w:br/>
        <w:t xml:space="preserve">Y. </w:t>
      </w:r>
      <w:proofErr w:type="spellStart"/>
      <w:r>
        <w:rPr>
          <w:rFonts w:ascii="Times New Roman" w:hAnsi="Times New Roman"/>
          <w:color w:val="000000"/>
          <w:sz w:val="27"/>
        </w:rPr>
        <w:t>Struillou</w:t>
      </w:r>
      <w:proofErr w:type="spellEnd"/>
    </w:p>
    <w:p w14:paraId="634689E8"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Higher Education,</w:t>
      </w:r>
      <w:r>
        <w:rPr>
          <w:rFonts w:ascii="Times New Roman" w:hAnsi="Times New Roman"/>
          <w:color w:val="000000"/>
          <w:sz w:val="27"/>
        </w:rPr>
        <w:br/>
        <w:t>Research and Innovation,</w:t>
      </w:r>
      <w:r>
        <w:rPr>
          <w:rFonts w:ascii="Times New Roman" w:hAnsi="Times New Roman"/>
          <w:color w:val="000000"/>
          <w:sz w:val="27"/>
        </w:rPr>
        <w:br/>
        <w:t>For and on behalf of the Minister:</w:t>
      </w:r>
      <w:r>
        <w:rPr>
          <w:rFonts w:ascii="Times New Roman" w:hAnsi="Times New Roman"/>
          <w:color w:val="000000"/>
          <w:sz w:val="27"/>
        </w:rPr>
        <w:br/>
        <w:t>Director-General for Higher Education and Vocational Integration,</w:t>
      </w:r>
      <w:r>
        <w:rPr>
          <w:rFonts w:ascii="Times New Roman" w:hAnsi="Times New Roman"/>
          <w:color w:val="000000"/>
          <w:sz w:val="27"/>
        </w:rPr>
        <w:br/>
        <w:t>B. Plateau</w:t>
      </w:r>
    </w:p>
    <w:p w14:paraId="24257C13"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for Territorial Cohesion and Relations with Local and Regional Authorities,</w:t>
      </w:r>
      <w:r>
        <w:rPr>
          <w:rFonts w:ascii="Times New Roman" w:hAnsi="Times New Roman"/>
          <w:color w:val="000000"/>
          <w:sz w:val="27"/>
        </w:rPr>
        <w:br/>
        <w:t>For the Minister and by delegation:</w:t>
      </w:r>
      <w:r>
        <w:rPr>
          <w:rFonts w:ascii="Times New Roman" w:hAnsi="Times New Roman"/>
          <w:color w:val="000000"/>
          <w:sz w:val="27"/>
        </w:rPr>
        <w:br/>
        <w:t>The Director of Housing, Urban Planning and Landscapes,</w:t>
      </w:r>
      <w:r>
        <w:rPr>
          <w:rFonts w:ascii="Times New Roman" w:hAnsi="Times New Roman"/>
          <w:color w:val="000000"/>
          <w:sz w:val="27"/>
        </w:rPr>
        <w:br/>
        <w:t>F. Adam</w:t>
      </w:r>
    </w:p>
    <w:p w14:paraId="4D15A2DE"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The Minister of Culture,</w:t>
      </w:r>
      <w:r>
        <w:rPr>
          <w:rFonts w:ascii="Times New Roman" w:hAnsi="Times New Roman"/>
          <w:color w:val="000000"/>
          <w:sz w:val="27"/>
        </w:rPr>
        <w:br/>
        <w:t>For the Minister and by delegation:</w:t>
      </w:r>
      <w:r>
        <w:rPr>
          <w:rFonts w:ascii="Times New Roman" w:hAnsi="Times New Roman"/>
          <w:color w:val="000000"/>
          <w:sz w:val="27"/>
        </w:rPr>
        <w:br/>
        <w:t>The Director General of Heritage,</w:t>
      </w:r>
      <w:r>
        <w:rPr>
          <w:rFonts w:ascii="Times New Roman" w:hAnsi="Times New Roman"/>
          <w:color w:val="000000"/>
          <w:sz w:val="27"/>
        </w:rPr>
        <w:br/>
        <w:t xml:space="preserve">P. </w:t>
      </w:r>
      <w:proofErr w:type="spellStart"/>
      <w:r>
        <w:rPr>
          <w:rFonts w:ascii="Times New Roman" w:hAnsi="Times New Roman"/>
          <w:color w:val="000000"/>
          <w:sz w:val="27"/>
        </w:rPr>
        <w:t>Barbat</w:t>
      </w:r>
      <w:proofErr w:type="spellEnd"/>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