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E64E0" w14:textId="70350B55" w:rsidR="0094645D" w:rsidRDefault="0094645D">
      <w:pPr>
        <w:rPr>
          <w:rFonts w:ascii="Verdana" w:hAnsi="Verdana"/>
        </w:rPr>
      </w:pPr>
      <w:bookmarkStart w:id="0" w:name="_Hlk66377407"/>
    </w:p>
    <w:p w14:paraId="3E00B0EB" w14:textId="77777777" w:rsidR="00905D0B" w:rsidRPr="003F6B93" w:rsidRDefault="00905D0B">
      <w:pPr>
        <w:rPr>
          <w:rFonts w:ascii="Verdana" w:hAnsi="Verdana"/>
        </w:rPr>
      </w:pPr>
    </w:p>
    <w:p w14:paraId="73062A11" w14:textId="77777777" w:rsidR="007879A9" w:rsidRPr="003F6B93" w:rsidRDefault="007879A9">
      <w:pPr>
        <w:rPr>
          <w:rFonts w:ascii="Verdana" w:hAnsi="Verdana"/>
        </w:rPr>
      </w:pPr>
      <w:r>
        <w:rPr>
          <w:rFonts w:ascii="Verdana" w:hAnsi="Verdana"/>
        </w:rPr>
        <w:t>Preambuła</w:t>
      </w:r>
    </w:p>
    <w:p w14:paraId="46759D2E" w14:textId="77777777" w:rsidR="00D77E05" w:rsidRDefault="00D77E05" w:rsidP="007C0F01">
      <w:pPr>
        <w:ind w:left="426"/>
        <w:jc w:val="both"/>
        <w:rPr>
          <w:rFonts w:ascii="Verdana" w:hAnsi="Verdana" w:cs="EU Albertina"/>
        </w:rPr>
      </w:pPr>
    </w:p>
    <w:p w14:paraId="291BCB5F" w14:textId="77777777" w:rsidR="00D77E05" w:rsidRDefault="00D77E05" w:rsidP="00036184">
      <w:pPr>
        <w:jc w:val="both"/>
        <w:rPr>
          <w:rFonts w:ascii="Verdana" w:hAnsi="Verdana" w:cs="EU Albertina"/>
        </w:rPr>
      </w:pPr>
      <w:r>
        <w:rPr>
          <w:rFonts w:ascii="Verdana" w:hAnsi="Verdana"/>
        </w:rPr>
        <w:t xml:space="preserve">W celu ustalenia, czy do celów niniejszego dekretu z mocą ustawy niektóre pojemniki na żywność mają być uważane za produkty z tworzyw sztucznych jednorazowego użytku, decydującą rolę odgrywa tendencja do marnotrawstwa ze względu na ich objętość lub rozmiar, zwłaszcza w odniesieniu do poszczególnych porcji. W niniejszych działaniach następczych oraz w celu harmonizacji z założeniami poczynionymi na jednolitym rynku europejskim uwzględnia się względy przedstawione w wytycznych i rozporządzeniach specjalnie opracowanych w tej sprawie przez Komisję Europejską, o których mowa w Dyrektywie Parlamentu Europejskiego i Rady (UE) 2019/904 z dnia 5 czerwca 2019 r. w sprawie zmniejszenia wpływu niektórych produktów z tworzyw sztucznych na środowisko. </w:t>
      </w:r>
    </w:p>
    <w:p w14:paraId="4344E981" w14:textId="77777777" w:rsidR="007C0F01" w:rsidRPr="007C0F01" w:rsidRDefault="007C0F01" w:rsidP="00036184">
      <w:pPr>
        <w:jc w:val="both"/>
        <w:rPr>
          <w:rFonts w:ascii="Verdana" w:hAnsi="Verdana" w:cs="EU Albertina"/>
        </w:rPr>
      </w:pPr>
      <w:r>
        <w:rPr>
          <w:rFonts w:ascii="Verdana" w:hAnsi="Verdana"/>
        </w:rPr>
        <w:t xml:space="preserve">Przykłady pojemników na żywność, które należy uznać za jednorazowe produkty z tworzyw sztucznych do celów niniejszego dekretu z mocą ustawy, to pojemniki na fast food lub pudełka na posiłki, takie jak kanapki, </w:t>
      </w:r>
      <w:r>
        <w:rPr>
          <w:rFonts w:ascii="Verdana" w:hAnsi="Verdana"/>
          <w:i/>
        </w:rPr>
        <w:t>wrapy</w:t>
      </w:r>
      <w:r>
        <w:rPr>
          <w:rFonts w:ascii="Verdana" w:hAnsi="Verdana"/>
        </w:rPr>
        <w:t xml:space="preserve"> i sałatki, zawierające ciepłą lub zimną żywność oraz pojemniki na świeże lub przetworzone środki spożywcze, które nie wymagają dalszego przygotowania, takie jak owoce, warzywa lub desery. Przykłady pojemników na żywność, których nie należy uznać za jednorazowe produkty z tworzyw sztucznych do celów niniejszej dyrektywy, są pojemniki na żywność, sprzedawane z suchymi lub zimnymi środkami spożywczymi, które wymagają dalszego przygotowania, pojemniki zawierające więcej niż jedną pojedynczą porcję żywności oraz pojemniki na żywność, przeznaczone do indywidualnej porcji i sprzedawane w więcej niż jednej jednostce.</w:t>
      </w:r>
    </w:p>
    <w:p w14:paraId="061F5D98" w14:textId="77777777" w:rsidR="007C0F01" w:rsidRDefault="007C0F01" w:rsidP="00036184">
      <w:pPr>
        <w:jc w:val="both"/>
        <w:rPr>
          <w:rFonts w:ascii="Verdana" w:hAnsi="Verdana" w:cs="EU Albertina"/>
        </w:rPr>
      </w:pPr>
      <w:r>
        <w:rPr>
          <w:rFonts w:ascii="Verdana" w:hAnsi="Verdana"/>
        </w:rPr>
        <w:t>Przykłady pojemników na napoje, które należy uznać za jednorazowe produkty z tworzyw sztucznych, to butelki na napoje lub kompozytowe opakowania na napoje stosowane do piwa, wina, wody, płynnych przekąsek, soków i nektarów, napojów instant lub mleka, ale nie kubki na napoje, ponieważ są one odrębną kategorią produktów z tworzyw sztucznych jednorazowego użytku do celów niniejszego dekretu z mocą ustawy.</w:t>
      </w:r>
    </w:p>
    <w:p w14:paraId="711CCE6E" w14:textId="77777777" w:rsidR="00036184" w:rsidRPr="00036184" w:rsidRDefault="00036184" w:rsidP="00036184">
      <w:pPr>
        <w:jc w:val="both"/>
        <w:rPr>
          <w:rFonts w:ascii="Verdana" w:hAnsi="Verdana"/>
        </w:rPr>
      </w:pPr>
      <w:r>
        <w:rPr>
          <w:rFonts w:ascii="Verdana" w:hAnsi="Verdana"/>
        </w:rPr>
        <w:t xml:space="preserve">Niniejszy dekret z mocą ustawy ustanawia środki mające na celu zapobieganie i ograniczanie wpływu niektórych produktów z tworzyw sztucznych jednorazowego użytku oraz produktów z tworzyw sztucznych </w:t>
      </w:r>
      <w:r>
        <w:rPr>
          <w:rFonts w:ascii="Verdana" w:hAnsi="Verdana"/>
        </w:rPr>
        <w:lastRenderedPageBreak/>
        <w:t>oksydegradowalnych na środowisko, w szczególności na środowisko wodne oraz na zdrowie ludzi, a także promowanie przejścia na gospodarkę o obiegu zamkniętym z innowacyjnymi i zrównoważonymi modelami biznesowymi, produktami i materiałami, przyczyniając się tym samym do skutecznego funkcjonowania rynku wewnętrznego.</w:t>
      </w:r>
    </w:p>
    <w:p w14:paraId="79283FBA" w14:textId="76F47710" w:rsidR="00036184" w:rsidRDefault="00036184" w:rsidP="00036184">
      <w:pPr>
        <w:jc w:val="both"/>
        <w:rPr>
          <w:rFonts w:ascii="Verdana" w:hAnsi="Verdana"/>
        </w:rPr>
      </w:pPr>
      <w:r>
        <w:rPr>
          <w:rFonts w:ascii="Verdana" w:hAnsi="Verdana"/>
        </w:rPr>
        <w:t>Promuje również podejścia obiegowe, które priorytetowo traktują produkty wielokrotnego użytku oraz zrównoważone i nietoksyczne systemy ponownego wykorzystania, a nie produkty jednorazowego użytku, przede wszystkim w celu zmniejszenia ilości wytwarzanych odpadów.</w:t>
      </w:r>
    </w:p>
    <w:p w14:paraId="2F500026" w14:textId="4E799E84" w:rsidR="00805BAF" w:rsidRPr="00036184" w:rsidRDefault="005D508B" w:rsidP="00036184">
      <w:pPr>
        <w:jc w:val="both"/>
        <w:rPr>
          <w:rFonts w:ascii="Verdana" w:hAnsi="Verdana"/>
        </w:rPr>
      </w:pPr>
      <w:r>
        <w:rPr>
          <w:rFonts w:ascii="Verdana" w:hAnsi="Verdana"/>
        </w:rPr>
        <w:t xml:space="preserve">Niniejszy dekret z mocą ustawy był przedmiotem procedury udzielania informacji w dziedzinie przepisów technicznych oraz zasad dotyczących usług społeczeństwa informacyjnego określonych w </w:t>
      </w:r>
      <w:r>
        <w:rPr>
          <w:rFonts w:ascii="Verdana" w:hAnsi="Verdana"/>
          <w:sz w:val="21"/>
        </w:rPr>
        <w:t>Dyrektywie Parlamentu Europejskiego (UE) 2015/1535 z dnia 9 września 2015 r.</w:t>
      </w:r>
    </w:p>
    <w:p w14:paraId="31EF75EF" w14:textId="77777777" w:rsidR="003B7AD3" w:rsidRPr="00953C37" w:rsidRDefault="003B7AD3" w:rsidP="003B7AD3">
      <w:pPr>
        <w:jc w:val="both"/>
        <w:rPr>
          <w:rFonts w:ascii="Verdana" w:hAnsi="Verdana"/>
        </w:rPr>
      </w:pPr>
      <w:r>
        <w:rPr>
          <w:rFonts w:ascii="Verdana" w:hAnsi="Verdana"/>
        </w:rPr>
        <w:t>Niniejszy dekret z mocą ustawy był przedmiotem procedury udzielania informacji w dziedzinie przepisów technicznych oraz zasad dotyczących usług społeczeństwa informacyjnego określonych w Dyrektywie Parlamentu Europejskiego (UE) 2015/1535 z dnia 9 września 2015 r.</w:t>
      </w:r>
    </w:p>
    <w:p w14:paraId="708F4727" w14:textId="0CEE0C54" w:rsidR="003B7AD3" w:rsidRPr="0030214C" w:rsidRDefault="003B7AD3" w:rsidP="003B7AD3">
      <w:pPr>
        <w:jc w:val="both"/>
        <w:rPr>
          <w:rFonts w:ascii="Verdana" w:hAnsi="Verdana"/>
        </w:rPr>
      </w:pPr>
      <w:r>
        <w:rPr>
          <w:rFonts w:ascii="Verdana" w:hAnsi="Verdana"/>
        </w:rPr>
        <w:t>Wysłuchano opinii organów samorządowych regionów autonomicznych.</w:t>
      </w:r>
    </w:p>
    <w:p w14:paraId="4FAC9822" w14:textId="77777777" w:rsidR="003B7AD3" w:rsidRDefault="003B7AD3" w:rsidP="003B7AD3">
      <w:pPr>
        <w:jc w:val="both"/>
        <w:rPr>
          <w:rFonts w:ascii="Verdana" w:hAnsi="Verdana"/>
        </w:rPr>
      </w:pPr>
    </w:p>
    <w:p w14:paraId="6C6BB1FC" w14:textId="77777777" w:rsidR="00AA1E2E" w:rsidRPr="003B7AD3" w:rsidRDefault="00AA1E2E" w:rsidP="003B7AD3">
      <w:pPr>
        <w:jc w:val="both"/>
        <w:rPr>
          <w:rFonts w:ascii="Verdana" w:hAnsi="Verdana"/>
        </w:rPr>
      </w:pPr>
    </w:p>
    <w:p w14:paraId="4F6C7BF1" w14:textId="3059BDE5" w:rsidR="00A172F1" w:rsidRPr="00C63B34" w:rsidRDefault="00975B2D" w:rsidP="00930734">
      <w:pPr>
        <w:pStyle w:val="Heading1"/>
        <w:ind w:firstLine="630"/>
      </w:pPr>
      <w:r>
        <w:br/>
        <w:t>Przepisy ogólne i zasady</w:t>
      </w:r>
    </w:p>
    <w:p w14:paraId="7BDDF5B7" w14:textId="0ADC805D" w:rsidR="00A172F1" w:rsidRPr="00C63B34" w:rsidRDefault="009870C4" w:rsidP="009870C4">
      <w:pPr>
        <w:pStyle w:val="Heading2"/>
        <w:numPr>
          <w:ilvl w:val="0"/>
          <w:numId w:val="0"/>
        </w:numPr>
        <w:tabs>
          <w:tab w:val="clear" w:pos="1701"/>
          <w:tab w:val="left" w:pos="180"/>
        </w:tabs>
        <w:ind w:left="426"/>
      </w:pPr>
      <w:r>
        <w:t>Artykuł 1</w:t>
      </w:r>
      <w:r>
        <w:br/>
        <w:t>Przedmiot</w:t>
      </w:r>
    </w:p>
    <w:p w14:paraId="1B889421" w14:textId="77777777" w:rsidR="00036184" w:rsidRPr="00036184" w:rsidRDefault="00036184" w:rsidP="007E04D1">
      <w:pPr>
        <w:jc w:val="both"/>
        <w:rPr>
          <w:rFonts w:ascii="Verdana" w:hAnsi="Verdana"/>
        </w:rPr>
      </w:pPr>
    </w:p>
    <w:p w14:paraId="6C49FEDE" w14:textId="77777777" w:rsidR="00BC18BB" w:rsidRDefault="002F5931" w:rsidP="00C525D6">
      <w:pPr>
        <w:pStyle w:val="ListParagraph"/>
        <w:numPr>
          <w:ilvl w:val="0"/>
          <w:numId w:val="11"/>
        </w:numPr>
        <w:jc w:val="both"/>
        <w:rPr>
          <w:rFonts w:ascii="Verdana" w:hAnsi="Verdana"/>
        </w:rPr>
      </w:pPr>
      <w:r>
        <w:rPr>
          <w:rFonts w:ascii="Verdana" w:hAnsi="Verdana"/>
        </w:rPr>
        <w:t>Niniejszy dekret z mocą ustawy transponuje do prawa krajowego dyrektywę Parlamentu Europejskiego i Rady (UE) 2019/904 z dnia 5 czerwca 2019 r. w sprawie zmniejszenia wpływu niektórych produktów z tworzyw sztucznych na środowisko.</w:t>
      </w:r>
    </w:p>
    <w:p w14:paraId="371AD20F" w14:textId="01DADD23" w:rsidR="00AA1E2E" w:rsidRPr="00BC18BB" w:rsidRDefault="009E5334" w:rsidP="00C525D6">
      <w:pPr>
        <w:pStyle w:val="ListParagraph"/>
        <w:numPr>
          <w:ilvl w:val="0"/>
          <w:numId w:val="11"/>
        </w:numPr>
        <w:jc w:val="both"/>
        <w:rPr>
          <w:rFonts w:ascii="Verdana" w:hAnsi="Verdana"/>
        </w:rPr>
      </w:pPr>
      <w:r>
        <w:rPr>
          <w:rFonts w:ascii="Verdana" w:hAnsi="Verdana"/>
        </w:rPr>
        <w:t xml:space="preserve">Niniejszy dekret z mocą ustawy jest również pierwszą nowelizacją ustawy nr 77/2019 z dnia 2 września, która nakłada obowiązek udostępnienia konsumentom rozwiązań alternatywnych wobec </w:t>
      </w:r>
      <w:r>
        <w:rPr>
          <w:rFonts w:ascii="Verdana" w:hAnsi="Verdana"/>
        </w:rPr>
        <w:lastRenderedPageBreak/>
        <w:t>ultralekkich plastikowych toreb i plastikowych tacek w punktach sprzedaży pieczywa, owoców i warzyw.</w:t>
      </w:r>
    </w:p>
    <w:p w14:paraId="392CD894" w14:textId="77777777" w:rsidR="00A756A5" w:rsidRPr="00A756A5" w:rsidRDefault="00A756A5" w:rsidP="00A756A5">
      <w:pPr>
        <w:pStyle w:val="ListParagraph"/>
        <w:jc w:val="both"/>
        <w:rPr>
          <w:rFonts w:ascii="Verdana" w:hAnsi="Verdana"/>
        </w:rPr>
      </w:pPr>
    </w:p>
    <w:p w14:paraId="76115829" w14:textId="55137B83" w:rsidR="007879A9" w:rsidRPr="00C63B34" w:rsidRDefault="004D1142" w:rsidP="009870C4">
      <w:pPr>
        <w:pStyle w:val="Heading2"/>
        <w:numPr>
          <w:ilvl w:val="0"/>
          <w:numId w:val="0"/>
        </w:numPr>
        <w:tabs>
          <w:tab w:val="clear" w:pos="1701"/>
          <w:tab w:val="left" w:pos="1276"/>
        </w:tabs>
        <w:ind w:left="426"/>
      </w:pPr>
      <w:r>
        <w:t>Artykuł 2</w:t>
      </w:r>
      <w:r>
        <w:br/>
      </w:r>
      <w:bookmarkStart w:id="1" w:name="_Ref66177877"/>
      <w:r>
        <w:t>Zakres</w:t>
      </w:r>
      <w:bookmarkEnd w:id="1"/>
    </w:p>
    <w:p w14:paraId="640E56C9" w14:textId="77777777" w:rsidR="00036184" w:rsidRPr="00036184" w:rsidRDefault="00036184" w:rsidP="00036184">
      <w:pPr>
        <w:rPr>
          <w:rFonts w:ascii="Verdana" w:hAnsi="Verdana"/>
        </w:rPr>
      </w:pPr>
    </w:p>
    <w:p w14:paraId="31FE437E" w14:textId="3B1BD210" w:rsidR="008716CA" w:rsidRDefault="00A172F1" w:rsidP="00C525D6">
      <w:pPr>
        <w:pStyle w:val="ListParagraph"/>
        <w:numPr>
          <w:ilvl w:val="0"/>
          <w:numId w:val="18"/>
        </w:numPr>
        <w:jc w:val="both"/>
        <w:rPr>
          <w:rFonts w:ascii="Verdana" w:hAnsi="Verdana"/>
        </w:rPr>
      </w:pPr>
      <w:r>
        <w:t>Niniejsze rozporządzenie stosuje się do wyrobów z tworzyw sztucznych jednorazowego użytku wymienionych w Załączniku I, wyrobów z oksydegradowalnego tworzywa sztucznego oraz narzędzi połowowych zawierających tworzywa sztuczne.</w:t>
      </w:r>
    </w:p>
    <w:p w14:paraId="3AC71414" w14:textId="31EFFBEF" w:rsidR="008716CA" w:rsidRDefault="008716CA" w:rsidP="00C525D6">
      <w:pPr>
        <w:pStyle w:val="ListParagraph"/>
        <w:numPr>
          <w:ilvl w:val="0"/>
          <w:numId w:val="18"/>
        </w:numPr>
        <w:jc w:val="both"/>
        <w:rPr>
          <w:rFonts w:ascii="Verdana" w:hAnsi="Verdana"/>
        </w:rPr>
      </w:pPr>
      <w:r>
        <w:rPr>
          <w:rFonts w:ascii="Verdana" w:hAnsi="Verdana"/>
        </w:rPr>
        <w:t>Aby zharmonizować stosowanie niniejszych przepisów na rynku Unii Europejskiej oraz wyjaśnić zakres przewidziany w poprzednim ustępie, przestrzegano zasad określonych w wytycznych Parlamentu Europejskiego i Rady (UE) 2019/904 z dnia 5 czerwca 2019 r. opublikowanych przez Komisję Europejską i udostępnionych na stronie internetowej APA, I.P.</w:t>
      </w:r>
    </w:p>
    <w:p w14:paraId="5EA0CD13" w14:textId="5455FE8B" w:rsidR="008A5EE0" w:rsidRPr="008716CA" w:rsidRDefault="008A5EE0" w:rsidP="00C525D6">
      <w:pPr>
        <w:pStyle w:val="ListParagraph"/>
        <w:numPr>
          <w:ilvl w:val="0"/>
          <w:numId w:val="18"/>
        </w:numPr>
        <w:jc w:val="both"/>
        <w:rPr>
          <w:rFonts w:ascii="Verdana" w:hAnsi="Verdana"/>
        </w:rPr>
      </w:pPr>
      <w:r>
        <w:t xml:space="preserve">Niniejsze rozporządzenie ma również zastosowanie do opakowań </w:t>
      </w:r>
      <w:bookmarkStart w:id="2" w:name="_Hlk66395090"/>
      <w:r>
        <w:t>jednorazowych wykonanych z dowolnego rodzaju materiałów.</w:t>
      </w:r>
      <w:r>
        <w:rPr>
          <w:rFonts w:ascii="Verdana" w:hAnsi="Verdana"/>
        </w:rPr>
        <w:t xml:space="preserve"> </w:t>
      </w:r>
    </w:p>
    <w:bookmarkEnd w:id="2"/>
    <w:p w14:paraId="6F41DA9F" w14:textId="059CEE77" w:rsidR="007879A9" w:rsidRPr="003F6B93" w:rsidRDefault="00B46206" w:rsidP="00C525D6">
      <w:pPr>
        <w:pStyle w:val="ListParagraph"/>
        <w:numPr>
          <w:ilvl w:val="0"/>
          <w:numId w:val="18"/>
        </w:numPr>
        <w:jc w:val="both"/>
        <w:rPr>
          <w:rFonts w:ascii="Verdana" w:hAnsi="Verdana"/>
        </w:rPr>
      </w:pPr>
      <w:r>
        <w:t xml:space="preserve">W przypadku konfliktu między niniejszym dekretem z mocą ustawy i dekretem z mocą ustawy nr 152-D/2017 z dnia 11 grudnia z późn. zm. i ponownie opublikowanym </w:t>
      </w:r>
      <w:bookmarkStart w:id="3" w:name="_Hlk65346660"/>
      <w:r>
        <w:t>dekretem z mocą ustawy nr 102-D/2020 z dnia 10 grudnia</w:t>
      </w:r>
      <w:bookmarkEnd w:id="3"/>
      <w:r>
        <w:t>, ustanawiającym system zarządzania określonymi strumieniami odpadów (Unilex) i/lub ogólny system gospodarowania odpadami (GSWM), zatwierdzonym w Załączniku I do dekretu z mocą ustawy nr 102-D/2020 z dnia 10 grudnia, niniejszy dekret ma pierwszeństwo.</w:t>
      </w:r>
    </w:p>
    <w:p w14:paraId="4C6CF3E8" w14:textId="77777777" w:rsidR="00A172F1" w:rsidRPr="00A27EAE" w:rsidRDefault="00A172F1" w:rsidP="00A27EAE">
      <w:pPr>
        <w:pStyle w:val="ListParagraph"/>
        <w:shd w:val="clear" w:color="auto" w:fill="FFFFFF"/>
        <w:tabs>
          <w:tab w:val="left" w:pos="1134"/>
        </w:tabs>
        <w:spacing w:after="225" w:line="390" w:lineRule="atLeast"/>
        <w:ind w:left="284"/>
        <w:rPr>
          <w:rFonts w:ascii="Verdana" w:hAnsi="Verdana"/>
          <w:b/>
        </w:rPr>
      </w:pPr>
    </w:p>
    <w:p w14:paraId="57CBE0EB" w14:textId="0482498E" w:rsidR="00836720" w:rsidRPr="00C63B34" w:rsidRDefault="009870C4" w:rsidP="009870C4">
      <w:pPr>
        <w:pStyle w:val="Heading2"/>
        <w:numPr>
          <w:ilvl w:val="0"/>
          <w:numId w:val="0"/>
        </w:numPr>
        <w:tabs>
          <w:tab w:val="clear" w:pos="1701"/>
          <w:tab w:val="left" w:pos="1276"/>
        </w:tabs>
        <w:ind w:left="4050"/>
        <w:jc w:val="left"/>
      </w:pPr>
      <w:r>
        <w:t>Artykuł 3</w:t>
      </w:r>
      <w:r>
        <w:br/>
        <w:t>Definicje</w:t>
      </w:r>
    </w:p>
    <w:p w14:paraId="4736A397" w14:textId="77777777" w:rsidR="00A27EAE" w:rsidRDefault="00A27EAE" w:rsidP="007E04D1">
      <w:pPr>
        <w:jc w:val="both"/>
        <w:rPr>
          <w:rFonts w:ascii="Verdana" w:hAnsi="Verdana"/>
        </w:rPr>
      </w:pPr>
    </w:p>
    <w:p w14:paraId="11A02850" w14:textId="3CB0841A" w:rsidR="008A723D" w:rsidRPr="003F6B93" w:rsidRDefault="008A723D" w:rsidP="00C525D6">
      <w:pPr>
        <w:pStyle w:val="ListParagraph"/>
        <w:numPr>
          <w:ilvl w:val="0"/>
          <w:numId w:val="17"/>
        </w:numPr>
        <w:jc w:val="both"/>
        <w:rPr>
          <w:rFonts w:ascii="Verdana" w:hAnsi="Verdana"/>
        </w:rPr>
      </w:pPr>
      <w:r>
        <w:rPr>
          <w:rFonts w:ascii="Verdana" w:hAnsi="Verdana"/>
        </w:rPr>
        <w:t xml:space="preserve">Do celów niniejszego dekretu z mocą ustawy stosuje się następujące definicje: </w:t>
      </w:r>
    </w:p>
    <w:p w14:paraId="0D9166E3" w14:textId="50D2FAF7" w:rsidR="008A723D" w:rsidRDefault="008A723D" w:rsidP="00F7675E">
      <w:pPr>
        <w:pStyle w:val="ListParagraph"/>
        <w:numPr>
          <w:ilvl w:val="0"/>
          <w:numId w:val="1"/>
        </w:numPr>
        <w:jc w:val="both"/>
        <w:rPr>
          <w:rFonts w:ascii="Verdana" w:hAnsi="Verdana"/>
        </w:rPr>
      </w:pPr>
      <w:r>
        <w:rPr>
          <w:rFonts w:ascii="Verdana" w:hAnsi="Verdana"/>
        </w:rPr>
        <w:t xml:space="preserve">„Narzędzia połowowe” oznaczają każdy wyrób lub sprzęt wykorzystywany w połowach lub akwakulturze w celu namierzania, poławiania lub odłowu morskich zasobów biologicznych lub pływających na powierzchni morza, i który jest wykorzystywany w celu przyciągnięcia i połowu lub hodowli takich morskich zasobów biologicznych; </w:t>
      </w:r>
    </w:p>
    <w:p w14:paraId="48F2B6B0" w14:textId="7290CA2C" w:rsidR="006336DE" w:rsidRDefault="006336DE" w:rsidP="00F7675E">
      <w:pPr>
        <w:pStyle w:val="ListParagraph"/>
        <w:numPr>
          <w:ilvl w:val="0"/>
          <w:numId w:val="1"/>
        </w:numPr>
        <w:jc w:val="both"/>
        <w:rPr>
          <w:rFonts w:ascii="Verdana" w:hAnsi="Verdana"/>
        </w:rPr>
      </w:pPr>
      <w:r>
        <w:rPr>
          <w:rFonts w:ascii="Verdana" w:hAnsi="Verdana"/>
        </w:rPr>
        <w:lastRenderedPageBreak/>
        <w:t>„Działalność w handlu detalicznym” oznacza każdą odsprzedaż konsumentowi końcowemu, w tym podmiotom zawodowym i instytucjom, nowych lub używanych towarów, w miarę ich nabywania lub po przeprowadzeniu określonych działań związanych ze sprzedażą detaliczną, takich jak selekcja, klasyfikacja lub pakowanie, podejmowanych w zakładach handlowych lub poza nimi, na targach, rynkach miejskich, w ramach handlu obwoźnego, na odległość, w domu i za pośrednictwem automatów do sprzedaży;</w:t>
      </w:r>
    </w:p>
    <w:p w14:paraId="37A90115" w14:textId="154AA067" w:rsidR="006336DE" w:rsidRPr="00E0517F" w:rsidRDefault="006336DE" w:rsidP="00F7675E">
      <w:pPr>
        <w:pStyle w:val="ListParagraph"/>
        <w:numPr>
          <w:ilvl w:val="0"/>
          <w:numId w:val="1"/>
        </w:numPr>
        <w:jc w:val="both"/>
        <w:rPr>
          <w:rFonts w:ascii="Verdana" w:hAnsi="Verdana"/>
        </w:rPr>
      </w:pPr>
      <w:r>
        <w:rPr>
          <w:rFonts w:ascii="Verdana" w:hAnsi="Verdana"/>
        </w:rPr>
        <w:t>„Restauracja stojąca lub działalność oferująca napoje” oznacza świadczenie usług gastronomicznych lub oferowanie napojów o charakterze sporadycznym, należycie ogłoszonych do wiadomości publicznej, niezależnie od tego, czy są one świadczone w stałych obiektach lub w przenośnych obiektach zlokalizowanych w miejscach pokazów, targów, wystaw lub innych pomieszczeniach;</w:t>
      </w:r>
    </w:p>
    <w:p w14:paraId="614A6421" w14:textId="74BD997C" w:rsidR="006336DE" w:rsidRPr="00E0517F" w:rsidRDefault="006336DE" w:rsidP="00F7675E">
      <w:pPr>
        <w:pStyle w:val="ListParagraph"/>
        <w:numPr>
          <w:ilvl w:val="0"/>
          <w:numId w:val="1"/>
        </w:numPr>
        <w:jc w:val="both"/>
        <w:rPr>
          <w:rFonts w:ascii="Verdana" w:hAnsi="Verdana"/>
        </w:rPr>
      </w:pPr>
      <w:r>
        <w:rPr>
          <w:rFonts w:ascii="Verdana" w:hAnsi="Verdana"/>
        </w:rPr>
        <w:t xml:space="preserve">„Przedsiębiorstwo kateringowe lub oferujące napoje” oznacza przedsiębiorstwa, których działalność jest przeznaczona do oferowania żywności lub napojów oraz usług kawiarniowych wewnątrz lub poza samym przedsiębiorstwem, niezależnie od jego nazwy; </w:t>
      </w:r>
    </w:p>
    <w:p w14:paraId="66433F7D" w14:textId="17EDCD7E" w:rsidR="00B46206" w:rsidRPr="00FD46D9" w:rsidRDefault="00036184" w:rsidP="00F7675E">
      <w:pPr>
        <w:pStyle w:val="ListParagraph"/>
        <w:numPr>
          <w:ilvl w:val="0"/>
          <w:numId w:val="1"/>
        </w:numPr>
        <w:jc w:val="both"/>
        <w:rPr>
          <w:rFonts w:ascii="Verdana" w:hAnsi="Verdana"/>
        </w:rPr>
      </w:pPr>
      <w:r>
        <w:rPr>
          <w:rFonts w:ascii="Verdana" w:hAnsi="Verdana"/>
        </w:rPr>
        <w:t>„Wprowadzenie do obrotu” oznacza udostępnienie produktu na krajowym rynku po raz pierwszy w ramach działalności zawodowej;</w:t>
      </w:r>
    </w:p>
    <w:p w14:paraId="7D04A45F" w14:textId="3D4E5D72" w:rsidR="00EC283C" w:rsidRDefault="00EC283C" w:rsidP="00F7675E">
      <w:pPr>
        <w:pStyle w:val="ListParagraph"/>
        <w:numPr>
          <w:ilvl w:val="0"/>
          <w:numId w:val="1"/>
        </w:numPr>
        <w:jc w:val="both"/>
        <w:rPr>
          <w:rFonts w:ascii="Verdana" w:hAnsi="Verdana"/>
        </w:rPr>
      </w:pPr>
      <w:r>
        <w:rPr>
          <w:rFonts w:ascii="Verdana" w:hAnsi="Verdana"/>
        </w:rPr>
        <w:t>„Udostępnienie na rynku” oznacza każdą dostawę produktu w celu jego dystrybucji, konsumpcji lub wykorzystania na portugalskim rynku, w ramach działalności handlowej, odpłatnie lub nieodpłatnie;</w:t>
      </w:r>
    </w:p>
    <w:p w14:paraId="3CE3DCF0" w14:textId="77777777" w:rsidR="00BC18BB" w:rsidRDefault="00285B71" w:rsidP="00F7675E">
      <w:pPr>
        <w:pStyle w:val="ListParagraph"/>
        <w:numPr>
          <w:ilvl w:val="0"/>
          <w:numId w:val="1"/>
        </w:numPr>
        <w:jc w:val="both"/>
        <w:rPr>
          <w:rFonts w:ascii="Verdana" w:hAnsi="Verdana"/>
        </w:rPr>
      </w:pPr>
      <w:r>
        <w:rPr>
          <w:rFonts w:ascii="Verdana" w:hAnsi="Verdana"/>
        </w:rPr>
        <w:t xml:space="preserve">„Pakujący” oznacza pakującego zgodnie z definicją zawartą w art. 3 ust. 1 lit. q) Unilex; </w:t>
      </w:r>
    </w:p>
    <w:p w14:paraId="75FA7E25" w14:textId="77777777" w:rsidR="00BC18BB" w:rsidRDefault="003307FF" w:rsidP="00F7675E">
      <w:pPr>
        <w:pStyle w:val="ListParagraph"/>
        <w:numPr>
          <w:ilvl w:val="0"/>
          <w:numId w:val="1"/>
        </w:numPr>
        <w:jc w:val="both"/>
        <w:rPr>
          <w:rFonts w:ascii="Verdana" w:hAnsi="Verdana"/>
        </w:rPr>
      </w:pPr>
      <w:r>
        <w:rPr>
          <w:rFonts w:ascii="Verdana" w:hAnsi="Verdana"/>
        </w:rPr>
        <w:t xml:space="preserve">„Opakowanie” oznacza opakowanie zgodnie z definicją zawartą w art. 3 ust. 1 lit. r) Unilex; </w:t>
      </w:r>
    </w:p>
    <w:p w14:paraId="06F4B8DA" w14:textId="100831E2" w:rsidR="0091273F" w:rsidRPr="00BC18BB" w:rsidRDefault="0091273F" w:rsidP="00F7675E">
      <w:pPr>
        <w:pStyle w:val="ListParagraph"/>
        <w:numPr>
          <w:ilvl w:val="0"/>
          <w:numId w:val="1"/>
        </w:numPr>
        <w:jc w:val="both"/>
        <w:rPr>
          <w:rFonts w:ascii="Verdana" w:hAnsi="Verdana"/>
        </w:rPr>
      </w:pPr>
      <w:r>
        <w:rPr>
          <w:rFonts w:ascii="Verdana" w:hAnsi="Verdana"/>
        </w:rPr>
        <w:t xml:space="preserve">„Opakowanie jednorazowe” oznacza opakowanie jednorazowe lub nie nadające się do ponownego użytku zgodnie z definicją zawartą w art. 3 ust. 1 lit. u) Unilex; </w:t>
      </w:r>
    </w:p>
    <w:p w14:paraId="6165F5F7" w14:textId="6B369E32" w:rsidR="000F077F" w:rsidRDefault="000F077F" w:rsidP="00F7675E">
      <w:pPr>
        <w:pStyle w:val="ListParagraph"/>
        <w:numPr>
          <w:ilvl w:val="0"/>
          <w:numId w:val="1"/>
        </w:numPr>
        <w:jc w:val="both"/>
        <w:rPr>
          <w:rFonts w:ascii="Verdana" w:hAnsi="Verdana"/>
        </w:rPr>
      </w:pPr>
      <w:r>
        <w:rPr>
          <w:rFonts w:ascii="Verdana" w:hAnsi="Verdana"/>
        </w:rPr>
        <w:t xml:space="preserve">„Opakowanie wielokrotnego użytku” oznacza opakowanie wielokrotnego użytku zgodnie z definicją zawartą w art. 3 ust. 1 lit. v) Unilex; </w:t>
      </w:r>
    </w:p>
    <w:p w14:paraId="0A6FE340" w14:textId="6089B47D" w:rsidR="00C73230" w:rsidRDefault="00C73230" w:rsidP="00F7675E">
      <w:pPr>
        <w:pStyle w:val="ListParagraph"/>
        <w:numPr>
          <w:ilvl w:val="0"/>
          <w:numId w:val="1"/>
        </w:numPr>
        <w:jc w:val="both"/>
        <w:rPr>
          <w:rFonts w:ascii="Verdana" w:hAnsi="Verdana"/>
        </w:rPr>
      </w:pPr>
      <w:r>
        <w:rPr>
          <w:rFonts w:ascii="Verdana" w:hAnsi="Verdana"/>
        </w:rPr>
        <w:t xml:space="preserve">„Naczynia stołowe wielokrotnego użytku” oznaczają przybory lub opakowania używane do serwowania lub pomocy w spożyciu żywności lub napojów, które zostały wyprodukowane, zaprojektowane i wprowadzone do obrotu w celu wielokrotnego przemieszczenia lub rotacji w okresie ich trwałości poprzez </w:t>
      </w:r>
      <w:r>
        <w:rPr>
          <w:rFonts w:ascii="Verdana" w:hAnsi="Verdana"/>
        </w:rPr>
        <w:lastRenderedPageBreak/>
        <w:t>uzupełnienie lub ponowne wykorzystanie w tym samym celu, dla którego zostały wyprodukowane;</w:t>
      </w:r>
    </w:p>
    <w:p w14:paraId="5A147C8B" w14:textId="62F6B98B" w:rsidR="003307FF" w:rsidRPr="003F6B93" w:rsidRDefault="003307FF" w:rsidP="00F7675E">
      <w:pPr>
        <w:pStyle w:val="ListParagraph"/>
        <w:numPr>
          <w:ilvl w:val="0"/>
          <w:numId w:val="1"/>
        </w:numPr>
        <w:jc w:val="both"/>
        <w:rPr>
          <w:rFonts w:ascii="Verdana" w:hAnsi="Verdana"/>
        </w:rPr>
      </w:pPr>
      <w:r>
        <w:rPr>
          <w:rFonts w:ascii="Verdana" w:hAnsi="Verdana"/>
        </w:rPr>
        <w:t>„Portowe urządzenia odbiorcze” oznaczają portowe urządzenia odbiorcze zgodnie z definicją zawartą w art. 3 ust. 1 lit. m) dekretu z mocą ustawy nr 102/2020 z dnia 9 grudnia;</w:t>
      </w:r>
    </w:p>
    <w:p w14:paraId="420091DC" w14:textId="1E1FA71C" w:rsidR="00EC283C" w:rsidRDefault="00EC283C" w:rsidP="00F7675E">
      <w:pPr>
        <w:pStyle w:val="ListParagraph"/>
        <w:numPr>
          <w:ilvl w:val="0"/>
          <w:numId w:val="1"/>
        </w:numPr>
        <w:jc w:val="both"/>
        <w:rPr>
          <w:rFonts w:ascii="Verdana" w:hAnsi="Verdana"/>
        </w:rPr>
      </w:pPr>
      <w:r>
        <w:rPr>
          <w:rFonts w:ascii="Verdana" w:hAnsi="Verdana"/>
        </w:rPr>
        <w:t xml:space="preserve">„Norma zharmonizowana” oznacza normę zharmonizowaną zgodnie z definicją zawartą w art. 2 ust. 1 lit. c) rozporządzenia (UE) nr 1025/2012; </w:t>
      </w:r>
    </w:p>
    <w:p w14:paraId="3F5AA973" w14:textId="61A5681F" w:rsidR="00C73230" w:rsidRPr="00E0517F" w:rsidRDefault="00C73230" w:rsidP="00F7675E">
      <w:pPr>
        <w:pStyle w:val="ListParagraph"/>
        <w:numPr>
          <w:ilvl w:val="0"/>
          <w:numId w:val="1"/>
        </w:numPr>
        <w:jc w:val="both"/>
        <w:rPr>
          <w:rFonts w:ascii="Verdana" w:hAnsi="Verdana"/>
          <w:i/>
        </w:rPr>
      </w:pPr>
      <w:r>
        <w:rPr>
          <w:rFonts w:ascii="Verdana" w:hAnsi="Verdana"/>
        </w:rPr>
        <w:t>„Inne przedsiębiorstwa gastronomiczne lub z napojami” oznaczają miejsca, w których usługi gastronomiczne lub oferowanie napojów są świadczone za pośrednictwem cateringu, bankietu lub innych usług, pod warunkiem że są one przeprowadzane regularnie, rozumiane jako co najmniej 10 imprez rocznie w takich pomieszczeniach;</w:t>
      </w:r>
    </w:p>
    <w:p w14:paraId="197CE626" w14:textId="01DEE9CD" w:rsidR="008A723D" w:rsidRPr="003F6B93" w:rsidRDefault="008A723D" w:rsidP="00F7675E">
      <w:pPr>
        <w:pStyle w:val="ListParagraph"/>
        <w:numPr>
          <w:ilvl w:val="0"/>
          <w:numId w:val="1"/>
        </w:numPr>
        <w:jc w:val="both"/>
        <w:rPr>
          <w:rFonts w:ascii="Verdana" w:hAnsi="Verdana"/>
        </w:rPr>
      </w:pPr>
      <w:r>
        <w:rPr>
          <w:rFonts w:ascii="Verdana" w:hAnsi="Verdana"/>
        </w:rPr>
        <w:t xml:space="preserve">„Tworzywo sztuczne” oznacza materiał złożony z polimeru zdefiniowanego w art. 3 ust. 5 rozporządzenia (WE) nr 1907/2006, do którego mogły zostać dodane dodatki lub inne substancje i który może funkcjonować jako główny składnik strukturalny produktów końcowych, z wyjątkiem polimerów naturalnych, które nie zostały zmodyfikowane chemicznie; </w:t>
      </w:r>
    </w:p>
    <w:p w14:paraId="55AF46E6" w14:textId="50FF4EB6" w:rsidR="003307FF" w:rsidRPr="003F6B93" w:rsidRDefault="003307FF" w:rsidP="00F7675E">
      <w:pPr>
        <w:pStyle w:val="ListParagraph"/>
        <w:numPr>
          <w:ilvl w:val="0"/>
          <w:numId w:val="1"/>
        </w:numPr>
        <w:jc w:val="both"/>
        <w:rPr>
          <w:rFonts w:ascii="Verdana" w:hAnsi="Verdana"/>
        </w:rPr>
      </w:pPr>
      <w:r>
        <w:rPr>
          <w:rFonts w:ascii="Verdana" w:hAnsi="Verdana"/>
        </w:rPr>
        <w:t>„Biodegradowalne tworzywo sztuczne” oznacza tworzywo sztuczne zdolne do rozkładu fizycznego i biologicznego, które ostatecznie ulega rozkładowi na dwutlenek węgla (CO</w:t>
      </w:r>
      <w:r>
        <w:rPr>
          <w:rFonts w:ascii="Verdana" w:hAnsi="Verdana"/>
          <w:vertAlign w:val="subscript"/>
        </w:rPr>
        <w:t>2</w:t>
      </w:r>
      <w:r>
        <w:rPr>
          <w:rFonts w:ascii="Verdana" w:hAnsi="Verdana"/>
        </w:rPr>
        <w:t>), biomasę i wodę oraz jest, zgodnie z europejskimi normami dotyczącymi pakowania, możliwe do odzyskiwania poprzez kompostowanie i fermentację beztlenową;</w:t>
      </w:r>
    </w:p>
    <w:p w14:paraId="243D3CF3" w14:textId="064E6342" w:rsidR="008A723D" w:rsidRPr="003F6B93" w:rsidRDefault="008A723D" w:rsidP="00F7675E">
      <w:pPr>
        <w:pStyle w:val="ListParagraph"/>
        <w:numPr>
          <w:ilvl w:val="0"/>
          <w:numId w:val="1"/>
        </w:numPr>
        <w:jc w:val="both"/>
        <w:rPr>
          <w:rFonts w:ascii="Verdana" w:hAnsi="Verdana"/>
        </w:rPr>
      </w:pPr>
      <w:r>
        <w:rPr>
          <w:rFonts w:ascii="Verdana" w:hAnsi="Verdana"/>
        </w:rPr>
        <w:t xml:space="preserve">„Oksydegradowalne tworzywo sztuczne” oznacza materiały z tworzyw sztucznych, które zawierają dodatki, które poprzez utlenianie prowadzą do rozdrobnienia materiału z tworzywa sztucznego na mikro fragmenty lub do rozkładu chemicznego; </w:t>
      </w:r>
    </w:p>
    <w:p w14:paraId="7BF28EB9" w14:textId="4F4AE25F" w:rsidR="008A723D" w:rsidRPr="003F6B93" w:rsidRDefault="008A723D" w:rsidP="00F7675E">
      <w:pPr>
        <w:pStyle w:val="ListParagraph"/>
        <w:numPr>
          <w:ilvl w:val="0"/>
          <w:numId w:val="1"/>
        </w:numPr>
        <w:jc w:val="both"/>
        <w:rPr>
          <w:rFonts w:ascii="Verdana" w:hAnsi="Verdana"/>
        </w:rPr>
      </w:pPr>
      <w:r>
        <w:rPr>
          <w:rFonts w:ascii="Verdana" w:hAnsi="Verdana"/>
        </w:rPr>
        <w:t xml:space="preserve">„Wyrób z tworzywa sztucznego jednorazowego użytku” oznacza produkt, który jest wytwarzany w całości lub w części z tworzywa sztucznego i który nie został wyprodukowany, zaprojektowany ani wprowadzony do obrotu w  celu wielokrotnego przemieszczenia lub rotacji w okresie jego trwałości poprzez zwrócenie producentowi w celu uzupełnienia lub ponownego użycia w tym samym celu, dla którego został wyprodukowany; </w:t>
      </w:r>
    </w:p>
    <w:p w14:paraId="3B015B5D" w14:textId="6D7B7308" w:rsidR="003307FF" w:rsidRPr="003F6B93" w:rsidRDefault="003307FF" w:rsidP="00F7675E">
      <w:pPr>
        <w:pStyle w:val="ListParagraph"/>
        <w:numPr>
          <w:ilvl w:val="0"/>
          <w:numId w:val="1"/>
        </w:numPr>
        <w:jc w:val="both"/>
        <w:rPr>
          <w:rFonts w:ascii="Verdana" w:hAnsi="Verdana"/>
        </w:rPr>
      </w:pPr>
      <w:r>
        <w:rPr>
          <w:rFonts w:ascii="Verdana" w:hAnsi="Verdana"/>
        </w:rPr>
        <w:t xml:space="preserve">„Producent” oznacza producenta produktu zgodnie z definicją zawartą w art. 3 ust. 1 lit. r) Unilex, który wprowadza do obrotu produkty z tworzyw sztucznych jednorazowego użytku, napełnione </w:t>
      </w:r>
      <w:r>
        <w:rPr>
          <w:rFonts w:ascii="Verdana" w:hAnsi="Verdana"/>
        </w:rPr>
        <w:lastRenderedPageBreak/>
        <w:t>produkty z tworzyw sztucznych lub narzędzia połowowe zawierające tworzywo sztuczne, innego niż osoby prowadzące działalność połowową zgodnie z definicją zawartą w art. 4 ust. 28 rozporządzenia Parlamentu Europejskiego i Rady (UE) nr 1380/2013;</w:t>
      </w:r>
    </w:p>
    <w:p w14:paraId="6BD3956F" w14:textId="4A211B1E" w:rsidR="003307FF" w:rsidRDefault="003307FF" w:rsidP="00F7675E">
      <w:pPr>
        <w:pStyle w:val="ListParagraph"/>
        <w:numPr>
          <w:ilvl w:val="0"/>
          <w:numId w:val="1"/>
        </w:numPr>
        <w:jc w:val="both"/>
        <w:rPr>
          <w:rFonts w:ascii="Verdana" w:hAnsi="Verdana"/>
        </w:rPr>
      </w:pPr>
      <w:r>
        <w:rPr>
          <w:rFonts w:ascii="Verdana" w:hAnsi="Verdana"/>
        </w:rPr>
        <w:t>„Wyroby tytoniowe” oznaczają wyroby tytoniowe zgodnie z bieżącą definicją zawartą w art. 2 lit. e) ustawy nr 37/2007 z dnia 14 sierpnia;</w:t>
      </w:r>
    </w:p>
    <w:p w14:paraId="6000B528" w14:textId="731A3572" w:rsidR="003A6EB6" w:rsidRPr="003F6B93" w:rsidRDefault="003A6EB6" w:rsidP="00F7675E">
      <w:pPr>
        <w:pStyle w:val="ListParagraph"/>
        <w:numPr>
          <w:ilvl w:val="0"/>
          <w:numId w:val="1"/>
        </w:numPr>
        <w:jc w:val="both"/>
        <w:rPr>
          <w:rFonts w:ascii="Verdana" w:hAnsi="Verdana"/>
        </w:rPr>
      </w:pPr>
      <w:r>
        <w:rPr>
          <w:rFonts w:ascii="Verdana" w:hAnsi="Verdana"/>
        </w:rPr>
        <w:t xml:space="preserve">„Zbiórka” oznacza zbiórkę zgodnie z definicją zawartą w art. 3 ust. 1 lit. x) ogólnego systemu gospodarki odpadami (GSWM); </w:t>
      </w:r>
    </w:p>
    <w:p w14:paraId="7203E680" w14:textId="77777777" w:rsidR="00397D00" w:rsidRDefault="003A6EB6" w:rsidP="00F7675E">
      <w:pPr>
        <w:pStyle w:val="ListParagraph"/>
        <w:numPr>
          <w:ilvl w:val="0"/>
          <w:numId w:val="1"/>
        </w:numPr>
        <w:jc w:val="both"/>
        <w:rPr>
          <w:rFonts w:ascii="Verdana" w:hAnsi="Verdana"/>
        </w:rPr>
      </w:pPr>
      <w:r>
        <w:rPr>
          <w:rFonts w:ascii="Verdana" w:hAnsi="Verdana"/>
        </w:rPr>
        <w:t>„Zbiórka selektywna” oznacza zbiórkę zgodnie z definicją zawartą w art. 3 ust. 1 lit. j) GSWM;</w:t>
      </w:r>
    </w:p>
    <w:p w14:paraId="4F7991B3" w14:textId="1C62BF7C" w:rsidR="00397D00" w:rsidRPr="00397D00" w:rsidRDefault="00397D00" w:rsidP="00F7675E">
      <w:pPr>
        <w:pStyle w:val="ListParagraph"/>
        <w:numPr>
          <w:ilvl w:val="0"/>
          <w:numId w:val="1"/>
        </w:numPr>
        <w:jc w:val="both"/>
        <w:rPr>
          <w:rFonts w:ascii="Verdana" w:hAnsi="Verdana"/>
        </w:rPr>
      </w:pPr>
      <w:r>
        <w:rPr>
          <w:rFonts w:ascii="Verdana" w:hAnsi="Verdana"/>
        </w:rPr>
        <w:t>„Posiłki gotowe do spożycia, przeznaczone do spożycia na miejscu i na wynos lub do dostawy do domu” oznaczają posiłki gotowe do spożycia na miejscu i na wynos lub do dostawy do domu, zgodnie z definicją zawartą w art. 3 ust. 1 lit. ss) Unilex;</w:t>
      </w:r>
    </w:p>
    <w:p w14:paraId="4361DB13" w14:textId="755AE130" w:rsidR="00EC283C" w:rsidRPr="003F6B93" w:rsidRDefault="00EC283C" w:rsidP="00F7675E">
      <w:pPr>
        <w:pStyle w:val="ListParagraph"/>
        <w:numPr>
          <w:ilvl w:val="0"/>
          <w:numId w:val="1"/>
        </w:numPr>
        <w:jc w:val="both"/>
        <w:rPr>
          <w:rFonts w:ascii="Verdana" w:hAnsi="Verdana"/>
        </w:rPr>
      </w:pPr>
      <w:r>
        <w:rPr>
          <w:rFonts w:ascii="Verdana" w:hAnsi="Verdana"/>
        </w:rPr>
        <w:t>„Rozszerzony system odpowiedzialności producenta” oznacza rozszerzony system odpowiedzialności producenta zgodnie z definicją zawartą w art. 12 GSWM;</w:t>
      </w:r>
    </w:p>
    <w:p w14:paraId="52DDA252" w14:textId="1BBC69FE" w:rsidR="00EC283C" w:rsidRPr="003F6B93" w:rsidRDefault="00EC283C" w:rsidP="00F7675E">
      <w:pPr>
        <w:pStyle w:val="ListParagraph"/>
        <w:numPr>
          <w:ilvl w:val="0"/>
          <w:numId w:val="1"/>
        </w:numPr>
        <w:jc w:val="both"/>
        <w:rPr>
          <w:rFonts w:ascii="Verdana" w:hAnsi="Verdana"/>
        </w:rPr>
      </w:pPr>
      <w:r>
        <w:rPr>
          <w:rFonts w:ascii="Verdana" w:hAnsi="Verdana"/>
        </w:rPr>
        <w:t>„Odpady” oznaczają odpady zgodnie z definicją zawartą w art. 3 ust. 1 lit. aa) GSWM;</w:t>
      </w:r>
    </w:p>
    <w:p w14:paraId="0AD5E5B9" w14:textId="244FF434" w:rsidR="00A172F1" w:rsidRDefault="008A723D" w:rsidP="00F7675E">
      <w:pPr>
        <w:pStyle w:val="ListParagraph"/>
        <w:numPr>
          <w:ilvl w:val="0"/>
          <w:numId w:val="1"/>
        </w:numPr>
        <w:jc w:val="both"/>
        <w:rPr>
          <w:rFonts w:ascii="Verdana" w:hAnsi="Verdana"/>
        </w:rPr>
      </w:pPr>
      <w:r>
        <w:rPr>
          <w:rFonts w:ascii="Verdana" w:hAnsi="Verdana"/>
        </w:rPr>
        <w:t>„Odpadowe narzędzia połowowe” oznaczają wszelkie narzędzia połowowe objęte definicją „odpadów” w art. 3 ust. 1 lit. aa) GSWM, łącznie ze wszystkimi oddzielnymi składnikami, substancjami lub materiałami, które były częścią takich narzędzi połowowych lub były do nich dołączone w momencie ich odrzutu, w tym w momencie ich porzucenia lub utraty;</w:t>
      </w:r>
    </w:p>
    <w:p w14:paraId="3E377B11" w14:textId="325D1AE1" w:rsidR="00A6504A" w:rsidRPr="003F6B93" w:rsidRDefault="00A6504A" w:rsidP="00F7675E">
      <w:pPr>
        <w:pStyle w:val="ListParagraph"/>
        <w:numPr>
          <w:ilvl w:val="0"/>
          <w:numId w:val="1"/>
        </w:numPr>
        <w:jc w:val="both"/>
        <w:rPr>
          <w:rFonts w:ascii="Verdana" w:hAnsi="Verdana"/>
        </w:rPr>
      </w:pPr>
      <w:r>
        <w:rPr>
          <w:rFonts w:ascii="Verdana" w:hAnsi="Verdana"/>
        </w:rPr>
        <w:t>„Lekkie plastikowe torby na zakupy” oznaczają lekkie plastikowe torby na zakupy zgodnie z definicją zawartą w art. 3 ust. 1 lit. eee) Unilex;</w:t>
      </w:r>
    </w:p>
    <w:p w14:paraId="259D1820" w14:textId="46B99296" w:rsidR="00D30E28" w:rsidRPr="003F6B93" w:rsidRDefault="00D30E28" w:rsidP="00F7675E">
      <w:pPr>
        <w:pStyle w:val="ListParagraph"/>
        <w:numPr>
          <w:ilvl w:val="0"/>
          <w:numId w:val="1"/>
        </w:numPr>
        <w:jc w:val="both"/>
        <w:rPr>
          <w:rFonts w:ascii="Verdana" w:hAnsi="Verdana"/>
        </w:rPr>
      </w:pPr>
      <w:r>
        <w:rPr>
          <w:rFonts w:ascii="Verdana" w:hAnsi="Verdana"/>
        </w:rPr>
        <w:t>„Przeróbka” oznacza przeróbkę zgodnie z definicją zawartą w art. 3 ust. 1 lit. n) GSWM.</w:t>
      </w:r>
    </w:p>
    <w:p w14:paraId="4ADAA6E6" w14:textId="455D96C3" w:rsidR="00A172F1" w:rsidRDefault="00A172F1" w:rsidP="00A172F1">
      <w:pPr>
        <w:jc w:val="both"/>
        <w:rPr>
          <w:rFonts w:ascii="Verdana" w:hAnsi="Verdana"/>
        </w:rPr>
      </w:pPr>
    </w:p>
    <w:p w14:paraId="6B06554C" w14:textId="7B71E01C" w:rsidR="007B286C" w:rsidRPr="007B286C" w:rsidRDefault="004D1142" w:rsidP="00930734">
      <w:pPr>
        <w:pStyle w:val="Heading1"/>
        <w:tabs>
          <w:tab w:val="clear" w:pos="3969"/>
          <w:tab w:val="left" w:pos="2127"/>
        </w:tabs>
        <w:ind w:firstLine="90"/>
      </w:pPr>
      <w:bookmarkStart w:id="4" w:name="_Ref63690309"/>
      <w:r>
        <w:t xml:space="preserve"> </w:t>
      </w:r>
      <w:r>
        <w:br/>
        <w:t>Zakaz wprowadzania do obrotu</w:t>
      </w:r>
      <w:bookmarkEnd w:id="4"/>
    </w:p>
    <w:p w14:paraId="57C0FD44" w14:textId="6F99CF22" w:rsidR="00D27005" w:rsidRDefault="009870C4" w:rsidP="009870C4">
      <w:pPr>
        <w:pStyle w:val="Heading2"/>
        <w:numPr>
          <w:ilvl w:val="0"/>
          <w:numId w:val="0"/>
        </w:numPr>
        <w:tabs>
          <w:tab w:val="clear" w:pos="1701"/>
          <w:tab w:val="left" w:pos="1276"/>
        </w:tabs>
        <w:ind w:left="426"/>
      </w:pPr>
      <w:r>
        <w:t>Artykuł 4</w:t>
      </w:r>
      <w:r>
        <w:br/>
      </w:r>
      <w:bookmarkStart w:id="5" w:name="_Ref63690312"/>
      <w:r>
        <w:t>Zakaz wprowadzania do obrotu</w:t>
      </w:r>
      <w:bookmarkEnd w:id="5"/>
      <w:r>
        <w:t xml:space="preserve"> produktów z tworzyw </w:t>
      </w:r>
      <w:r>
        <w:lastRenderedPageBreak/>
        <w:t>sztucznych jednorazowego użytku oraz wyrobów z oksydegradowalnych tworzyw sztucznych</w:t>
      </w:r>
    </w:p>
    <w:p w14:paraId="2C461E0D" w14:textId="77777777" w:rsidR="007B286C" w:rsidRPr="007B286C" w:rsidRDefault="007B286C" w:rsidP="007B286C"/>
    <w:p w14:paraId="2713E414" w14:textId="77777777" w:rsidR="00D27005" w:rsidRPr="00371285" w:rsidRDefault="00D27005" w:rsidP="00C525D6">
      <w:pPr>
        <w:pStyle w:val="ListParagraph"/>
        <w:numPr>
          <w:ilvl w:val="3"/>
          <w:numId w:val="12"/>
        </w:numPr>
        <w:ind w:left="709"/>
        <w:jc w:val="both"/>
        <w:rPr>
          <w:rFonts w:ascii="Verdana" w:hAnsi="Verdana"/>
        </w:rPr>
      </w:pPr>
      <w:r>
        <w:rPr>
          <w:rFonts w:ascii="Verdana" w:hAnsi="Verdana"/>
        </w:rPr>
        <w:t xml:space="preserve">Zabrania się wprowadzania do obrotu następujących produktów jednorazowego użytku z tworzyw sztucznych: </w:t>
      </w:r>
    </w:p>
    <w:p w14:paraId="4121AA08" w14:textId="09262A16" w:rsidR="00D27005" w:rsidRPr="00D7669C" w:rsidRDefault="00D27005" w:rsidP="00C525D6">
      <w:pPr>
        <w:pStyle w:val="ListParagraph"/>
        <w:numPr>
          <w:ilvl w:val="0"/>
          <w:numId w:val="2"/>
        </w:numPr>
        <w:ind w:left="1134" w:hanging="357"/>
        <w:jc w:val="both"/>
        <w:rPr>
          <w:rFonts w:ascii="Verdana" w:hAnsi="Verdana"/>
        </w:rPr>
      </w:pPr>
      <w:r>
        <w:t>patyczki bawełniane, chyba że wchodzą w zakres stosowania dekretu z mocą ustawy nr 145/2009 z dnia 17 czerwca, sprostowane Deklaracją Rektyfikacji nr 60-A/2009 z dnia 14 sierpnia i zmienioną ustawami nr 21/2014 z dnia 16 kwietnia i 51/2014 z dnia 25 sierpnia oraz dekretem z mocą ustawy nr 5/2017 z dnia 6 czerwca i 79/2018 z dnia 15 października;</w:t>
      </w:r>
    </w:p>
    <w:p w14:paraId="4384DBC8"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sztućce (widelce, noże, łyżki, pałeczki); </w:t>
      </w:r>
    </w:p>
    <w:p w14:paraId="5AF0708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talerze; </w:t>
      </w:r>
    </w:p>
    <w:p w14:paraId="551ADCD0" w14:textId="6444964C" w:rsidR="00D27005" w:rsidRPr="00D7669C" w:rsidRDefault="00D27005" w:rsidP="00C525D6">
      <w:pPr>
        <w:pStyle w:val="ListParagraph"/>
        <w:numPr>
          <w:ilvl w:val="0"/>
          <w:numId w:val="2"/>
        </w:numPr>
        <w:ind w:left="1134" w:hanging="357"/>
        <w:jc w:val="both"/>
        <w:rPr>
          <w:rFonts w:ascii="Verdana" w:hAnsi="Verdana"/>
        </w:rPr>
      </w:pPr>
      <w:r>
        <w:t>słomki, chyba że wchodzą w zakres stosowania dekretu z mocą ustawy nr 145/2009 z dnia 17 czerwca, sprostowane Deklaracją Rektyfikacji nr 60-A/2009 z dnia 14 sierpnia i zmienioną ustawami nr 21/2014 z dnia 16 kwietnia i 51/2014 z dnia 25 sierpnia oraz dekretem z mocą ustawy nr 5/2017 z dnia 6 czerwca i 79/2018 z dnia 15 października;</w:t>
      </w:r>
    </w:p>
    <w:p w14:paraId="0296009E" w14:textId="77777777" w:rsidR="00D27005" w:rsidRPr="00D7669C" w:rsidRDefault="00D27005" w:rsidP="00C525D6">
      <w:pPr>
        <w:pStyle w:val="ListParagraph"/>
        <w:numPr>
          <w:ilvl w:val="0"/>
          <w:numId w:val="2"/>
        </w:numPr>
        <w:ind w:left="1134" w:hanging="357"/>
        <w:rPr>
          <w:rFonts w:ascii="Verdana" w:hAnsi="Verdana"/>
        </w:rPr>
      </w:pPr>
      <w:r>
        <w:rPr>
          <w:rFonts w:ascii="Verdana" w:hAnsi="Verdana"/>
        </w:rPr>
        <w:t xml:space="preserve">mieszadełka do napojów; </w:t>
      </w:r>
    </w:p>
    <w:p w14:paraId="4FA253D6"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patyczki mocowane do balonów i służące do tego, by balony się na nich opierały, w tym mechanizmy tych patyczków, z wyjątkiem balonów do użytku przemysłowego lub innych profesjonalnych zastosowań, które to balony nie są rozprowadzane wśród konsumentów; </w:t>
      </w:r>
    </w:p>
    <w:p w14:paraId="2177198E" w14:textId="38DD0DBA" w:rsidR="00D27005" w:rsidRPr="00D7669C" w:rsidRDefault="00D27005" w:rsidP="00C525D6">
      <w:pPr>
        <w:pStyle w:val="ListParagraph"/>
        <w:numPr>
          <w:ilvl w:val="0"/>
          <w:numId w:val="2"/>
        </w:numPr>
        <w:autoSpaceDE w:val="0"/>
        <w:autoSpaceDN w:val="0"/>
        <w:adjustRightInd w:val="0"/>
        <w:ind w:left="1134"/>
        <w:jc w:val="both"/>
        <w:rPr>
          <w:rFonts w:ascii="Verdana" w:hAnsi="Verdana"/>
        </w:rPr>
      </w:pPr>
      <w:r>
        <w:rPr>
          <w:rFonts w:ascii="Verdana" w:hAnsi="Verdana"/>
        </w:rPr>
        <w:t>pojemniki na żywność wykonane z polistyrenu ekspandowanego, tj. pojemniki takie jak pudełka, z pokrywką lub bez, stosowane w celu umieszczania w nich żywności, która:</w:t>
      </w:r>
    </w:p>
    <w:p w14:paraId="711C1AC6"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jest przeznaczona do bezpośredniego spożycia, na miejscu lub na wynos; </w:t>
      </w:r>
    </w:p>
    <w:p w14:paraId="5E3C14FD" w14:textId="77777777" w:rsidR="00D27005" w:rsidRPr="00D7669C"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 xml:space="preserve">jest zazwyczaj spożywana bezpośrednio z pojemnika; oraz </w:t>
      </w:r>
    </w:p>
    <w:p w14:paraId="41FE1FE0" w14:textId="77777777" w:rsidR="00D27005" w:rsidRDefault="00D27005" w:rsidP="00C525D6">
      <w:pPr>
        <w:pStyle w:val="ListParagraph"/>
        <w:numPr>
          <w:ilvl w:val="0"/>
          <w:numId w:val="3"/>
        </w:numPr>
        <w:autoSpaceDE w:val="0"/>
        <w:autoSpaceDN w:val="0"/>
        <w:adjustRightInd w:val="0"/>
        <w:ind w:left="1560" w:hanging="357"/>
        <w:jc w:val="both"/>
        <w:rPr>
          <w:rFonts w:ascii="Verdana" w:hAnsi="Verdana"/>
        </w:rPr>
      </w:pPr>
      <w:r>
        <w:rPr>
          <w:rFonts w:ascii="Verdana" w:hAnsi="Verdana"/>
        </w:rPr>
        <w:t>jest gotowa do spożycia bez dalszej obróbki, takiej jak przyrządzanie, gotowanie czy podgrzewanie;</w:t>
      </w:r>
    </w:p>
    <w:p w14:paraId="4D19B8C7" w14:textId="77777777" w:rsidR="00D27005" w:rsidRPr="00951CCF" w:rsidRDefault="00D27005" w:rsidP="00D27005">
      <w:pPr>
        <w:autoSpaceDE w:val="0"/>
        <w:autoSpaceDN w:val="0"/>
        <w:adjustRightInd w:val="0"/>
        <w:ind w:left="1134"/>
        <w:jc w:val="both"/>
        <w:rPr>
          <w:rFonts w:ascii="Verdana" w:hAnsi="Verdana"/>
        </w:rPr>
      </w:pPr>
      <w:r>
        <w:rPr>
          <w:rFonts w:ascii="Verdana" w:hAnsi="Verdana"/>
        </w:rPr>
        <w:t>w tym pojemniki na żywność typu fast food lub na inne posiłki gotowe do bezpośredniego spożycia, z wyjątkiem pojemników na napoje, talerzy oraz opakowań i owijek zawierających żywność;</w:t>
      </w:r>
    </w:p>
    <w:p w14:paraId="6ED2936A"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t xml:space="preserve">wykonane z polistyrenu ekspandowanego pojemniki na napoje, w tym ich nakrętki i wieczka; </w:t>
      </w:r>
    </w:p>
    <w:p w14:paraId="1F6E43A5" w14:textId="77777777" w:rsidR="00D27005" w:rsidRPr="00D7669C" w:rsidRDefault="00D27005" w:rsidP="00C525D6">
      <w:pPr>
        <w:pStyle w:val="ListParagraph"/>
        <w:numPr>
          <w:ilvl w:val="0"/>
          <w:numId w:val="2"/>
        </w:numPr>
        <w:ind w:left="1134" w:hanging="357"/>
        <w:jc w:val="both"/>
        <w:rPr>
          <w:rFonts w:ascii="Verdana" w:hAnsi="Verdana"/>
        </w:rPr>
      </w:pPr>
      <w:r>
        <w:rPr>
          <w:rFonts w:ascii="Verdana" w:hAnsi="Verdana"/>
        </w:rPr>
        <w:lastRenderedPageBreak/>
        <w:t>wykonane z polistyrenu ekspandowanego kubki na napoje, w tym ich zakrętki i wieczka;</w:t>
      </w:r>
    </w:p>
    <w:p w14:paraId="6425C76A" w14:textId="77777777" w:rsidR="00D27005" w:rsidRDefault="00D27005" w:rsidP="00C525D6">
      <w:pPr>
        <w:pStyle w:val="ListParagraph"/>
        <w:numPr>
          <w:ilvl w:val="3"/>
          <w:numId w:val="12"/>
        </w:numPr>
        <w:ind w:left="709"/>
        <w:jc w:val="both"/>
        <w:rPr>
          <w:rFonts w:ascii="Verdana" w:hAnsi="Verdana"/>
        </w:rPr>
      </w:pPr>
      <w:r>
        <w:rPr>
          <w:rFonts w:ascii="Verdana" w:hAnsi="Verdana"/>
        </w:rPr>
        <w:t>Wprowadzanie do obrotu jakichkolwiek wyrobów z oksydegradowalnych tworzyw sztucznych jest zabronione.</w:t>
      </w:r>
    </w:p>
    <w:p w14:paraId="056DE917" w14:textId="596EE346" w:rsidR="00D27005" w:rsidRDefault="00D27005" w:rsidP="00D27005"/>
    <w:p w14:paraId="477E39E4" w14:textId="3E1DA0DE" w:rsidR="00F75E18" w:rsidRDefault="009870C4" w:rsidP="009870C4">
      <w:pPr>
        <w:pStyle w:val="Heading2"/>
        <w:numPr>
          <w:ilvl w:val="0"/>
          <w:numId w:val="0"/>
        </w:numPr>
        <w:tabs>
          <w:tab w:val="clear" w:pos="1701"/>
          <w:tab w:val="left" w:pos="1276"/>
        </w:tabs>
        <w:ind w:left="426"/>
      </w:pPr>
      <w:r>
        <w:t>Artykuł 5</w:t>
      </w:r>
      <w:r>
        <w:br/>
        <w:t>Udostępnianie i stosowanie produktów z tworzyw sztucznych jednorazowego użytku</w:t>
      </w:r>
    </w:p>
    <w:p w14:paraId="3F98C67D" w14:textId="77777777" w:rsidR="004854CF" w:rsidRPr="004854CF" w:rsidRDefault="004854CF" w:rsidP="004854CF"/>
    <w:p w14:paraId="211621E2" w14:textId="364D82F9" w:rsidR="009B01EE" w:rsidRPr="00CE4719" w:rsidRDefault="00433A38" w:rsidP="00C525D6">
      <w:pPr>
        <w:pStyle w:val="ListParagraph"/>
        <w:numPr>
          <w:ilvl w:val="0"/>
          <w:numId w:val="16"/>
        </w:numPr>
        <w:ind w:left="709"/>
        <w:jc w:val="both"/>
        <w:rPr>
          <w:rFonts w:ascii="Verdana" w:hAnsi="Verdana"/>
        </w:rPr>
      </w:pPr>
      <w:bookmarkStart w:id="6" w:name="_Hlk66394718"/>
      <w:r>
        <w:t>Od dnia 1 lipca 2021 r. restauracje lub przedsiębiorstwa serwujące napoje nie mogą udostępniać konsumentowi końcowemu produktów z tworzyw sztucznych jednorazowego użytku, o których mowa w art. 4</w:t>
      </w:r>
      <w:bookmarkEnd w:id="6"/>
      <w:r>
        <w:t xml:space="preserve"> lit. b)–e) i g)–i) w odniesieniu do napojów i posiłków na miejscu.</w:t>
      </w:r>
      <w:r>
        <w:rPr>
          <w:rFonts w:ascii="Verdana" w:hAnsi="Verdana"/>
        </w:rPr>
        <w:t xml:space="preserve"> </w:t>
      </w:r>
    </w:p>
    <w:p w14:paraId="34B4D975" w14:textId="191A83D1" w:rsidR="009B01EE" w:rsidRPr="00CE4719" w:rsidRDefault="00433A38" w:rsidP="00C525D6">
      <w:pPr>
        <w:pStyle w:val="ListParagraph"/>
        <w:numPr>
          <w:ilvl w:val="0"/>
          <w:numId w:val="16"/>
        </w:numPr>
        <w:ind w:left="709"/>
        <w:jc w:val="both"/>
        <w:rPr>
          <w:rFonts w:ascii="Verdana" w:hAnsi="Verdana"/>
        </w:rPr>
      </w:pPr>
      <w:bookmarkStart w:id="7" w:name="_Hlk66473615"/>
      <w:r>
        <w:rPr>
          <w:rFonts w:ascii="Verdana" w:hAnsi="Verdana"/>
        </w:rPr>
        <w:t xml:space="preserve">Od dnia 1 września 2021 r. produkty z tworzyw sztucznych jednorazowego użytku, o których mowa w art. 4 lit. b)–e) i g)–i) nie mogą być używane w: </w:t>
      </w:r>
    </w:p>
    <w:bookmarkEnd w:id="7"/>
    <w:p w14:paraId="3E234258" w14:textId="10CD24A4" w:rsidR="00EE4CF1" w:rsidRPr="00CE4719" w:rsidRDefault="00710998" w:rsidP="00C525D6">
      <w:pPr>
        <w:pStyle w:val="ListParagraph"/>
        <w:numPr>
          <w:ilvl w:val="1"/>
          <w:numId w:val="15"/>
        </w:numPr>
        <w:spacing w:after="0"/>
        <w:ind w:left="1134"/>
        <w:jc w:val="both"/>
        <w:rPr>
          <w:rFonts w:ascii="Verdana" w:hAnsi="Verdana"/>
        </w:rPr>
      </w:pPr>
      <w:r>
        <w:rPr>
          <w:rFonts w:ascii="Verdana" w:hAnsi="Verdana"/>
        </w:rPr>
        <w:t>gastronomii ani napojach serwowanych na stojąco;</w:t>
      </w:r>
    </w:p>
    <w:p w14:paraId="77260820" w14:textId="77777777" w:rsidR="0094255D" w:rsidRDefault="00710998" w:rsidP="00C525D6">
      <w:pPr>
        <w:pStyle w:val="ListParagraph"/>
        <w:numPr>
          <w:ilvl w:val="1"/>
          <w:numId w:val="15"/>
        </w:numPr>
        <w:spacing w:after="0"/>
        <w:ind w:left="1134"/>
        <w:jc w:val="both"/>
        <w:rPr>
          <w:rFonts w:ascii="Verdana" w:hAnsi="Verdana"/>
        </w:rPr>
      </w:pPr>
      <w:r>
        <w:rPr>
          <w:rFonts w:ascii="Verdana" w:hAnsi="Verdana"/>
        </w:rPr>
        <w:t xml:space="preserve">świadczeniu usług żywnościowych i oferowaniu napojów w transporcie publicznym, w szczególności w transporcie lotniczym, kolejowym, morskim i długodystansowym; </w:t>
      </w:r>
    </w:p>
    <w:p w14:paraId="2BEE1C84" w14:textId="2A4D6B9C" w:rsidR="002B499A" w:rsidRPr="0094255D" w:rsidRDefault="00710998" w:rsidP="00C525D6">
      <w:pPr>
        <w:pStyle w:val="ListParagraph"/>
        <w:numPr>
          <w:ilvl w:val="1"/>
          <w:numId w:val="15"/>
        </w:numPr>
        <w:spacing w:after="0"/>
        <w:ind w:left="1134"/>
        <w:jc w:val="both"/>
        <w:rPr>
          <w:rFonts w:ascii="Verdana" w:hAnsi="Verdana"/>
        </w:rPr>
      </w:pPr>
      <w:r>
        <w:rPr>
          <w:rFonts w:ascii="Verdana" w:hAnsi="Verdana"/>
        </w:rPr>
        <w:t>innych miejscach oferujących usługi gastronomiczne lub napoje;</w:t>
      </w:r>
    </w:p>
    <w:p w14:paraId="736DE681" w14:textId="56E853A4" w:rsidR="00CB2CFD" w:rsidRPr="007B286C" w:rsidRDefault="002B499A" w:rsidP="00C525D6">
      <w:pPr>
        <w:pStyle w:val="ListParagraph"/>
        <w:numPr>
          <w:ilvl w:val="0"/>
          <w:numId w:val="16"/>
        </w:numPr>
        <w:ind w:left="709"/>
        <w:jc w:val="both"/>
        <w:rPr>
          <w:rFonts w:ascii="Verdana" w:hAnsi="Verdana"/>
        </w:rPr>
      </w:pPr>
      <w:r>
        <w:rPr>
          <w:rFonts w:ascii="Verdana" w:hAnsi="Verdana"/>
        </w:rPr>
        <w:t>Od dnia 1 września 2021 r. produkty z tworzyw sztucznych jednorazowego użytku, o których mowa w art. 4 lit. b)–e) i g)–i) nie mogą być dostępne na rynku w handlu detalicznym.</w:t>
      </w:r>
    </w:p>
    <w:p w14:paraId="61142026" w14:textId="77777777" w:rsidR="00537243" w:rsidRPr="00C63B34" w:rsidRDefault="00537243" w:rsidP="00537243">
      <w:pPr>
        <w:jc w:val="both"/>
        <w:rPr>
          <w:rFonts w:ascii="Verdana" w:hAnsi="Verdana"/>
        </w:rPr>
      </w:pPr>
    </w:p>
    <w:p w14:paraId="62E5A404" w14:textId="00157340" w:rsidR="009820C4" w:rsidRPr="00C63B34" w:rsidRDefault="00537243" w:rsidP="005F42E9">
      <w:pPr>
        <w:pStyle w:val="Heading1"/>
        <w:tabs>
          <w:tab w:val="clear" w:pos="3969"/>
          <w:tab w:val="left" w:pos="2410"/>
        </w:tabs>
      </w:pPr>
      <w:r>
        <w:br/>
      </w:r>
      <w:bookmarkStart w:id="8" w:name="_Ref66120157"/>
      <w:r>
        <w:t>Zmniejszenie konsumpcji niektórych produktów jednorazowego użytku</w:t>
      </w:r>
      <w:bookmarkEnd w:id="8"/>
    </w:p>
    <w:p w14:paraId="5075E463" w14:textId="593841C0" w:rsidR="003517C6" w:rsidRDefault="009870C4" w:rsidP="009870C4">
      <w:pPr>
        <w:pStyle w:val="Heading2"/>
        <w:numPr>
          <w:ilvl w:val="0"/>
          <w:numId w:val="0"/>
        </w:numPr>
        <w:tabs>
          <w:tab w:val="clear" w:pos="1701"/>
          <w:tab w:val="left" w:pos="1276"/>
        </w:tabs>
        <w:ind w:left="426"/>
      </w:pPr>
      <w:r>
        <w:t>Artykuł 6</w:t>
      </w:r>
      <w:r>
        <w:br/>
      </w:r>
      <w:bookmarkStart w:id="9" w:name="_Ref66120163"/>
      <w:r>
        <w:t>Produkty objęte zakresem stosowania</w:t>
      </w:r>
      <w:bookmarkEnd w:id="9"/>
    </w:p>
    <w:p w14:paraId="70DD4751" w14:textId="77777777" w:rsidR="006610EC" w:rsidRPr="006610EC" w:rsidRDefault="006610EC" w:rsidP="006610EC"/>
    <w:p w14:paraId="7F902BC6" w14:textId="241162D0" w:rsidR="003517C6" w:rsidRPr="00412FEF" w:rsidRDefault="002B499A" w:rsidP="00C525D6">
      <w:pPr>
        <w:pStyle w:val="ListParagraph"/>
        <w:numPr>
          <w:ilvl w:val="0"/>
          <w:numId w:val="19"/>
        </w:numPr>
        <w:ind w:left="709"/>
        <w:jc w:val="both"/>
        <w:rPr>
          <w:rFonts w:ascii="Verdana" w:hAnsi="Verdana"/>
        </w:rPr>
      </w:pPr>
      <w:bookmarkStart w:id="10" w:name="_Hlk66395012"/>
      <w:r>
        <w:lastRenderedPageBreak/>
        <w:t xml:space="preserve">Cele i środki określone w niniejszym Rozdziale mają zastosowanie </w:t>
      </w:r>
      <w:bookmarkEnd w:id="10"/>
      <w:r>
        <w:t>do następujących produktów z tworzyw sztucznych jednorazowego użytku:</w:t>
      </w:r>
    </w:p>
    <w:p w14:paraId="4AD81EA3" w14:textId="77777777" w:rsidR="00DB4ADB" w:rsidRDefault="003517C6" w:rsidP="00C525D6">
      <w:pPr>
        <w:pStyle w:val="ListParagraph"/>
        <w:numPr>
          <w:ilvl w:val="0"/>
          <w:numId w:val="21"/>
        </w:numPr>
        <w:spacing w:line="240" w:lineRule="auto"/>
        <w:rPr>
          <w:rFonts w:ascii="Verdana" w:hAnsi="Verdana"/>
        </w:rPr>
      </w:pPr>
      <w:r>
        <w:rPr>
          <w:rFonts w:ascii="Verdana" w:hAnsi="Verdana"/>
        </w:rPr>
        <w:t>kubki na napoje, w tym ich pokrywki i wieczka;</w:t>
      </w:r>
    </w:p>
    <w:p w14:paraId="759F0DDA" w14:textId="724DD719" w:rsidR="00DB4ADB" w:rsidRPr="00DB4ADB" w:rsidRDefault="00DB4ADB" w:rsidP="00C525D6">
      <w:pPr>
        <w:pStyle w:val="ListParagraph"/>
        <w:numPr>
          <w:ilvl w:val="0"/>
          <w:numId w:val="21"/>
        </w:numPr>
        <w:spacing w:line="240" w:lineRule="auto"/>
        <w:rPr>
          <w:rFonts w:ascii="Verdana" w:hAnsi="Verdana"/>
        </w:rPr>
      </w:pPr>
      <w:r>
        <w:rPr>
          <w:rFonts w:ascii="Verdana" w:hAnsi="Verdana"/>
        </w:rPr>
        <w:t xml:space="preserve">pojemniki na żywność takie jak pudełka z pokrywką lub bez, pojemniki na żywność typu fast food lub na inne posiłki gotowe do bezpośredniego spożycia, z wyjątkiem pojemników na napoje, talerzy oraz opakowań i owijek zawierających żywność, która: </w:t>
      </w:r>
    </w:p>
    <w:p w14:paraId="12BD86D7" w14:textId="0A3DCCD8" w:rsidR="003517C6" w:rsidRPr="004352AA"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jest przeznaczona do bezpośredniego spożycia, na miejscu lub na wynos;</w:t>
      </w:r>
    </w:p>
    <w:p w14:paraId="668EF09B" w14:textId="77777777" w:rsid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 xml:space="preserve">jest zazwyczaj spożywana bezpośrednio z pojemnika; oraz </w:t>
      </w:r>
    </w:p>
    <w:p w14:paraId="731014F2" w14:textId="4EF6A118" w:rsidR="00EE4CF1" w:rsidRPr="004854CF" w:rsidRDefault="003517C6" w:rsidP="00C525D6">
      <w:pPr>
        <w:pStyle w:val="ListParagraph"/>
        <w:numPr>
          <w:ilvl w:val="2"/>
          <w:numId w:val="7"/>
        </w:numPr>
        <w:tabs>
          <w:tab w:val="left" w:pos="1701"/>
        </w:tabs>
        <w:spacing w:line="240" w:lineRule="auto"/>
        <w:ind w:left="1701" w:hanging="283"/>
        <w:rPr>
          <w:rFonts w:ascii="Verdana" w:hAnsi="Verdana"/>
        </w:rPr>
      </w:pPr>
      <w:r>
        <w:rPr>
          <w:rFonts w:ascii="Verdana" w:hAnsi="Verdana"/>
        </w:rPr>
        <w:t>jest gotowa do spożycia bez dalszej obróbki, takiej jak przyrządzanie, gotowanie czy podgrzewanie.</w:t>
      </w:r>
    </w:p>
    <w:p w14:paraId="2AD40F3A" w14:textId="3C9B19E0" w:rsidR="00EE4CF1" w:rsidRPr="00EE4CF1" w:rsidRDefault="00EE4CF1" w:rsidP="00C525D6">
      <w:pPr>
        <w:pStyle w:val="ListParagraph"/>
        <w:numPr>
          <w:ilvl w:val="0"/>
          <w:numId w:val="19"/>
        </w:numPr>
        <w:ind w:left="709"/>
        <w:jc w:val="both"/>
        <w:rPr>
          <w:rFonts w:ascii="Verdana" w:hAnsi="Verdana"/>
        </w:rPr>
      </w:pPr>
      <w:r>
        <w:rPr>
          <w:rFonts w:ascii="Verdana" w:hAnsi="Verdana"/>
        </w:rPr>
        <w:t xml:space="preserve">Środki określone w niniejszym Rozdziale mają również zastosowanie do opakowań jednorazowych wykonanych z dowolnego rodzaju materiałów. </w:t>
      </w:r>
    </w:p>
    <w:p w14:paraId="22D8CA39" w14:textId="2458F658" w:rsidR="00EE4CF1" w:rsidRPr="00E0517F" w:rsidRDefault="00EE4CF1" w:rsidP="00E0517F">
      <w:pPr>
        <w:pStyle w:val="ListParagraph"/>
        <w:tabs>
          <w:tab w:val="left" w:pos="1418"/>
        </w:tabs>
        <w:spacing w:line="240" w:lineRule="auto"/>
        <w:ind w:left="928"/>
        <w:jc w:val="both"/>
        <w:rPr>
          <w:rFonts w:ascii="Verdana" w:hAnsi="Verdana"/>
        </w:rPr>
      </w:pPr>
    </w:p>
    <w:p w14:paraId="1D17E251" w14:textId="77777777" w:rsidR="003517C6" w:rsidRPr="003F6B93" w:rsidRDefault="003517C6" w:rsidP="00DA7B55">
      <w:pPr>
        <w:spacing w:line="240" w:lineRule="auto"/>
        <w:rPr>
          <w:rFonts w:ascii="Verdana" w:hAnsi="Verdana"/>
        </w:rPr>
      </w:pPr>
    </w:p>
    <w:p w14:paraId="228E0377" w14:textId="3E6E1736" w:rsidR="006610EC" w:rsidRDefault="009870C4" w:rsidP="009870C4">
      <w:pPr>
        <w:pStyle w:val="Heading2"/>
        <w:numPr>
          <w:ilvl w:val="0"/>
          <w:numId w:val="0"/>
        </w:numPr>
        <w:tabs>
          <w:tab w:val="clear" w:pos="1701"/>
          <w:tab w:val="left" w:pos="1418"/>
        </w:tabs>
        <w:ind w:left="426"/>
      </w:pPr>
      <w:r>
        <w:t>Artykuł 7</w:t>
      </w:r>
      <w:r>
        <w:br/>
        <w:t xml:space="preserve">Cele </w:t>
      </w:r>
      <w:bookmarkStart w:id="11" w:name="_Ref63441995"/>
      <w:r>
        <w:t>krajowe</w:t>
      </w:r>
      <w:bookmarkEnd w:id="11"/>
    </w:p>
    <w:p w14:paraId="492E42DB" w14:textId="77777777" w:rsidR="006610EC" w:rsidRPr="006610EC" w:rsidRDefault="006610EC" w:rsidP="006610EC"/>
    <w:p w14:paraId="5094710A" w14:textId="7A2B46ED" w:rsidR="00272EF8" w:rsidRPr="007B286C" w:rsidRDefault="00910B5B" w:rsidP="00C525D6">
      <w:pPr>
        <w:pStyle w:val="ListParagraph"/>
        <w:numPr>
          <w:ilvl w:val="0"/>
          <w:numId w:val="20"/>
        </w:numPr>
        <w:ind w:left="709"/>
        <w:jc w:val="both"/>
        <w:rPr>
          <w:rFonts w:ascii="Verdana" w:hAnsi="Verdana"/>
        </w:rPr>
      </w:pPr>
      <w:r>
        <w:rPr>
          <w:rFonts w:ascii="Verdana" w:hAnsi="Verdana"/>
        </w:rPr>
        <w:t>W celu osiągnięcia ambitnego i trwałego zmniejszenia zużycia produktów z tworzyw sztucznych jednorazowego użytku, o których mowa w ust. 1 poprzedniego artykułu, ustala się następujące cele krajowe:</w:t>
      </w:r>
    </w:p>
    <w:p w14:paraId="69C17B00" w14:textId="3D28CD94" w:rsidR="00272EF8" w:rsidRPr="007B286C" w:rsidRDefault="00272EF8" w:rsidP="00C525D6">
      <w:pPr>
        <w:pStyle w:val="ListParagraph"/>
        <w:numPr>
          <w:ilvl w:val="0"/>
          <w:numId w:val="22"/>
        </w:numPr>
        <w:spacing w:line="240" w:lineRule="auto"/>
        <w:rPr>
          <w:rFonts w:ascii="Verdana" w:hAnsi="Verdana"/>
        </w:rPr>
      </w:pPr>
      <w:r>
        <w:rPr>
          <w:rFonts w:ascii="Verdana" w:hAnsi="Verdana"/>
        </w:rPr>
        <w:t xml:space="preserve">do dnia 31 grudnia 2026 r. zmniejszenie ich stosowania o 30% w porównaniu z rokiem 2022; </w:t>
      </w:r>
    </w:p>
    <w:p w14:paraId="3E989E32" w14:textId="400E6B2C" w:rsidR="00272EF8" w:rsidRPr="007B286C" w:rsidRDefault="00272EF8" w:rsidP="00C525D6">
      <w:pPr>
        <w:pStyle w:val="ListParagraph"/>
        <w:numPr>
          <w:ilvl w:val="0"/>
          <w:numId w:val="22"/>
        </w:numPr>
        <w:spacing w:line="240" w:lineRule="auto"/>
        <w:rPr>
          <w:rFonts w:ascii="Verdana" w:hAnsi="Verdana"/>
        </w:rPr>
      </w:pPr>
      <w:r>
        <w:rPr>
          <w:rFonts w:ascii="Verdana" w:hAnsi="Verdana"/>
        </w:rPr>
        <w:t>do dnia 31 grudnia 2030 r. zmniejszenie ich stosowania o 50% w porównaniu z rokiem 2022.</w:t>
      </w:r>
    </w:p>
    <w:p w14:paraId="71F8F0EB" w14:textId="2BB14403" w:rsidR="00397D00" w:rsidRPr="007B286C" w:rsidRDefault="00272EF8" w:rsidP="00C525D6">
      <w:pPr>
        <w:pStyle w:val="ListParagraph"/>
        <w:numPr>
          <w:ilvl w:val="0"/>
          <w:numId w:val="20"/>
        </w:numPr>
        <w:ind w:left="709"/>
        <w:jc w:val="both"/>
        <w:rPr>
          <w:rFonts w:ascii="Verdana" w:hAnsi="Verdana"/>
        </w:rPr>
      </w:pPr>
      <w:r>
        <w:rPr>
          <w:rFonts w:ascii="Verdana" w:hAnsi="Verdana"/>
        </w:rPr>
        <w:t xml:space="preserve">Portugalska Agencja Środowiska (APA, I.P.) monitoruje zmniejszenie zużycia produktów z tworzyw sztucznych jednorazowego użytku, o których mowa w poprzednim ustępie. </w:t>
      </w:r>
    </w:p>
    <w:p w14:paraId="6D006D24" w14:textId="58634EE7" w:rsidR="00CA6349" w:rsidRPr="007B286C" w:rsidRDefault="00CA6349" w:rsidP="00C525D6">
      <w:pPr>
        <w:pStyle w:val="ListParagraph"/>
        <w:numPr>
          <w:ilvl w:val="0"/>
          <w:numId w:val="20"/>
        </w:numPr>
        <w:ind w:left="709"/>
        <w:jc w:val="both"/>
        <w:rPr>
          <w:rFonts w:ascii="Verdana" w:hAnsi="Verdana"/>
        </w:rPr>
      </w:pPr>
      <w:r>
        <w:rPr>
          <w:rFonts w:ascii="Verdana" w:hAnsi="Verdana"/>
        </w:rPr>
        <w:t>Cele określone w ust. 1 mogą zostać zmienione, jeżeli zostanie to uznane za konieczne ze względów technologicznych lub rynkowych lub w wyniku zmian w prawie Unii Europejskiej.</w:t>
      </w:r>
    </w:p>
    <w:p w14:paraId="6497D82A" w14:textId="03A8E60E" w:rsidR="00272EF8" w:rsidRPr="007B286C" w:rsidRDefault="0001108C" w:rsidP="00C525D6">
      <w:pPr>
        <w:pStyle w:val="ListParagraph"/>
        <w:numPr>
          <w:ilvl w:val="0"/>
          <w:numId w:val="20"/>
        </w:numPr>
        <w:ind w:left="709"/>
        <w:jc w:val="both"/>
        <w:rPr>
          <w:rFonts w:ascii="Verdana" w:hAnsi="Verdana"/>
        </w:rPr>
      </w:pPr>
      <w:r>
        <w:rPr>
          <w:rFonts w:ascii="Verdana" w:hAnsi="Verdana"/>
        </w:rPr>
        <w:t xml:space="preserve">Cele redukcji określone w ust. 1 mierzy się w jednostkach wprowadzanych do obrotu, bez uszczerbku dla metody obliczania i weryfikacji zmniejszenia zużycia jednorazowych produktów z tworzyw </w:t>
      </w:r>
      <w:r>
        <w:rPr>
          <w:rFonts w:ascii="Verdana" w:hAnsi="Verdana"/>
        </w:rPr>
        <w:lastRenderedPageBreak/>
        <w:t xml:space="preserve">sztucznych, które zostaną ustanowione przez Komisję Europejską w drodze aktu wykonawczego. </w:t>
      </w:r>
    </w:p>
    <w:p w14:paraId="4A16461A" w14:textId="2C271DA5" w:rsidR="00A75EDB" w:rsidRPr="007B286C" w:rsidRDefault="004400C2" w:rsidP="00C525D6">
      <w:pPr>
        <w:pStyle w:val="ListParagraph"/>
        <w:numPr>
          <w:ilvl w:val="0"/>
          <w:numId w:val="20"/>
        </w:numPr>
        <w:ind w:left="709"/>
        <w:jc w:val="both"/>
        <w:rPr>
          <w:rFonts w:ascii="Verdana" w:hAnsi="Verdana"/>
        </w:rPr>
      </w:pPr>
      <w:bookmarkStart w:id="12" w:name="_Hlk66286637"/>
      <w:r>
        <w:rPr>
          <w:rFonts w:ascii="Verdana" w:hAnsi="Verdana"/>
        </w:rPr>
        <w:t>Jeżeli którykolwiek z celów, o których mowa w ust. 1, nie został osiągnięty, rząd rozważa przyjęcie nowych środków, które mogą obejmować między innymi ustanowienie ograniczeń we wprowadzaniu do obrotu produktów.</w:t>
      </w:r>
    </w:p>
    <w:bookmarkEnd w:id="12"/>
    <w:p w14:paraId="63E08606" w14:textId="77777777" w:rsidR="003F40CB" w:rsidRPr="00661287" w:rsidRDefault="003F40CB" w:rsidP="003F40CB">
      <w:pPr>
        <w:pStyle w:val="ListParagraph"/>
        <w:ind w:left="928"/>
        <w:jc w:val="both"/>
        <w:rPr>
          <w:rFonts w:ascii="Verdana" w:hAnsi="Verdana" w:cs="Arial"/>
          <w:color w:val="000000" w:themeColor="text1"/>
        </w:rPr>
      </w:pPr>
    </w:p>
    <w:p w14:paraId="200B45FB" w14:textId="03D3A032" w:rsidR="006610EC" w:rsidRPr="006610EC" w:rsidRDefault="00AC3F76" w:rsidP="000600E7">
      <w:pPr>
        <w:pStyle w:val="Heading2"/>
        <w:numPr>
          <w:ilvl w:val="0"/>
          <w:numId w:val="0"/>
        </w:numPr>
        <w:tabs>
          <w:tab w:val="clear" w:pos="1701"/>
          <w:tab w:val="left" w:pos="1276"/>
        </w:tabs>
        <w:ind w:left="426"/>
      </w:pPr>
      <w:r>
        <w:t>Artykuł 8</w:t>
      </w:r>
      <w:r>
        <w:br/>
        <w:t>Środki</w:t>
      </w:r>
    </w:p>
    <w:p w14:paraId="1030757F" w14:textId="01220FF2" w:rsidR="00D73085" w:rsidRPr="007B286C" w:rsidRDefault="00D73085" w:rsidP="00C525D6">
      <w:pPr>
        <w:pStyle w:val="ListParagraph"/>
        <w:numPr>
          <w:ilvl w:val="0"/>
          <w:numId w:val="23"/>
        </w:numPr>
        <w:tabs>
          <w:tab w:val="left" w:pos="993"/>
        </w:tabs>
        <w:ind w:left="709"/>
        <w:jc w:val="both"/>
        <w:rPr>
          <w:rFonts w:ascii="Verdana" w:hAnsi="Verdana"/>
        </w:rPr>
      </w:pPr>
      <w:bookmarkStart w:id="13" w:name="_Hlk65426299"/>
      <w:r>
        <w:rPr>
          <w:rFonts w:ascii="Verdana" w:hAnsi="Verdana"/>
        </w:rPr>
        <w:t>Od dnia 1 stycznia 2023 r. zakłady wykorzystujące opakowania jednorazowego użytku dla żywności i napojów w celu dostarczania posiłków gotowych do bezpośredniego spożycia i na wynos lub w celu dostawy do domu są zobowiązane do udostępnienia swoim klientom alternatyw wielokrotnego użytku poprzez naliczenie depozytu, który zostanie zwrócony po zwróceniu opakowania zgodnie z art. 23 Unilex.</w:t>
      </w:r>
    </w:p>
    <w:bookmarkEnd w:id="13"/>
    <w:p w14:paraId="4BFA6D9C" w14:textId="0D8D0465"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Przedsiębiorstwa określone w poprzednim ustępie nie mogą udostępnić jednostki sprzedaży składającej się z produktu i opakowań wielokrotnego użytku po wyższej cenie lub w mniej korzystnych warunkach w porównaniu z jednostką sprzedaży składającą się z tego samego produktu i opakowań jednorazowych.</w:t>
      </w:r>
    </w:p>
    <w:p w14:paraId="37D279AC" w14:textId="10E0978B" w:rsidR="002845B5" w:rsidRPr="007B286C" w:rsidRDefault="002845B5" w:rsidP="00C525D6">
      <w:pPr>
        <w:pStyle w:val="ListParagraph"/>
        <w:numPr>
          <w:ilvl w:val="0"/>
          <w:numId w:val="23"/>
        </w:numPr>
        <w:tabs>
          <w:tab w:val="left" w:pos="993"/>
        </w:tabs>
        <w:ind w:left="709"/>
        <w:jc w:val="both"/>
        <w:rPr>
          <w:rFonts w:ascii="Verdana" w:hAnsi="Verdana"/>
        </w:rPr>
      </w:pPr>
      <w:bookmarkStart w:id="14" w:name="_Hlk65426360"/>
      <w:r>
        <w:rPr>
          <w:rFonts w:ascii="Verdana" w:hAnsi="Verdana"/>
        </w:rPr>
        <w:t xml:space="preserve">Przedsiębiorstwa określone w ust. 1 o powierzchni mniejszej niż 150 metrów kwadratowych mogą zdecydować się na niezgodność z ust. 1, bez uszczerbku dla przestrzegania zobowiązań określonych w art. 25b ust. 1 Unilex. </w:t>
      </w:r>
    </w:p>
    <w:bookmarkEnd w:id="14"/>
    <w:p w14:paraId="2092922E" w14:textId="7B8B12EB" w:rsidR="002845B5" w:rsidRPr="007B286C" w:rsidRDefault="001A4D54" w:rsidP="00C525D6">
      <w:pPr>
        <w:pStyle w:val="ListParagraph"/>
        <w:numPr>
          <w:ilvl w:val="0"/>
          <w:numId w:val="23"/>
        </w:numPr>
        <w:tabs>
          <w:tab w:val="left" w:pos="993"/>
        </w:tabs>
        <w:ind w:left="709"/>
        <w:jc w:val="both"/>
        <w:rPr>
          <w:rFonts w:ascii="Verdana" w:hAnsi="Verdana"/>
        </w:rPr>
      </w:pPr>
      <w:r>
        <w:rPr>
          <w:rFonts w:ascii="Verdana" w:hAnsi="Verdana"/>
        </w:rPr>
        <w:t>W przypadku dostaw dań gotowych do spożycia za pomocą automatów do sprzedaży, w których stosuje się opakowania jednorazowego użytku do żywności i napojów, przestrzeganie obowiązku udostępnienia alternatyw wielokrotnego użytku może być zapewnione poprzez umożliwienie klientom korzystania z własnych pojemników, a opcja ta powinna być wyraźnie wskazana poprzez dostarczenie niezbędnych informacji.</w:t>
      </w:r>
    </w:p>
    <w:p w14:paraId="2161C326" w14:textId="722EFAC1" w:rsidR="009B01EE" w:rsidRPr="007B286C" w:rsidRDefault="009B01EE" w:rsidP="00C525D6">
      <w:pPr>
        <w:pStyle w:val="ListParagraph"/>
        <w:numPr>
          <w:ilvl w:val="0"/>
          <w:numId w:val="23"/>
        </w:numPr>
        <w:tabs>
          <w:tab w:val="left" w:pos="993"/>
        </w:tabs>
        <w:ind w:left="709"/>
        <w:jc w:val="both"/>
        <w:rPr>
          <w:rFonts w:ascii="Verdana" w:hAnsi="Verdana"/>
        </w:rPr>
      </w:pPr>
      <w:r>
        <w:rPr>
          <w:rFonts w:ascii="Verdana" w:hAnsi="Verdana"/>
        </w:rPr>
        <w:t xml:space="preserve">Od dnia 1 stycznia 2022 r. stosowanie naczyń wielokrotnego użytku we wszystkich restauracjach lub przedsiębiorstwach oferujących napoje jest obowiązkowe w przypadku sprzedaży do spożycia na miejscu. </w:t>
      </w:r>
    </w:p>
    <w:p w14:paraId="498C4088" w14:textId="694CDB5F" w:rsidR="002845B5" w:rsidRPr="007B286C" w:rsidRDefault="002845B5" w:rsidP="00C525D6">
      <w:pPr>
        <w:pStyle w:val="ListParagraph"/>
        <w:numPr>
          <w:ilvl w:val="0"/>
          <w:numId w:val="23"/>
        </w:numPr>
        <w:tabs>
          <w:tab w:val="left" w:pos="993"/>
        </w:tabs>
        <w:ind w:left="709"/>
        <w:jc w:val="both"/>
        <w:rPr>
          <w:rFonts w:ascii="Verdana" w:hAnsi="Verdana"/>
        </w:rPr>
      </w:pPr>
      <w:r>
        <w:rPr>
          <w:rFonts w:ascii="Verdana" w:hAnsi="Verdana"/>
        </w:rPr>
        <w:t>Zgodnie ze środkiem przewidzianym w art. 25a ust. 5 Unilex, kubki, które mają być udostępniane w przedsiębiorstwach w sektorze hotelarskim, restauracyjnym i gastronomicznym, będą nadawać się do ponownego użytku.</w:t>
      </w:r>
    </w:p>
    <w:p w14:paraId="41413B7A" w14:textId="374ECD6A"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lastRenderedPageBreak/>
        <w:t xml:space="preserve"> Producenci kubków na napoje i pojemników na żywność, o których mowa w art. 6 ust. 1, indywidualnie lub za pośrednictwem zintegrowanych systemów zarządzania, będą wspierać badania i rozwój zrównoważonych rozwiązań alternatywnych dla takich jednorazowych produktów z tworzyw sztucznych poprzez przedstawienie swoich wyników APA, I.P. i Dyrekcji Generalnej ds. Działalności Gospodarczej (DGAE) do dnia 30 czerwca 2024 r.</w:t>
      </w:r>
    </w:p>
    <w:p w14:paraId="4488AD4B" w14:textId="679C933C" w:rsidR="00794BCB" w:rsidRPr="007B286C" w:rsidRDefault="00794BCB" w:rsidP="00C525D6">
      <w:pPr>
        <w:pStyle w:val="ListParagraph"/>
        <w:numPr>
          <w:ilvl w:val="0"/>
          <w:numId w:val="23"/>
        </w:numPr>
        <w:tabs>
          <w:tab w:val="left" w:pos="993"/>
        </w:tabs>
        <w:ind w:left="709"/>
        <w:jc w:val="both"/>
        <w:rPr>
          <w:rFonts w:ascii="Verdana" w:hAnsi="Verdana"/>
        </w:rPr>
      </w:pPr>
      <w:r>
        <w:rPr>
          <w:rFonts w:ascii="Verdana" w:hAnsi="Verdana"/>
        </w:rPr>
        <w:t>W zależności od ustaleń, o których mowa w poprzednim ustępie, rząd oceni realizację bodźców motywujących dla projektów innowacyjnych i rozwiązań ekologicznych, które przyczyniają się do zastąpienia produktów z tworzyw sztucznych jednorazowego użytku.</w:t>
      </w:r>
    </w:p>
    <w:p w14:paraId="674B59CC" w14:textId="17533D97" w:rsidR="002B55CA" w:rsidRPr="007B286C" w:rsidRDefault="002845B5" w:rsidP="00C525D6">
      <w:pPr>
        <w:pStyle w:val="ListParagraph"/>
        <w:numPr>
          <w:ilvl w:val="0"/>
          <w:numId w:val="23"/>
        </w:numPr>
        <w:tabs>
          <w:tab w:val="left" w:pos="993"/>
        </w:tabs>
        <w:ind w:left="709"/>
        <w:jc w:val="both"/>
        <w:rPr>
          <w:rFonts w:ascii="Verdana" w:hAnsi="Verdana"/>
        </w:rPr>
      </w:pPr>
      <w:r>
        <w:t>Przyczynią się one również do osiągnięcia celów określonych w art. 7, art. 25b Unilex i art. 320 ustawy nr 75-B/2020 z dnia 31 grudnia.</w:t>
      </w:r>
    </w:p>
    <w:p w14:paraId="3A42FDB6" w14:textId="6F6E9142" w:rsidR="00824535" w:rsidRPr="007B286C" w:rsidRDefault="00824535" w:rsidP="00C525D6">
      <w:pPr>
        <w:pStyle w:val="ListParagraph"/>
        <w:numPr>
          <w:ilvl w:val="0"/>
          <w:numId w:val="23"/>
        </w:numPr>
        <w:tabs>
          <w:tab w:val="left" w:pos="993"/>
        </w:tabs>
        <w:ind w:left="709"/>
        <w:jc w:val="both"/>
        <w:rPr>
          <w:rFonts w:ascii="Verdana" w:hAnsi="Verdana"/>
        </w:rPr>
      </w:pPr>
      <w:r>
        <w:t>Do dnia 31 grudnia 2024 r. APA, I.P. i DGAE ocenią potrzebę wprowadzenia nowych środków wspierających osiągnięcie celów, o których mowa w art. 7.</w:t>
      </w:r>
    </w:p>
    <w:p w14:paraId="05FAE9EA" w14:textId="77777777" w:rsidR="00DB4ADB" w:rsidRPr="00BF777F" w:rsidRDefault="00DB4ADB" w:rsidP="00DB4ADB">
      <w:pPr>
        <w:pStyle w:val="CommentText"/>
        <w:ind w:left="928"/>
        <w:jc w:val="both"/>
        <w:rPr>
          <w:rFonts w:ascii="Verdana" w:hAnsi="Verdana"/>
          <w:sz w:val="22"/>
          <w:szCs w:val="22"/>
          <w:shd w:val="clear" w:color="auto" w:fill="F5F5F5"/>
        </w:rPr>
      </w:pPr>
    </w:p>
    <w:p w14:paraId="61C7EC5F" w14:textId="1597687A" w:rsidR="00272EF8" w:rsidRDefault="00272EF8" w:rsidP="00241552">
      <w:pPr>
        <w:pStyle w:val="ListParagraph"/>
        <w:jc w:val="center"/>
        <w:rPr>
          <w:rFonts w:ascii="Verdana" w:hAnsi="Verdana" w:cs="Arial"/>
          <w:sz w:val="21"/>
          <w:szCs w:val="21"/>
        </w:rPr>
      </w:pPr>
    </w:p>
    <w:p w14:paraId="4DC3DC77" w14:textId="0D77645C" w:rsidR="00272EF8" w:rsidRDefault="00AC3F76" w:rsidP="000600E7">
      <w:pPr>
        <w:pStyle w:val="Heading2"/>
        <w:numPr>
          <w:ilvl w:val="0"/>
          <w:numId w:val="0"/>
        </w:numPr>
        <w:tabs>
          <w:tab w:val="clear" w:pos="1701"/>
          <w:tab w:val="left" w:pos="1276"/>
        </w:tabs>
        <w:ind w:left="426"/>
      </w:pPr>
      <w:r>
        <w:t>Artykuł 9</w:t>
      </w:r>
      <w:r>
        <w:br/>
        <w:t>Umowa sektorowa</w:t>
      </w:r>
      <w:bookmarkStart w:id="15" w:name="_Ref66120795"/>
    </w:p>
    <w:p w14:paraId="31D06C8D" w14:textId="77777777" w:rsidR="00014396" w:rsidRPr="00014396" w:rsidRDefault="00014396" w:rsidP="00014396"/>
    <w:bookmarkEnd w:id="15"/>
    <w:p w14:paraId="0A4B94C3" w14:textId="7BF6D273" w:rsidR="003517C6" w:rsidRPr="007B286C" w:rsidRDefault="00544073" w:rsidP="00C525D6">
      <w:pPr>
        <w:pStyle w:val="ListParagraph"/>
        <w:numPr>
          <w:ilvl w:val="0"/>
          <w:numId w:val="25"/>
        </w:numPr>
        <w:tabs>
          <w:tab w:val="left" w:pos="993"/>
        </w:tabs>
        <w:ind w:left="709"/>
        <w:jc w:val="both"/>
        <w:rPr>
          <w:rFonts w:ascii="Verdana" w:hAnsi="Verdana"/>
        </w:rPr>
      </w:pPr>
      <w:r>
        <w:t>Wyniki osiągnięte w drodze porozumienia sektorowego, które ma zostać zawarte między DGAE a wszystkimi strukturami reprezentatywnymi różnych sektorów zaangażowanych w przemysł, handel, dystrybucję i catering, przyczynią się do osiągnięcia celów określonych w sprawozdaniu.</w:t>
      </w:r>
    </w:p>
    <w:p w14:paraId="58E91BDD" w14:textId="238AB656" w:rsidR="000216F2" w:rsidRPr="007B286C" w:rsidRDefault="000216F2" w:rsidP="00C525D6">
      <w:pPr>
        <w:pStyle w:val="ListParagraph"/>
        <w:numPr>
          <w:ilvl w:val="0"/>
          <w:numId w:val="25"/>
        </w:numPr>
        <w:tabs>
          <w:tab w:val="left" w:pos="993"/>
        </w:tabs>
        <w:ind w:left="709"/>
        <w:jc w:val="both"/>
        <w:rPr>
          <w:rFonts w:ascii="Verdana" w:hAnsi="Verdana"/>
        </w:rPr>
      </w:pPr>
      <w:r>
        <w:rPr>
          <w:rFonts w:ascii="Verdana" w:hAnsi="Verdana"/>
        </w:rPr>
        <w:t xml:space="preserve">Każdy inny podmiot, który działa w sektorach, o których mowa w poprzednim ustępie, który nie uwzględnił struktur reprezentatywnych, może również dobrowolnie przystąpić do Umowy. </w:t>
      </w:r>
    </w:p>
    <w:p w14:paraId="2B3D80B9" w14:textId="77777777" w:rsidR="00544073" w:rsidRPr="007B286C" w:rsidRDefault="00544073" w:rsidP="00C525D6">
      <w:pPr>
        <w:pStyle w:val="ListParagraph"/>
        <w:numPr>
          <w:ilvl w:val="0"/>
          <w:numId w:val="25"/>
        </w:numPr>
        <w:tabs>
          <w:tab w:val="left" w:pos="993"/>
        </w:tabs>
        <w:ind w:left="709"/>
        <w:jc w:val="both"/>
        <w:rPr>
          <w:rFonts w:ascii="Verdana" w:hAnsi="Verdana"/>
        </w:rPr>
      </w:pPr>
      <w:bookmarkStart w:id="16" w:name="_Ref66120801"/>
      <w:r>
        <w:rPr>
          <w:rFonts w:ascii="Verdana" w:hAnsi="Verdana"/>
        </w:rPr>
        <w:t>Umowy, o których mowa w poprzednim ustępie, muszą spełniać następujące wymogi:</w:t>
      </w:r>
      <w:bookmarkEnd w:id="16"/>
    </w:p>
    <w:p w14:paraId="380A7111" w14:textId="2AD04D67" w:rsidR="00544073" w:rsidRPr="00F7675E" w:rsidRDefault="00544073" w:rsidP="00C525D6">
      <w:pPr>
        <w:pStyle w:val="ListParagraph"/>
        <w:numPr>
          <w:ilvl w:val="0"/>
          <w:numId w:val="24"/>
        </w:numPr>
        <w:spacing w:line="240" w:lineRule="auto"/>
        <w:rPr>
          <w:rFonts w:ascii="Verdana" w:hAnsi="Verdana"/>
        </w:rPr>
      </w:pPr>
      <w:r>
        <w:rPr>
          <w:rFonts w:ascii="Verdana" w:hAnsi="Verdana"/>
        </w:rPr>
        <w:t>umowy określają cele, środki sektorowe i odpowiednie terminy, w zależności od sektora, rodzaju produktu i/lub wielkości zainteresowanych podmiotów;</w:t>
      </w:r>
    </w:p>
    <w:p w14:paraId="03A0617C" w14:textId="6F08D608" w:rsidR="00544073" w:rsidRPr="00F7675E" w:rsidRDefault="00544073" w:rsidP="00C525D6">
      <w:pPr>
        <w:pStyle w:val="ListParagraph"/>
        <w:numPr>
          <w:ilvl w:val="0"/>
          <w:numId w:val="24"/>
        </w:numPr>
        <w:spacing w:line="240" w:lineRule="auto"/>
        <w:rPr>
          <w:rFonts w:ascii="Verdana" w:hAnsi="Verdana"/>
        </w:rPr>
      </w:pPr>
      <w:r>
        <w:rPr>
          <w:rFonts w:ascii="Verdana" w:hAnsi="Verdana"/>
        </w:rPr>
        <w:t>wyniki osiągane w ramach tych umów, są co roku nadzorowane przez DGAE oraz podane do publicznej wiadomości na warunkach podanych w umowie;</w:t>
      </w:r>
    </w:p>
    <w:p w14:paraId="1B81D803" w14:textId="77777777" w:rsidR="00A21790" w:rsidRPr="00F7675E" w:rsidRDefault="00284CB1" w:rsidP="00C525D6">
      <w:pPr>
        <w:pStyle w:val="ListParagraph"/>
        <w:numPr>
          <w:ilvl w:val="0"/>
          <w:numId w:val="24"/>
        </w:numPr>
        <w:spacing w:line="240" w:lineRule="auto"/>
        <w:rPr>
          <w:rFonts w:ascii="Verdana" w:hAnsi="Verdana"/>
        </w:rPr>
      </w:pPr>
      <w:r>
        <w:rPr>
          <w:rFonts w:ascii="Verdana" w:hAnsi="Verdana"/>
        </w:rPr>
        <w:t>umowy podlegają publikacji na stronie internetowej DGAE.</w:t>
      </w:r>
    </w:p>
    <w:p w14:paraId="2B468A49" w14:textId="699C2C5C" w:rsidR="00284CB1" w:rsidRPr="00F7675E" w:rsidRDefault="00A21790" w:rsidP="00C525D6">
      <w:pPr>
        <w:pStyle w:val="ListParagraph"/>
        <w:numPr>
          <w:ilvl w:val="0"/>
          <w:numId w:val="25"/>
        </w:numPr>
        <w:tabs>
          <w:tab w:val="left" w:pos="993"/>
        </w:tabs>
        <w:ind w:left="709"/>
        <w:jc w:val="both"/>
        <w:rPr>
          <w:rFonts w:ascii="Verdana" w:hAnsi="Verdana"/>
        </w:rPr>
      </w:pPr>
      <w:r>
        <w:rPr>
          <w:rFonts w:ascii="Verdana" w:hAnsi="Verdana"/>
        </w:rPr>
        <w:lastRenderedPageBreak/>
        <w:t>Wszelkie informacje wynikające z monitorowania umów sektorowych, o których mowa w lit. b) poprzedniego ustępu, które przyczyniają się do oceny zmniejszenia zużycia produktów z tworzyw sztucznych jednorazowego użytku, przesyłane są corocznie do APA, I.P.</w:t>
      </w:r>
    </w:p>
    <w:p w14:paraId="402788C3" w14:textId="0921CCEE" w:rsidR="00743415" w:rsidRPr="00F7675E" w:rsidRDefault="00544073" w:rsidP="00C525D6">
      <w:pPr>
        <w:pStyle w:val="ListParagraph"/>
        <w:numPr>
          <w:ilvl w:val="0"/>
          <w:numId w:val="25"/>
        </w:numPr>
        <w:tabs>
          <w:tab w:val="left" w:pos="993"/>
        </w:tabs>
        <w:ind w:left="709"/>
        <w:jc w:val="both"/>
        <w:rPr>
          <w:rFonts w:ascii="Verdana" w:hAnsi="Verdana"/>
        </w:rPr>
      </w:pPr>
      <w:r>
        <w:rPr>
          <w:rFonts w:ascii="Verdana" w:hAnsi="Verdana"/>
        </w:rPr>
        <w:t xml:space="preserve">Umowy, o których mowa w poprzednich ustępach, będą sporządzane i opublikowane do dnia 30 czerwca 2023 r. </w:t>
      </w:r>
    </w:p>
    <w:p w14:paraId="0324057B" w14:textId="77777777" w:rsidR="00284CB1" w:rsidRPr="00407DEE" w:rsidRDefault="00284CB1" w:rsidP="00407DEE">
      <w:pPr>
        <w:pStyle w:val="ListParagraph"/>
        <w:ind w:left="928"/>
        <w:jc w:val="both"/>
        <w:rPr>
          <w:rFonts w:ascii="Verdana" w:hAnsi="Verdana" w:cs="Arial"/>
        </w:rPr>
      </w:pPr>
    </w:p>
    <w:p w14:paraId="21D34718" w14:textId="4B6E5EB2" w:rsidR="00D61808" w:rsidRPr="008A461E" w:rsidRDefault="008A461E" w:rsidP="008A461E">
      <w:pPr>
        <w:pStyle w:val="Heading1"/>
        <w:tabs>
          <w:tab w:val="clear" w:pos="3969"/>
          <w:tab w:val="left" w:pos="2268"/>
          <w:tab w:val="left" w:pos="2410"/>
        </w:tabs>
      </w:pPr>
      <w:r>
        <w:br/>
        <w:t>Wymogi dotyczące produktów z tworzyw sztucznych jednorazowego użytku</w:t>
      </w:r>
    </w:p>
    <w:p w14:paraId="4261089B" w14:textId="77777777" w:rsidR="00F256AF" w:rsidRPr="0023255A" w:rsidRDefault="00F256AF" w:rsidP="00DA7B55">
      <w:pPr>
        <w:autoSpaceDE w:val="0"/>
        <w:autoSpaceDN w:val="0"/>
        <w:adjustRightInd w:val="0"/>
        <w:rPr>
          <w:rFonts w:ascii="Verdana" w:hAnsi="Verdana" w:cs="EU Albertina"/>
          <w:color w:val="000000"/>
        </w:rPr>
      </w:pPr>
    </w:p>
    <w:p w14:paraId="1DDF2FB0" w14:textId="56BF29EE" w:rsidR="000B1395" w:rsidRPr="00407DEE" w:rsidRDefault="00AC3F76" w:rsidP="000600E7">
      <w:pPr>
        <w:pStyle w:val="Heading2"/>
        <w:numPr>
          <w:ilvl w:val="0"/>
          <w:numId w:val="0"/>
        </w:numPr>
        <w:tabs>
          <w:tab w:val="clear" w:pos="1701"/>
          <w:tab w:val="left" w:pos="1276"/>
        </w:tabs>
        <w:ind w:left="426"/>
      </w:pPr>
      <w:bookmarkStart w:id="17" w:name="_Ref66120924"/>
      <w:r>
        <w:t>Artykuł 10</w:t>
      </w:r>
      <w:r>
        <w:br/>
      </w:r>
      <w:bookmarkEnd w:id="17"/>
      <w:r>
        <w:t>Wymogi projektowe dla pojemników na napoje</w:t>
      </w:r>
    </w:p>
    <w:p w14:paraId="32932739" w14:textId="77777777" w:rsidR="006610EC" w:rsidRPr="000B1395" w:rsidRDefault="006610EC" w:rsidP="000B1395">
      <w:pPr>
        <w:jc w:val="center"/>
        <w:rPr>
          <w:rFonts w:ascii="Verdana" w:hAnsi="Verdana"/>
          <w:b/>
        </w:rPr>
      </w:pPr>
    </w:p>
    <w:p w14:paraId="3F2E2D86" w14:textId="4AAAD1B0"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Od dnia 3 lipca 2024 r., plastikowe pojemniki jednorazowego użytku na napoje o pojemności do trzech litrów, tj. pojemniki używane do zawierania płynów, takie jak butelki na napoje i kompozytowe opakowania na napoje, w tym ich nakrętki i wieczka, w przypadku gdy te nakrętki i wieczka pozostają przymocowane do pojemników na etapie zamierzonego użycia produktu.</w:t>
      </w:r>
    </w:p>
    <w:p w14:paraId="6995420C" w14:textId="45131C9A" w:rsidR="000B1395" w:rsidRPr="00182AD4" w:rsidRDefault="00407DEE" w:rsidP="00C525D6">
      <w:pPr>
        <w:pStyle w:val="ListParagraph"/>
        <w:numPr>
          <w:ilvl w:val="0"/>
          <w:numId w:val="26"/>
        </w:numPr>
        <w:tabs>
          <w:tab w:val="left" w:pos="993"/>
        </w:tabs>
        <w:ind w:left="709"/>
        <w:jc w:val="both"/>
        <w:rPr>
          <w:rFonts w:ascii="Verdana" w:hAnsi="Verdana"/>
        </w:rPr>
      </w:pPr>
      <w:r>
        <w:rPr>
          <w:rFonts w:ascii="Verdana" w:hAnsi="Verdana"/>
        </w:rPr>
        <w:t>Z poprzedniego ustępu wyłączono:</w:t>
      </w:r>
    </w:p>
    <w:p w14:paraId="1E13B46E"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 xml:space="preserve">szklane lub metalowe pojemniki na napoje, których nakrętki i wieczka wykonane są z tworzyw sztucznych; </w:t>
      </w:r>
    </w:p>
    <w:p w14:paraId="74FDB347" w14:textId="77777777" w:rsidR="000B1395" w:rsidRPr="00F7675E" w:rsidRDefault="000B1395" w:rsidP="00C525D6">
      <w:pPr>
        <w:pStyle w:val="ListParagraph"/>
        <w:numPr>
          <w:ilvl w:val="0"/>
          <w:numId w:val="27"/>
        </w:numPr>
        <w:spacing w:line="240" w:lineRule="auto"/>
        <w:rPr>
          <w:rFonts w:ascii="Verdana" w:hAnsi="Verdana"/>
        </w:rPr>
      </w:pPr>
      <w:r>
        <w:rPr>
          <w:rFonts w:ascii="Verdana" w:hAnsi="Verdana"/>
        </w:rPr>
        <w:t>pojemniki na napoje przeznaczone i wykorzystywane do mającej płynną postać żywności specjalnego przeznaczenia medycznego zgodnie z definicją w art. 2 lit. g) rozporządzenia Parlamentu Europejskiego i Rady (UE) nr 609/2013 (3).</w:t>
      </w:r>
    </w:p>
    <w:p w14:paraId="43D3AA65" w14:textId="0B3AC49C" w:rsidR="000B1395" w:rsidRDefault="000B1395" w:rsidP="00C525D6">
      <w:pPr>
        <w:pStyle w:val="ListParagraph"/>
        <w:numPr>
          <w:ilvl w:val="0"/>
          <w:numId w:val="26"/>
        </w:numPr>
        <w:tabs>
          <w:tab w:val="left" w:pos="993"/>
        </w:tabs>
        <w:ind w:left="709"/>
        <w:jc w:val="both"/>
        <w:rPr>
          <w:rFonts w:ascii="Verdana" w:hAnsi="Verdana"/>
        </w:rPr>
      </w:pPr>
      <w:r>
        <w:rPr>
          <w:rFonts w:ascii="Verdana" w:hAnsi="Verdana"/>
        </w:rPr>
        <w:t>Do celów powyższych ustępów nie uznaje się za wykonane z tworzywa sztucznego nakrętki lub wieczka metalowe z plastikowymi uszczelnieniami.</w:t>
      </w:r>
    </w:p>
    <w:p w14:paraId="2A3CCB6B" w14:textId="21E6BCBC" w:rsidR="000B1395" w:rsidRPr="00DB0171" w:rsidRDefault="000B1395" w:rsidP="00C525D6">
      <w:pPr>
        <w:pStyle w:val="ListParagraph"/>
        <w:numPr>
          <w:ilvl w:val="0"/>
          <w:numId w:val="26"/>
        </w:numPr>
        <w:tabs>
          <w:tab w:val="left" w:pos="993"/>
        </w:tabs>
        <w:ind w:left="709"/>
        <w:jc w:val="both"/>
        <w:rPr>
          <w:rFonts w:ascii="Verdana" w:hAnsi="Verdana"/>
        </w:rPr>
      </w:pPr>
      <w:r>
        <w:t>Do celów niniejszego Artykułu zakłada się, że produkty z tworzyw sztucznych jednorazowego użytku, o których mowa w ust. 1, są zgodne z normami zharmonizowanymi w tej kwestii lub z częścią mającą do nich zastosowanie, która jest publikowana na poziomie Unii Europejskiej, spełniającą wymogi, o których mowa w ust. 1.</w:t>
      </w:r>
    </w:p>
    <w:p w14:paraId="14D80B17" w14:textId="77777777" w:rsidR="000B1395" w:rsidRPr="000B1395" w:rsidRDefault="000B1395" w:rsidP="000B1395"/>
    <w:p w14:paraId="47E09CB1" w14:textId="6E6EEAB2" w:rsidR="00910B5B" w:rsidRDefault="00AC3F76" w:rsidP="000600E7">
      <w:pPr>
        <w:pStyle w:val="Heading2"/>
        <w:numPr>
          <w:ilvl w:val="0"/>
          <w:numId w:val="0"/>
        </w:numPr>
        <w:ind w:left="426"/>
      </w:pPr>
      <w:bookmarkStart w:id="18" w:name="_Ref66120945"/>
      <w:r>
        <w:t>Artykuł 11</w:t>
      </w:r>
      <w:r>
        <w:br/>
      </w:r>
      <w:bookmarkEnd w:id="18"/>
      <w:r>
        <w:t>Wymogi dotyczące włączenia tworzyw sztucznych pochodzących z recyklingu do butelek na napoje</w:t>
      </w:r>
    </w:p>
    <w:p w14:paraId="71D0ED01" w14:textId="77777777" w:rsidR="00C756A3" w:rsidRPr="00C756A3" w:rsidRDefault="00C756A3" w:rsidP="00C756A3"/>
    <w:p w14:paraId="293CC75C" w14:textId="0F21C308" w:rsidR="00910B5B" w:rsidRDefault="00910B5B" w:rsidP="00C525D6">
      <w:pPr>
        <w:pStyle w:val="ListParagraph"/>
        <w:numPr>
          <w:ilvl w:val="0"/>
          <w:numId w:val="28"/>
        </w:numPr>
        <w:tabs>
          <w:tab w:val="left" w:pos="993"/>
        </w:tabs>
        <w:ind w:left="709"/>
        <w:jc w:val="both"/>
        <w:rPr>
          <w:rFonts w:ascii="Verdana" w:hAnsi="Verdana"/>
        </w:rPr>
      </w:pPr>
      <w:bookmarkStart w:id="19" w:name="_Ref63443128"/>
      <w:bookmarkStart w:id="20" w:name="_Ref66120973"/>
      <w:r>
        <w:t>Od dnia 1 stycznia 2025 r. plastikowe butelki jednorazowego użytku do napojów o pojemności do trzech litrów, w tym ich nakrętki i wieczka, które są wytwarzane z politereftalanu etylenu jako głównego składnika („butelki PET”) muszą zawierać co najmniej 25 % tworzywa sztucznego pochodzącego z recyklingu, obliczonego jako średnia dla wszystkich butelek PET wprowadzonych do obrotu.</w:t>
      </w:r>
      <w:bookmarkEnd w:id="19"/>
      <w:bookmarkEnd w:id="20"/>
    </w:p>
    <w:p w14:paraId="1BB8DA42" w14:textId="46544031" w:rsidR="00910B5B" w:rsidRDefault="00910B5B" w:rsidP="00C525D6">
      <w:pPr>
        <w:pStyle w:val="ListParagraph"/>
        <w:numPr>
          <w:ilvl w:val="0"/>
          <w:numId w:val="28"/>
        </w:numPr>
        <w:tabs>
          <w:tab w:val="left" w:pos="993"/>
        </w:tabs>
        <w:ind w:left="709"/>
        <w:jc w:val="both"/>
        <w:rPr>
          <w:rFonts w:ascii="Verdana" w:hAnsi="Verdana"/>
        </w:rPr>
      </w:pPr>
      <w:bookmarkStart w:id="21" w:name="_Ref66120985"/>
      <w:r>
        <w:rPr>
          <w:rFonts w:ascii="Verdana" w:hAnsi="Verdana"/>
        </w:rPr>
        <w:t>Od dnia 1 stycznia 2030 r. plastikowe butelki jednorazowego użytku do napojów o pojemności do trzech litrów, w tym ich nakrętki i wieczka muszą zawierać co najmniej 30 % tworzywa sztucznego pochodzącego z recyklingu, obliczonego jako średnia dla wszystkich butelek wprowadzonych do obrotu.</w:t>
      </w:r>
      <w:bookmarkEnd w:id="21"/>
    </w:p>
    <w:p w14:paraId="1D99D48B" w14:textId="667F57C9" w:rsidR="00910B5B" w:rsidRPr="00B65C65" w:rsidRDefault="00910B5B" w:rsidP="00C525D6">
      <w:pPr>
        <w:pStyle w:val="ListParagraph"/>
        <w:numPr>
          <w:ilvl w:val="0"/>
          <w:numId w:val="28"/>
        </w:numPr>
        <w:tabs>
          <w:tab w:val="left" w:pos="993"/>
        </w:tabs>
        <w:ind w:left="709"/>
        <w:jc w:val="both"/>
        <w:rPr>
          <w:rFonts w:ascii="Verdana" w:hAnsi="Verdana"/>
        </w:rPr>
      </w:pPr>
      <w:r>
        <w:t>Z ust. 1 i 2 niniejszego Artykułu wyłączono:</w:t>
      </w:r>
      <w:r>
        <w:rPr>
          <w:rFonts w:ascii="Verdana" w:hAnsi="Verdana"/>
        </w:rPr>
        <w:t xml:space="preserve"> </w:t>
      </w:r>
    </w:p>
    <w:p w14:paraId="317BA5AC" w14:textId="1FBF2639" w:rsidR="00910B5B" w:rsidRPr="00F7675E" w:rsidRDefault="00910B5B" w:rsidP="00C525D6">
      <w:pPr>
        <w:pStyle w:val="ListParagraph"/>
        <w:numPr>
          <w:ilvl w:val="0"/>
          <w:numId w:val="29"/>
        </w:numPr>
        <w:spacing w:line="240" w:lineRule="auto"/>
        <w:rPr>
          <w:rFonts w:ascii="Verdana" w:hAnsi="Verdana"/>
        </w:rPr>
      </w:pPr>
      <w:r>
        <w:rPr>
          <w:rFonts w:ascii="Verdana" w:hAnsi="Verdana"/>
        </w:rPr>
        <w:t>szklane lub metalowe butelki na napoje, których nakrętki i wieczka wykonane są z tworzyw sztucznych;</w:t>
      </w:r>
    </w:p>
    <w:p w14:paraId="6F8F94C4" w14:textId="77777777" w:rsidR="00910B5B" w:rsidRPr="00F7675E" w:rsidRDefault="00910B5B" w:rsidP="00C525D6">
      <w:pPr>
        <w:pStyle w:val="ListParagraph"/>
        <w:numPr>
          <w:ilvl w:val="0"/>
          <w:numId w:val="29"/>
        </w:numPr>
        <w:spacing w:line="240" w:lineRule="auto"/>
        <w:rPr>
          <w:rFonts w:ascii="Verdana" w:hAnsi="Verdana"/>
        </w:rPr>
      </w:pPr>
      <w:r>
        <w:rPr>
          <w:rFonts w:ascii="Verdana" w:hAnsi="Verdana"/>
        </w:rPr>
        <w:t xml:space="preserve">butelki na napoje przeznaczone i wykorzystywane do mającej płynną postać żywności specjalnego przeznaczenia medycznego zgodnie z definicją w art. 2 lit. g) rozporządzenia Parlamentu Europejskiego i Rady (UE) nr 609/2013. </w:t>
      </w:r>
    </w:p>
    <w:p w14:paraId="724B28DF" w14:textId="77777777" w:rsidR="00910B5B" w:rsidRDefault="00910B5B" w:rsidP="00C525D6">
      <w:pPr>
        <w:pStyle w:val="ListParagraph"/>
        <w:numPr>
          <w:ilvl w:val="0"/>
          <w:numId w:val="28"/>
        </w:numPr>
        <w:tabs>
          <w:tab w:val="left" w:pos="993"/>
        </w:tabs>
        <w:ind w:left="709"/>
        <w:jc w:val="both"/>
        <w:rPr>
          <w:rFonts w:ascii="Verdana" w:hAnsi="Verdana"/>
        </w:rPr>
      </w:pPr>
      <w:r>
        <w:rPr>
          <w:rFonts w:ascii="Verdana" w:hAnsi="Verdana"/>
        </w:rPr>
        <w:t>Do celów niniejszego Artykułu nie uznaje się za wykonane z tworzywa sztucznego nakrętki lub wieczka metalowe z plastikowymi uszczelnieniami.</w:t>
      </w:r>
    </w:p>
    <w:p w14:paraId="46E244C4" w14:textId="4F894862" w:rsidR="007E1EED" w:rsidRDefault="00910B5B" w:rsidP="00C525D6">
      <w:pPr>
        <w:pStyle w:val="ListParagraph"/>
        <w:numPr>
          <w:ilvl w:val="0"/>
          <w:numId w:val="28"/>
        </w:numPr>
        <w:tabs>
          <w:tab w:val="left" w:pos="993"/>
        </w:tabs>
        <w:ind w:left="709"/>
        <w:jc w:val="both"/>
        <w:rPr>
          <w:rFonts w:ascii="Verdana" w:hAnsi="Verdana"/>
        </w:rPr>
      </w:pPr>
      <w:r>
        <w:t>Wartości procentowe, o których mowa w ust. 1 i 2, muszą być przestrzegane corocznie przez każdego pakującego, który wprowadza swoje butelki do obrotu.</w:t>
      </w:r>
    </w:p>
    <w:p w14:paraId="486BF503" w14:textId="1E9AB095" w:rsidR="00910B5B" w:rsidRPr="00B65C65" w:rsidRDefault="007E1EED" w:rsidP="00C525D6">
      <w:pPr>
        <w:pStyle w:val="ListParagraph"/>
        <w:numPr>
          <w:ilvl w:val="0"/>
          <w:numId w:val="28"/>
        </w:numPr>
        <w:tabs>
          <w:tab w:val="left" w:pos="993"/>
        </w:tabs>
        <w:ind w:left="709"/>
        <w:jc w:val="both"/>
        <w:rPr>
          <w:rFonts w:ascii="Verdana" w:hAnsi="Verdana"/>
        </w:rPr>
      </w:pPr>
      <w:r>
        <w:rPr>
          <w:rFonts w:ascii="Verdana" w:hAnsi="Verdana"/>
        </w:rPr>
        <w:t>Na wniosek właściwych organów pakujący dostarczy odpowiedni dowód ilości plastiku pochodzącego z recyklingu znajdującego się w butelkach z napojami, w szczególności za pomocą deklaracji ich producentów lub dostawców.</w:t>
      </w:r>
    </w:p>
    <w:p w14:paraId="70A3539F" w14:textId="60AAB4A9" w:rsidR="00910B5B" w:rsidRPr="00B65C65" w:rsidRDefault="00910B5B" w:rsidP="00C525D6">
      <w:pPr>
        <w:pStyle w:val="ListParagraph"/>
        <w:numPr>
          <w:ilvl w:val="0"/>
          <w:numId w:val="28"/>
        </w:numPr>
        <w:tabs>
          <w:tab w:val="left" w:pos="993"/>
        </w:tabs>
        <w:ind w:left="709"/>
        <w:jc w:val="both"/>
        <w:rPr>
          <w:rFonts w:ascii="Verdana" w:hAnsi="Verdana"/>
        </w:rPr>
      </w:pPr>
      <w:r>
        <w:t>W celu sprawdzenia zgodności z celami określonymi w ust. 1 niniejszego artykułu uwzględnia się zasady obliczania określone w akcie wykonawczym przyjętym przez Komisję Europejską.</w:t>
      </w:r>
      <w:r>
        <w:rPr>
          <w:rFonts w:ascii="Verdana" w:hAnsi="Verdana"/>
        </w:rPr>
        <w:t xml:space="preserve"> </w:t>
      </w:r>
    </w:p>
    <w:p w14:paraId="08D164A0" w14:textId="640DF22A" w:rsidR="00910B5B" w:rsidRDefault="00910B5B" w:rsidP="00910B5B"/>
    <w:p w14:paraId="233E763D" w14:textId="378D6E9D" w:rsidR="006610EC" w:rsidRPr="006610EC" w:rsidRDefault="00AC3F76" w:rsidP="000600E7">
      <w:pPr>
        <w:pStyle w:val="Heading2"/>
        <w:numPr>
          <w:ilvl w:val="0"/>
          <w:numId w:val="0"/>
        </w:numPr>
        <w:tabs>
          <w:tab w:val="clear" w:pos="1701"/>
          <w:tab w:val="left" w:pos="1418"/>
        </w:tabs>
        <w:ind w:left="426"/>
      </w:pPr>
      <w:r>
        <w:lastRenderedPageBreak/>
        <w:t>Artykuł 12</w:t>
      </w:r>
      <w:r>
        <w:br/>
        <w:t xml:space="preserve">Wymogi </w:t>
      </w:r>
      <w:bookmarkStart w:id="22" w:name="_Ref63690920"/>
      <w:r>
        <w:t>znakowania</w:t>
      </w:r>
      <w:bookmarkStart w:id="23" w:name="_Ref66121082"/>
      <w:bookmarkEnd w:id="22"/>
    </w:p>
    <w:p w14:paraId="23B4288E" w14:textId="7CC123E7" w:rsidR="000B1395" w:rsidRPr="00182AD4" w:rsidRDefault="000B1395" w:rsidP="00C525D6">
      <w:pPr>
        <w:pStyle w:val="ListParagraph"/>
        <w:numPr>
          <w:ilvl w:val="0"/>
          <w:numId w:val="13"/>
        </w:numPr>
        <w:ind w:left="709"/>
        <w:jc w:val="both"/>
        <w:rPr>
          <w:rFonts w:ascii="Verdana" w:hAnsi="Verdana"/>
        </w:rPr>
      </w:pPr>
      <w:bookmarkStart w:id="24" w:name="_Hlk65348626"/>
      <w:bookmarkStart w:id="25" w:name="_Ref63441404"/>
      <w:bookmarkEnd w:id="23"/>
      <w:r>
        <w:t>Od dnia 3 lipca 2021 r.</w:t>
      </w:r>
      <w:bookmarkEnd w:id="24"/>
      <w:r>
        <w:t xml:space="preserve"> następujące produkty z tworzyw sztucznych jednorazowego użytku mogą być wprowadzane do obrotu tylko wtedy, gdy są zgodne z przepisami dotyczącymi oznakowania, o których mowa w</w:t>
      </w:r>
      <w:bookmarkEnd w:id="25"/>
      <w:r>
        <w:t>następujących ustępach niniejszego Artykułu:</w:t>
      </w:r>
    </w:p>
    <w:p w14:paraId="51848D1A"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podpaski higieniczne, tampony oraz aplikatory do tamponów;</w:t>
      </w:r>
    </w:p>
    <w:p w14:paraId="6525FD27" w14:textId="77777777" w:rsidR="000B1395" w:rsidRDefault="000B1395" w:rsidP="00C525D6">
      <w:pPr>
        <w:pStyle w:val="ListParagraph"/>
        <w:numPr>
          <w:ilvl w:val="0"/>
          <w:numId w:val="30"/>
        </w:numPr>
        <w:spacing w:line="240" w:lineRule="auto"/>
        <w:rPr>
          <w:rFonts w:ascii="Verdana" w:hAnsi="Verdana"/>
        </w:rPr>
      </w:pPr>
      <w:r>
        <w:rPr>
          <w:rFonts w:ascii="Verdana" w:hAnsi="Verdana"/>
        </w:rPr>
        <w:t>chusteczki nawilżane, tj. uprzednio nawilżone chusteczki przeznaczone do higieny osobistej i uprzednio nawilżone chusteczki do użytku domowego;</w:t>
      </w:r>
    </w:p>
    <w:p w14:paraId="7D6DB1C8" w14:textId="77777777" w:rsidR="000B1395" w:rsidRPr="00637341" w:rsidRDefault="000B1395" w:rsidP="00C525D6">
      <w:pPr>
        <w:pStyle w:val="ListParagraph"/>
        <w:numPr>
          <w:ilvl w:val="0"/>
          <w:numId w:val="30"/>
        </w:numPr>
        <w:spacing w:line="240" w:lineRule="auto"/>
        <w:rPr>
          <w:rFonts w:ascii="Verdana" w:hAnsi="Verdana"/>
        </w:rPr>
      </w:pPr>
      <w:r>
        <w:rPr>
          <w:rFonts w:ascii="Verdana" w:hAnsi="Verdana"/>
        </w:rPr>
        <w:t xml:space="preserve">wyroby tytoniowe z filtrami i filtry wprowadzane do obrotu do użycia w połączeniu z wyrobami tytoniowymi; oraz </w:t>
      </w:r>
    </w:p>
    <w:p w14:paraId="744A4615" w14:textId="77777777" w:rsidR="000B1395" w:rsidRDefault="000B1395" w:rsidP="00C525D6">
      <w:pPr>
        <w:pStyle w:val="ListParagraph"/>
        <w:numPr>
          <w:ilvl w:val="0"/>
          <w:numId w:val="30"/>
        </w:numPr>
        <w:spacing w:line="240" w:lineRule="auto"/>
        <w:rPr>
          <w:rFonts w:ascii="Verdana" w:hAnsi="Verdana"/>
        </w:rPr>
      </w:pPr>
      <w:r>
        <w:rPr>
          <w:rFonts w:ascii="Verdana" w:hAnsi="Verdana"/>
        </w:rPr>
        <w:t xml:space="preserve">kubki na napoje. </w:t>
      </w:r>
    </w:p>
    <w:p w14:paraId="2FB5D019" w14:textId="77777777" w:rsidR="000B1395" w:rsidRDefault="000B1395" w:rsidP="00C525D6">
      <w:pPr>
        <w:pStyle w:val="ListParagraph"/>
        <w:numPr>
          <w:ilvl w:val="0"/>
          <w:numId w:val="13"/>
        </w:numPr>
        <w:jc w:val="both"/>
        <w:rPr>
          <w:rFonts w:ascii="Verdana" w:hAnsi="Verdana"/>
        </w:rPr>
      </w:pPr>
      <w:r>
        <w:rPr>
          <w:rFonts w:ascii="Verdana" w:hAnsi="Verdana"/>
        </w:rPr>
        <w:t>Produkty z tworzyw sztucznych jednorazowego użytku, o których mowa w poprzednim ustępie, zawierają na opakowaniu lub na samym produkcie wyraźnie czytelne i nieusuwalne oznakowanie, które zawiera następujące informacje przeznaczone dla konsumentów:</w:t>
      </w:r>
    </w:p>
    <w:p w14:paraId="6CFD1D28" w14:textId="77777777"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odpowiednie środki unieszkodliwiania odpadów produktu lub odpadów, których należy unikać w odniesieniu do tego produktu, zgodnie z hierarchią odpadów; oraz </w:t>
      </w:r>
    </w:p>
    <w:p w14:paraId="45546BB6" w14:textId="00EB4430" w:rsidR="000B1395" w:rsidRPr="003F6B93" w:rsidRDefault="000B1395" w:rsidP="00C525D6">
      <w:pPr>
        <w:pStyle w:val="ListParagraph"/>
        <w:numPr>
          <w:ilvl w:val="0"/>
          <w:numId w:val="31"/>
        </w:numPr>
        <w:spacing w:line="240" w:lineRule="auto"/>
        <w:rPr>
          <w:rFonts w:ascii="Verdana" w:hAnsi="Verdana"/>
        </w:rPr>
      </w:pPr>
      <w:r>
        <w:rPr>
          <w:rFonts w:ascii="Verdana" w:hAnsi="Verdana"/>
        </w:rPr>
        <w:t xml:space="preserve">obecność tworzywa sztucznego w produkcie oraz wynikający z tego negatywny wpływ śmiecenia lub innych nieodpowiednich sposobów unieszkodliwiania odpadów na środowisko. </w:t>
      </w:r>
    </w:p>
    <w:p w14:paraId="52B4F969" w14:textId="23F7E8B2" w:rsidR="000B1395" w:rsidRPr="003A48D5" w:rsidRDefault="000B1395" w:rsidP="00C525D6">
      <w:pPr>
        <w:pStyle w:val="ListParagraph"/>
        <w:numPr>
          <w:ilvl w:val="0"/>
          <w:numId w:val="13"/>
        </w:numPr>
        <w:jc w:val="both"/>
        <w:rPr>
          <w:rFonts w:ascii="Verdana" w:hAnsi="Verdana"/>
        </w:rPr>
      </w:pPr>
      <w:r>
        <w:rPr>
          <w:rFonts w:ascii="Verdana" w:hAnsi="Verdana"/>
        </w:rPr>
        <w:t>Przepisy dotyczące specyfikacji oznakowania, o których mowa w poprzednich ustępach, określono w rozporządzeniu wykonawczym Komisji (UE) 2020/2151 z dnia 17 grudnia 2020 r.</w:t>
      </w:r>
    </w:p>
    <w:p w14:paraId="03D11840" w14:textId="2FEB97F4" w:rsidR="000B1395" w:rsidRDefault="000B1395" w:rsidP="00C525D6">
      <w:pPr>
        <w:pStyle w:val="ListParagraph"/>
        <w:numPr>
          <w:ilvl w:val="0"/>
          <w:numId w:val="13"/>
        </w:numPr>
        <w:jc w:val="both"/>
        <w:rPr>
          <w:rFonts w:ascii="Verdana" w:hAnsi="Verdana"/>
        </w:rPr>
      </w:pPr>
      <w:r>
        <w:rPr>
          <w:rFonts w:ascii="Verdana" w:hAnsi="Verdana"/>
        </w:rPr>
        <w:t>Przepisy niniejszego Artykułu odnoszące się do wyrobów tytoniowych dodaje się do przepisów ustanowionych w dekrecie z mocą ustawy nr 109/2015 z dnia 26 sierpnia.</w:t>
      </w:r>
    </w:p>
    <w:p w14:paraId="4528C33F" w14:textId="77777777" w:rsidR="000B1395" w:rsidRPr="003F6B93" w:rsidRDefault="000B1395" w:rsidP="00A85085">
      <w:pPr>
        <w:spacing w:before="120" w:after="120" w:line="240" w:lineRule="auto"/>
        <w:jc w:val="both"/>
        <w:rPr>
          <w:rFonts w:ascii="Verdana" w:hAnsi="Verdana" w:cs="Arial"/>
          <w:color w:val="3C3C3C"/>
          <w:sz w:val="21"/>
          <w:szCs w:val="21"/>
        </w:rPr>
      </w:pPr>
    </w:p>
    <w:p w14:paraId="182C2EF4" w14:textId="77777777" w:rsidR="00F9082F" w:rsidRPr="003F6B93" w:rsidRDefault="00F9082F" w:rsidP="00893B34">
      <w:pPr>
        <w:jc w:val="both"/>
        <w:rPr>
          <w:rFonts w:ascii="Verdana" w:hAnsi="Verdana"/>
        </w:rPr>
      </w:pPr>
    </w:p>
    <w:p w14:paraId="6AE4673B" w14:textId="762ECF40" w:rsidR="009820C4" w:rsidRPr="003F6B93" w:rsidRDefault="003F14EA" w:rsidP="00E92A33">
      <w:pPr>
        <w:pStyle w:val="Heading1"/>
        <w:tabs>
          <w:tab w:val="clear" w:pos="3969"/>
          <w:tab w:val="left" w:pos="2410"/>
        </w:tabs>
      </w:pPr>
      <w:r>
        <w:br/>
      </w:r>
      <w:bookmarkStart w:id="26" w:name="_Ref66121225"/>
      <w:r>
        <w:t>Rozszerzona odpowiedzialność producenta</w:t>
      </w:r>
      <w:bookmarkEnd w:id="26"/>
    </w:p>
    <w:p w14:paraId="4D4FD2B1" w14:textId="6A54F531" w:rsidR="00CF3B6A" w:rsidRDefault="00AC3F76" w:rsidP="000600E7">
      <w:pPr>
        <w:pStyle w:val="Heading2"/>
        <w:numPr>
          <w:ilvl w:val="0"/>
          <w:numId w:val="0"/>
        </w:numPr>
        <w:tabs>
          <w:tab w:val="clear" w:pos="1701"/>
          <w:tab w:val="left" w:pos="1418"/>
        </w:tabs>
        <w:ind w:left="426"/>
      </w:pPr>
      <w:bookmarkStart w:id="27" w:name="_Ref66121190"/>
      <w:r>
        <w:lastRenderedPageBreak/>
        <w:t>Artykuł 13</w:t>
      </w:r>
      <w:r>
        <w:br/>
      </w:r>
      <w:bookmarkEnd w:id="27"/>
      <w:r>
        <w:t>Dostosowanie rozszerzonego systemu odpowiedzialności producenta</w:t>
      </w:r>
    </w:p>
    <w:p w14:paraId="078DCD32" w14:textId="77777777" w:rsidR="006610EC" w:rsidRPr="006610EC" w:rsidRDefault="006610EC" w:rsidP="006610EC"/>
    <w:p w14:paraId="3392D79B" w14:textId="0F56A5E4" w:rsidR="00CF3B6A" w:rsidRPr="00F7675E" w:rsidRDefault="00CF3B6A" w:rsidP="00C525D6">
      <w:pPr>
        <w:pStyle w:val="ListParagraph"/>
        <w:numPr>
          <w:ilvl w:val="0"/>
          <w:numId w:val="32"/>
        </w:numPr>
        <w:jc w:val="both"/>
        <w:rPr>
          <w:rFonts w:ascii="Verdana" w:hAnsi="Verdana"/>
        </w:rPr>
      </w:pPr>
      <w:bookmarkStart w:id="28" w:name="_Hlk65401219"/>
      <w:bookmarkStart w:id="29" w:name="_Ref63444363"/>
      <w:bookmarkStart w:id="30" w:name="_Hlk65800056"/>
      <w:bookmarkStart w:id="31" w:name="_Hlk65440645"/>
      <w:r>
        <w:t>Do dnia 1 stycznia 2023 r. obowiązujący rozszerzony system odpowiedzialności producenta za opakowania i odpady opakowaniowe w odniesieniu do następujących produktów z tworzyw sztucznych jednorazowego użytku wprowadzonych do obrotu zostaje zmieniony w celu spełnienia wymogów, o których mowa w art. 15</w:t>
      </w:r>
      <w:bookmarkEnd w:id="28"/>
      <w:r>
        <w:t>:</w:t>
      </w:r>
      <w:bookmarkEnd w:id="29"/>
    </w:p>
    <w:bookmarkEnd w:id="30"/>
    <w:p w14:paraId="02229E91"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Pojemniki na żywność tj. pojemniki takie jak pudełka, z wieczkiem lub bez, stosowane w celu umieszczania w nich żywności, która: </w:t>
      </w:r>
    </w:p>
    <w:p w14:paraId="0529DB33"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jest przeznaczona do bezpośredniego spożycia, na miejscu lub na wynos;</w:t>
      </w:r>
    </w:p>
    <w:p w14:paraId="31CAE1B0"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jest zazwyczaj spożywana bezpośrednio z pojemnika; oraz</w:t>
      </w:r>
    </w:p>
    <w:p w14:paraId="4F40E336" w14:textId="77777777" w:rsidR="00197BF8" w:rsidRPr="00E92A33" w:rsidRDefault="00197BF8" w:rsidP="00C525D6">
      <w:pPr>
        <w:pStyle w:val="ListParagraph"/>
        <w:numPr>
          <w:ilvl w:val="2"/>
          <w:numId w:val="14"/>
        </w:numPr>
        <w:tabs>
          <w:tab w:val="left" w:pos="567"/>
        </w:tabs>
        <w:spacing w:after="200" w:line="276" w:lineRule="auto"/>
        <w:ind w:left="1843" w:hanging="383"/>
        <w:jc w:val="both"/>
        <w:rPr>
          <w:rFonts w:ascii="Verdana" w:hAnsi="Verdana"/>
        </w:rPr>
      </w:pPr>
      <w:r>
        <w:rPr>
          <w:rFonts w:ascii="Verdana" w:hAnsi="Verdana"/>
        </w:rPr>
        <w:t xml:space="preserve">jest gotowa do spożycia bez dalszej obróbki, takiej jak przyrządzanie, gotowanie czy podgrzewanie, </w:t>
      </w:r>
    </w:p>
    <w:p w14:paraId="075967C0" w14:textId="77777777" w:rsidR="00197BF8" w:rsidRPr="00E92A33" w:rsidRDefault="00197BF8" w:rsidP="00197BF8">
      <w:pPr>
        <w:tabs>
          <w:tab w:val="left" w:pos="567"/>
        </w:tabs>
        <w:spacing w:after="200" w:line="276" w:lineRule="auto"/>
        <w:ind w:left="1134"/>
        <w:jc w:val="both"/>
        <w:rPr>
          <w:rFonts w:ascii="Verdana" w:hAnsi="Verdana"/>
        </w:rPr>
      </w:pPr>
      <w:r>
        <w:rPr>
          <w:rFonts w:ascii="Verdana" w:hAnsi="Verdana"/>
        </w:rPr>
        <w:t>w tym pojemniki na żywność typu fast food lub na inne posiłki gotowe do bezpośredniego spożycia, z wyjątkiem pojemników na napoje, talerzy oraz opakowań i owijek zawierających żywność;</w:t>
      </w:r>
    </w:p>
    <w:p w14:paraId="0BEDD35F"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opakowania i owijki wykonane z elastycznych materiałów zawierające żywność przeznaczoną do bezpośredniego spożycia z opakowania lub owijki bez żadnej dalszej obróbki; </w:t>
      </w:r>
    </w:p>
    <w:p w14:paraId="3DD293D7"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pojemniki na napoje o pojemności do trzech litrów, tj. pojemniki stosowane do zawierania płynów, takich jak butelki z napojami, w tym ich nakrętki i wieczka oraz kompozytowe opakowania na napoje, w tym ich nakrętki i wieczka, ale nie pojemniki na napoje wykonane ze szkła lub z metalu, które posiadają nakrętki i wieczka wykonane z tworzywa sztucznego; </w:t>
      </w:r>
    </w:p>
    <w:p w14:paraId="527E7F03" w14:textId="77777777" w:rsidR="00197BF8" w:rsidRPr="00F7675E" w:rsidRDefault="00197BF8" w:rsidP="00C525D6">
      <w:pPr>
        <w:pStyle w:val="ListParagraph"/>
        <w:numPr>
          <w:ilvl w:val="0"/>
          <w:numId w:val="33"/>
        </w:numPr>
        <w:spacing w:line="240" w:lineRule="auto"/>
        <w:rPr>
          <w:rFonts w:ascii="Verdana" w:hAnsi="Verdana"/>
        </w:rPr>
      </w:pPr>
      <w:r>
        <w:rPr>
          <w:rFonts w:ascii="Verdana" w:hAnsi="Verdana"/>
        </w:rPr>
        <w:t xml:space="preserve">kubki na napoje, w tym ich nakrętki i wieczka; </w:t>
      </w:r>
    </w:p>
    <w:p w14:paraId="59DB831C" w14:textId="1B14A90A" w:rsidR="00197BF8" w:rsidRPr="00F7675E" w:rsidRDefault="00197BF8" w:rsidP="00C525D6">
      <w:pPr>
        <w:pStyle w:val="ListParagraph"/>
        <w:numPr>
          <w:ilvl w:val="0"/>
          <w:numId w:val="33"/>
        </w:numPr>
        <w:spacing w:line="240" w:lineRule="auto"/>
        <w:rPr>
          <w:rFonts w:ascii="Verdana" w:hAnsi="Verdana"/>
        </w:rPr>
      </w:pPr>
      <w:r>
        <w:rPr>
          <w:rFonts w:ascii="Verdana" w:hAnsi="Verdana"/>
        </w:rPr>
        <w:t>lekkie plastikowe torby na zakupy.</w:t>
      </w:r>
    </w:p>
    <w:p w14:paraId="7E641AC3" w14:textId="6163971C" w:rsidR="00197BF8" w:rsidRDefault="00197BF8" w:rsidP="00D4270E">
      <w:pPr>
        <w:pStyle w:val="ListParagraph"/>
        <w:tabs>
          <w:tab w:val="left" w:pos="284"/>
        </w:tabs>
        <w:autoSpaceDE w:val="0"/>
        <w:autoSpaceDN w:val="0"/>
        <w:adjustRightInd w:val="0"/>
        <w:ind w:left="426"/>
        <w:jc w:val="center"/>
        <w:rPr>
          <w:rFonts w:ascii="Verdana" w:hAnsi="Verdana" w:cs="EU Albertina"/>
        </w:rPr>
      </w:pPr>
    </w:p>
    <w:p w14:paraId="5D248077" w14:textId="0B4608A6" w:rsidR="00CF3B6A" w:rsidRPr="00F7675E" w:rsidRDefault="00700314" w:rsidP="00C525D6">
      <w:pPr>
        <w:pStyle w:val="ListParagraph"/>
        <w:numPr>
          <w:ilvl w:val="0"/>
          <w:numId w:val="32"/>
        </w:numPr>
        <w:jc w:val="both"/>
        <w:rPr>
          <w:rFonts w:ascii="Verdana" w:hAnsi="Verdana"/>
        </w:rPr>
      </w:pPr>
      <w:bookmarkStart w:id="32" w:name="_Hlk65800069"/>
      <w:bookmarkEnd w:id="31"/>
      <w:r>
        <w:rPr>
          <w:rFonts w:ascii="Verdana" w:hAnsi="Verdana"/>
        </w:rPr>
        <w:t>Zmiana przewidziana w poprzednim ustępie zostaje opublikowana nie później niż rok przed jej wejściem w życie.</w:t>
      </w:r>
    </w:p>
    <w:p w14:paraId="53598B95" w14:textId="77777777" w:rsidR="001D7D5A" w:rsidRPr="00F7675E" w:rsidRDefault="001D7D5A" w:rsidP="00F7675E">
      <w:pPr>
        <w:pStyle w:val="ListParagraph"/>
        <w:ind w:left="928"/>
        <w:jc w:val="both"/>
        <w:rPr>
          <w:rFonts w:ascii="Verdana" w:hAnsi="Verdana"/>
        </w:rPr>
      </w:pPr>
    </w:p>
    <w:p w14:paraId="42F5CA37" w14:textId="10733D2B" w:rsidR="00AA57E3" w:rsidRPr="001D7D5A" w:rsidRDefault="00AC3F76" w:rsidP="000600E7">
      <w:pPr>
        <w:pStyle w:val="Heading2"/>
        <w:numPr>
          <w:ilvl w:val="0"/>
          <w:numId w:val="0"/>
        </w:numPr>
        <w:tabs>
          <w:tab w:val="clear" w:pos="1701"/>
          <w:tab w:val="left" w:pos="1418"/>
        </w:tabs>
        <w:ind w:left="426"/>
      </w:pPr>
      <w:bookmarkStart w:id="33" w:name="_Ref66121335"/>
      <w:bookmarkEnd w:id="32"/>
      <w:r>
        <w:t>Artykuł 14</w:t>
      </w:r>
      <w:r>
        <w:br/>
      </w:r>
      <w:bookmarkEnd w:id="33"/>
      <w:r>
        <w:t xml:space="preserve">Tworzenie systemów rozszerzonej odpowiedzialności </w:t>
      </w:r>
      <w:r>
        <w:lastRenderedPageBreak/>
        <w:t>producenta za produkty z tworzyw sztucznych jednorazowego użytku</w:t>
      </w:r>
    </w:p>
    <w:p w14:paraId="34F37462" w14:textId="77777777" w:rsidR="006610EC" w:rsidRPr="00AA57E3" w:rsidRDefault="006610EC" w:rsidP="00AA57E3">
      <w:pPr>
        <w:jc w:val="center"/>
        <w:rPr>
          <w:rFonts w:ascii="Verdana" w:hAnsi="Verdana"/>
          <w:b/>
        </w:rPr>
      </w:pPr>
    </w:p>
    <w:p w14:paraId="2759F1AD" w14:textId="488A6E81" w:rsidR="00AA57E3" w:rsidRPr="00F7675E" w:rsidRDefault="00AA57E3" w:rsidP="00C525D6">
      <w:pPr>
        <w:pStyle w:val="ListParagraph"/>
        <w:numPr>
          <w:ilvl w:val="0"/>
          <w:numId w:val="34"/>
        </w:numPr>
        <w:jc w:val="both"/>
        <w:rPr>
          <w:rFonts w:ascii="Verdana" w:hAnsi="Verdana"/>
        </w:rPr>
      </w:pPr>
      <w:bookmarkStart w:id="34" w:name="_Ref63444386"/>
      <w:bookmarkStart w:id="35" w:name="_Ref63444377"/>
      <w:r>
        <w:rPr>
          <w:rFonts w:ascii="Verdana" w:hAnsi="Verdana"/>
        </w:rPr>
        <w:t>Do dnia 1 stycznia 2023 r. zostaną ustanowione systemy rozszerzonej odpowiedzialności producenta za wyroby tytoniowe z filtrami i filtry wprowadzane do obrotu do użycia w połączeniu z wyrobami tytoniowymi;</w:t>
      </w:r>
      <w:bookmarkEnd w:id="34"/>
      <w:r>
        <w:rPr>
          <w:rFonts w:ascii="Verdana" w:hAnsi="Verdana"/>
        </w:rPr>
        <w:t xml:space="preserve"> </w:t>
      </w:r>
    </w:p>
    <w:p w14:paraId="40994946" w14:textId="419FC4E7" w:rsidR="00AA57E3" w:rsidRPr="00F7675E" w:rsidRDefault="00AA57E3" w:rsidP="00C525D6">
      <w:pPr>
        <w:pStyle w:val="ListParagraph"/>
        <w:numPr>
          <w:ilvl w:val="0"/>
          <w:numId w:val="34"/>
        </w:numPr>
        <w:jc w:val="both"/>
        <w:rPr>
          <w:rFonts w:ascii="Verdana" w:hAnsi="Verdana"/>
        </w:rPr>
      </w:pPr>
      <w:bookmarkStart w:id="36" w:name="_Ref66121489"/>
      <w:r>
        <w:rPr>
          <w:rFonts w:ascii="Verdana" w:hAnsi="Verdana"/>
        </w:rPr>
        <w:t>Do dnia 1 stycznia 2025 r. zostaną ustanowione systemy rozszerzonej odpowiedzialności producenta w odniesieniu do następujących produktów z tworzyw sztucznych jednorazowego użytku:</w:t>
      </w:r>
      <w:bookmarkEnd w:id="35"/>
      <w:bookmarkEnd w:id="36"/>
    </w:p>
    <w:p w14:paraId="539CCA96"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 xml:space="preserve">chusteczki nawilżane, tj. uprzednio nawilżone chusteczki przeznaczone do higieny osobistej i uprzednio nawilżone chusteczki do użytku domowego; </w:t>
      </w:r>
    </w:p>
    <w:p w14:paraId="4114B342" w14:textId="77777777" w:rsidR="00AA57E3" w:rsidRPr="00F7675E" w:rsidRDefault="00AA57E3" w:rsidP="00C525D6">
      <w:pPr>
        <w:pStyle w:val="ListParagraph"/>
        <w:numPr>
          <w:ilvl w:val="0"/>
          <w:numId w:val="35"/>
        </w:numPr>
        <w:spacing w:line="240" w:lineRule="auto"/>
        <w:rPr>
          <w:rFonts w:ascii="Verdana" w:hAnsi="Verdana"/>
        </w:rPr>
      </w:pPr>
      <w:r>
        <w:rPr>
          <w:rFonts w:ascii="Verdana" w:hAnsi="Verdana"/>
        </w:rPr>
        <w:t>balony, z wyjątkiem balonów do użytku przemysłowego lub innych profesjonalnych zastosowań, które to balony nie są rozprowadzane wśród konsumentów;</w:t>
      </w:r>
    </w:p>
    <w:p w14:paraId="522DD1DA" w14:textId="7C4D7238" w:rsidR="00AA57E3" w:rsidRPr="00F7675E" w:rsidRDefault="00AA57E3" w:rsidP="00C525D6">
      <w:pPr>
        <w:pStyle w:val="ListParagraph"/>
        <w:numPr>
          <w:ilvl w:val="0"/>
          <w:numId w:val="35"/>
        </w:numPr>
        <w:spacing w:line="240" w:lineRule="auto"/>
        <w:rPr>
          <w:rFonts w:ascii="Verdana" w:hAnsi="Verdana"/>
        </w:rPr>
      </w:pPr>
      <w:r>
        <w:rPr>
          <w:rFonts w:ascii="Verdana" w:hAnsi="Verdana"/>
        </w:rPr>
        <w:t>kubki na napoje, w tym ich nakrętki i wieczka.</w:t>
      </w:r>
    </w:p>
    <w:p w14:paraId="42D88118" w14:textId="55FDD9ED" w:rsidR="00AA57E3" w:rsidRPr="00F7675E" w:rsidRDefault="00AA57E3" w:rsidP="00C525D6">
      <w:pPr>
        <w:pStyle w:val="ListParagraph"/>
        <w:numPr>
          <w:ilvl w:val="0"/>
          <w:numId w:val="34"/>
        </w:numPr>
        <w:jc w:val="both"/>
        <w:rPr>
          <w:rFonts w:ascii="Verdana" w:hAnsi="Verdana"/>
        </w:rPr>
      </w:pPr>
      <w:bookmarkStart w:id="37" w:name="_Ref63672653"/>
      <w:bookmarkStart w:id="38" w:name="_Ref63697458"/>
      <w:r>
        <w:rPr>
          <w:rFonts w:ascii="Verdana" w:hAnsi="Verdana"/>
        </w:rPr>
        <w:t xml:space="preserve">Do dnia 1 stycznia 2025 r. należy ustanowić system rozszerzonej odpowiedzialności producenta w odniesieniu do narzędzi połowowych zawierających tworzywa sztuczne wprowadzone do obrotu oraz ustalić krajowy minimalny roczny wskaźnik zbierania odpadów narzędzi połowowych zawierających tworzywo sztuczne do recyklingu. </w:t>
      </w:r>
      <w:bookmarkEnd w:id="37"/>
      <w:bookmarkEnd w:id="38"/>
    </w:p>
    <w:p w14:paraId="52EACFCD" w14:textId="1800FB3B" w:rsidR="00700314" w:rsidRPr="00F7675E" w:rsidRDefault="00AA57E3" w:rsidP="00C525D6">
      <w:pPr>
        <w:pStyle w:val="ListParagraph"/>
        <w:numPr>
          <w:ilvl w:val="0"/>
          <w:numId w:val="34"/>
        </w:numPr>
        <w:jc w:val="both"/>
        <w:rPr>
          <w:rFonts w:ascii="Verdana" w:hAnsi="Verdana"/>
        </w:rPr>
      </w:pPr>
      <w:r>
        <w:rPr>
          <w:rFonts w:ascii="Verdana" w:hAnsi="Verdana"/>
        </w:rPr>
        <w:t>Dyrekcja Generalna ds. Zasobów Naturalnych, Bezpieczeństwa i Usług Morskich (DGRM) jest odpowiedzialna za przeprowadzenie badania wspierającego określenie wskaźnika, o którym mowa w poprzednim ustępie.</w:t>
      </w:r>
      <w:bookmarkStart w:id="39" w:name="_Hlk65427440"/>
    </w:p>
    <w:p w14:paraId="06EFD80B" w14:textId="160A381E" w:rsidR="00700314" w:rsidRPr="00F7675E" w:rsidRDefault="00700314" w:rsidP="00C525D6">
      <w:pPr>
        <w:pStyle w:val="ListParagraph"/>
        <w:numPr>
          <w:ilvl w:val="0"/>
          <w:numId w:val="34"/>
        </w:numPr>
        <w:jc w:val="both"/>
        <w:rPr>
          <w:rFonts w:ascii="Verdana" w:hAnsi="Verdana"/>
        </w:rPr>
      </w:pPr>
      <w:r>
        <w:t>Ustanowienie każdego z systemów rozszerzonej odpowiedzialności producenta przewidzianych w ust. 1, 2 i 3 zostaje opublikowane nie później niż rok przed wejściem w życie systemu.</w:t>
      </w:r>
      <w:bookmarkEnd w:id="39"/>
    </w:p>
    <w:p w14:paraId="756377B4" w14:textId="77777777" w:rsidR="00AA57E3" w:rsidRPr="00AA57E3" w:rsidRDefault="00AA57E3" w:rsidP="00040D73">
      <w:pPr>
        <w:pStyle w:val="ListParagraph"/>
        <w:tabs>
          <w:tab w:val="left" w:pos="284"/>
        </w:tabs>
        <w:autoSpaceDE w:val="0"/>
        <w:autoSpaceDN w:val="0"/>
        <w:adjustRightInd w:val="0"/>
        <w:spacing w:before="120" w:after="120" w:line="240" w:lineRule="auto"/>
        <w:ind w:left="426"/>
        <w:jc w:val="both"/>
      </w:pPr>
    </w:p>
    <w:p w14:paraId="793F53FD" w14:textId="3286B9D4" w:rsidR="00F92863" w:rsidRPr="00040D73" w:rsidRDefault="00AC3F76" w:rsidP="00AC3F76">
      <w:pPr>
        <w:pStyle w:val="Heading2"/>
        <w:numPr>
          <w:ilvl w:val="0"/>
          <w:numId w:val="0"/>
        </w:numPr>
        <w:tabs>
          <w:tab w:val="clear" w:pos="1701"/>
          <w:tab w:val="left" w:pos="1276"/>
        </w:tabs>
        <w:ind w:left="426"/>
      </w:pPr>
      <w:bookmarkStart w:id="40" w:name="_Ref66121553"/>
      <w:r>
        <w:t>Artykuł 15</w:t>
      </w:r>
      <w:r>
        <w:br/>
      </w:r>
      <w:bookmarkEnd w:id="40"/>
      <w:r>
        <w:t>Koszty objęte systemami rozszerzonej odpowiedzialności producenta</w:t>
      </w:r>
    </w:p>
    <w:p w14:paraId="0390D9A7" w14:textId="77777777" w:rsidR="006610EC" w:rsidRPr="00040D73" w:rsidRDefault="006610EC" w:rsidP="00040D73">
      <w:pPr>
        <w:pStyle w:val="ListParagraph"/>
        <w:tabs>
          <w:tab w:val="left" w:pos="284"/>
        </w:tabs>
        <w:autoSpaceDE w:val="0"/>
        <w:autoSpaceDN w:val="0"/>
        <w:adjustRightInd w:val="0"/>
        <w:spacing w:before="120" w:after="120" w:line="240" w:lineRule="auto"/>
        <w:ind w:left="426"/>
        <w:jc w:val="both"/>
      </w:pPr>
    </w:p>
    <w:p w14:paraId="08105367" w14:textId="1DFBFEB6" w:rsidR="00F92863" w:rsidRPr="00F7675E" w:rsidRDefault="00F92863" w:rsidP="00C525D6">
      <w:pPr>
        <w:pStyle w:val="ListParagraph"/>
        <w:numPr>
          <w:ilvl w:val="0"/>
          <w:numId w:val="36"/>
        </w:numPr>
        <w:jc w:val="both"/>
        <w:rPr>
          <w:rFonts w:ascii="Verdana" w:hAnsi="Verdana"/>
        </w:rPr>
      </w:pPr>
      <w:bookmarkStart w:id="41" w:name="_Ref63444260"/>
      <w:r>
        <w:rPr>
          <w:rFonts w:ascii="Verdana" w:hAnsi="Verdana"/>
        </w:rPr>
        <w:lastRenderedPageBreak/>
        <w:t>Oprócz kosztów, o których mowa w art. 13 ust. 3 lit. a) GSWM i Unilex, producenci wyrobów z tworzyw sztucznych jednorazowego użytku, o których mowa w art. 13, pokrywają również następujące koszty, o ile nie są one jeszcze uwzględnione w wymienionych kosztach:</w:t>
      </w:r>
      <w:bookmarkEnd w:id="41"/>
      <w:r>
        <w:rPr>
          <w:rFonts w:ascii="Verdana" w:hAnsi="Verdana"/>
        </w:rPr>
        <w:t xml:space="preserve"> </w:t>
      </w:r>
    </w:p>
    <w:p w14:paraId="755C5CD9" w14:textId="6FEA5A33" w:rsidR="00F92863" w:rsidRPr="003F6B93" w:rsidRDefault="00F92863" w:rsidP="00C525D6">
      <w:pPr>
        <w:pStyle w:val="ListParagraph"/>
        <w:numPr>
          <w:ilvl w:val="0"/>
          <w:numId w:val="37"/>
        </w:numPr>
        <w:spacing w:line="240" w:lineRule="auto"/>
        <w:rPr>
          <w:rFonts w:ascii="Verdana" w:hAnsi="Verdana"/>
        </w:rPr>
      </w:pPr>
      <w:r>
        <w:t>koszty środków podnoszenia świadomości, o których mowa w niniejszym dekrecie z mocą ustawy, odnoszących się do tych produktów;</w:t>
      </w:r>
      <w:r>
        <w:rPr>
          <w:rFonts w:ascii="Verdana" w:hAnsi="Verdana"/>
        </w:rPr>
        <w:t xml:space="preserve"> </w:t>
      </w:r>
    </w:p>
    <w:p w14:paraId="7362E724" w14:textId="77777777" w:rsidR="00F92863" w:rsidRPr="00930734" w:rsidRDefault="00F92863" w:rsidP="00C525D6">
      <w:pPr>
        <w:pStyle w:val="ListParagraph"/>
        <w:numPr>
          <w:ilvl w:val="0"/>
          <w:numId w:val="37"/>
        </w:numPr>
        <w:spacing w:line="240" w:lineRule="auto"/>
        <w:rPr>
          <w:rFonts w:ascii="Verdana" w:hAnsi="Verdana"/>
        </w:rPr>
      </w:pPr>
      <w:r>
        <w:rPr>
          <w:rFonts w:ascii="Verdana" w:hAnsi="Verdana"/>
        </w:rPr>
        <w:t xml:space="preserve">koszty zbierania odpadów w odniesieniu do tych produktów, </w:t>
      </w:r>
      <w:r w:rsidRPr="00930734">
        <w:rPr>
          <w:rFonts w:ascii="Verdana" w:hAnsi="Verdana"/>
        </w:rPr>
        <w:t xml:space="preserve">które są usuwane w publicznych systemach zbierania, w tym w zakresie infrastruktury i jej eksploatacji, oraz późniejszego transportu i przeróbki tych odpadów; oraz </w:t>
      </w:r>
    </w:p>
    <w:p w14:paraId="344A4917" w14:textId="77777777" w:rsidR="00F92863" w:rsidRPr="00930734" w:rsidRDefault="00F92863" w:rsidP="00C525D6">
      <w:pPr>
        <w:pStyle w:val="ListParagraph"/>
        <w:numPr>
          <w:ilvl w:val="0"/>
          <w:numId w:val="37"/>
        </w:numPr>
        <w:spacing w:line="240" w:lineRule="auto"/>
        <w:rPr>
          <w:rFonts w:ascii="Verdana" w:hAnsi="Verdana"/>
        </w:rPr>
      </w:pPr>
      <w:r w:rsidRPr="00930734">
        <w:rPr>
          <w:rFonts w:ascii="Verdana" w:hAnsi="Verdana"/>
        </w:rPr>
        <w:t>koszty sprzątania śmieci wynikające z tych produktów oraz późniejszego transportu i ich przeróbki.</w:t>
      </w:r>
    </w:p>
    <w:p w14:paraId="20E2B852" w14:textId="544EF49E" w:rsidR="00F92863" w:rsidRPr="00930734" w:rsidRDefault="00F92863" w:rsidP="00C525D6">
      <w:pPr>
        <w:pStyle w:val="ListParagraph"/>
        <w:numPr>
          <w:ilvl w:val="0"/>
          <w:numId w:val="36"/>
        </w:numPr>
        <w:jc w:val="both"/>
        <w:rPr>
          <w:rFonts w:ascii="Verdana" w:hAnsi="Verdana"/>
        </w:rPr>
      </w:pPr>
      <w:bookmarkStart w:id="42" w:name="_Ref63444269"/>
      <w:r w:rsidRPr="00930734">
        <w:rPr>
          <w:rFonts w:ascii="Verdana" w:hAnsi="Verdana"/>
        </w:rPr>
        <w:t>Producenci wyrobów z tworzyw sztucznych jednorazowego użytku, o których mowa w ust. 1 i 2, pokrywają co najmniej następujące koszty:</w:t>
      </w:r>
      <w:bookmarkEnd w:id="42"/>
      <w:r w:rsidRPr="00930734">
        <w:rPr>
          <w:rFonts w:ascii="Verdana" w:hAnsi="Verdana"/>
        </w:rPr>
        <w:t xml:space="preserve"> </w:t>
      </w:r>
    </w:p>
    <w:p w14:paraId="34C5E7C6" w14:textId="6CEF6915" w:rsidR="00F92863" w:rsidRPr="00930734" w:rsidRDefault="00F92863" w:rsidP="00C525D6">
      <w:pPr>
        <w:pStyle w:val="ListParagraph"/>
        <w:numPr>
          <w:ilvl w:val="0"/>
          <w:numId w:val="38"/>
        </w:numPr>
        <w:spacing w:line="240" w:lineRule="auto"/>
        <w:rPr>
          <w:rFonts w:ascii="Verdana" w:hAnsi="Verdana"/>
        </w:rPr>
      </w:pPr>
      <w:r w:rsidRPr="00930734">
        <w:rPr>
          <w:rFonts w:ascii="Verdana" w:hAnsi="Verdana"/>
        </w:rPr>
        <w:t>koszty środków podnoszenia świadomości, o których mowa w niniejszym dekrecie z mocą ustawy, odnoszących się do tych produktów;</w:t>
      </w:r>
    </w:p>
    <w:p w14:paraId="2759636F" w14:textId="77777777" w:rsidR="00F92863" w:rsidRPr="00930734" w:rsidRDefault="00F92863" w:rsidP="00C525D6">
      <w:pPr>
        <w:pStyle w:val="ListParagraph"/>
        <w:numPr>
          <w:ilvl w:val="0"/>
          <w:numId w:val="38"/>
        </w:numPr>
        <w:spacing w:line="240" w:lineRule="auto"/>
        <w:rPr>
          <w:rFonts w:ascii="Verdana" w:hAnsi="Verdana"/>
        </w:rPr>
      </w:pPr>
      <w:r w:rsidRPr="00930734">
        <w:rPr>
          <w:rFonts w:ascii="Verdana" w:hAnsi="Verdana"/>
        </w:rPr>
        <w:t xml:space="preserve">koszty sprzątania śmieci wynikające z tych produktów oraz późniejszego transportu i ich przeróbki; oraz </w:t>
      </w:r>
    </w:p>
    <w:p w14:paraId="2B485E43" w14:textId="4F86EA8B" w:rsidR="00F92863" w:rsidRPr="00930734" w:rsidRDefault="00F92863" w:rsidP="00C525D6">
      <w:pPr>
        <w:pStyle w:val="ListParagraph"/>
        <w:numPr>
          <w:ilvl w:val="0"/>
          <w:numId w:val="38"/>
        </w:numPr>
        <w:spacing w:line="240" w:lineRule="auto"/>
        <w:rPr>
          <w:rFonts w:ascii="Verdana" w:hAnsi="Verdana"/>
        </w:rPr>
      </w:pPr>
      <w:r w:rsidRPr="00930734">
        <w:rPr>
          <w:rFonts w:ascii="Verdana" w:hAnsi="Verdana"/>
        </w:rPr>
        <w:t xml:space="preserve">Koszty gromadzenia danych i składania sprawozdań zgodnie z art. 13 ust. 1 lit. c) i d) GSWM. </w:t>
      </w:r>
    </w:p>
    <w:p w14:paraId="1254E804" w14:textId="77777777" w:rsidR="00F92863" w:rsidRPr="00930734" w:rsidRDefault="00F92863" w:rsidP="00C525D6">
      <w:pPr>
        <w:pStyle w:val="ListParagraph"/>
        <w:numPr>
          <w:ilvl w:val="0"/>
          <w:numId w:val="36"/>
        </w:numPr>
        <w:jc w:val="both"/>
        <w:rPr>
          <w:rFonts w:ascii="Verdana" w:hAnsi="Verdana"/>
        </w:rPr>
      </w:pPr>
      <w:bookmarkStart w:id="43" w:name="_Ref63444276"/>
      <w:r w:rsidRPr="00930734">
        <w:rPr>
          <w:rFonts w:ascii="Verdana" w:hAnsi="Verdana"/>
        </w:rPr>
        <w:t>W przypadku wyrobów tytoniowych z filtrami oraz filtrów wprowadzanych do obrotu do użycia z wyrobami tytoniowymi, producenci ponoszą także koszty zbierania odpadów w odniesieniu do tych produktów, które są usuwane w publicznych systemach zbierania, w tym w zakresie infrastruktury i jej eksploatacji, oraz późniejszego transportu i przeróbki tych odpadów.</w:t>
      </w:r>
      <w:bookmarkEnd w:id="43"/>
      <w:r w:rsidRPr="00930734">
        <w:rPr>
          <w:rFonts w:ascii="Verdana" w:hAnsi="Verdana"/>
        </w:rPr>
        <w:t xml:space="preserve"> </w:t>
      </w:r>
    </w:p>
    <w:p w14:paraId="5E55935B" w14:textId="77777777" w:rsidR="00F92863" w:rsidRPr="00F7675E" w:rsidRDefault="00F92863" w:rsidP="00C525D6">
      <w:pPr>
        <w:pStyle w:val="ListParagraph"/>
        <w:numPr>
          <w:ilvl w:val="0"/>
          <w:numId w:val="36"/>
        </w:numPr>
        <w:jc w:val="both"/>
        <w:rPr>
          <w:rFonts w:ascii="Verdana" w:hAnsi="Verdana"/>
        </w:rPr>
      </w:pPr>
      <w:bookmarkStart w:id="44" w:name="_Ref63444282"/>
      <w:r>
        <w:rPr>
          <w:rFonts w:ascii="Verdana" w:hAnsi="Verdana"/>
        </w:rPr>
        <w:t>Koszty, o których mowa w poprzednim ustępie, mogą obejmować utworzenie szczególnej infrastruktury zbierania odpadów dla tych produktów, takiej jak odpowiednie pojemniki na odpady we wspólnych hotspotach na śmieci.</w:t>
      </w:r>
      <w:bookmarkEnd w:id="44"/>
      <w:r>
        <w:rPr>
          <w:rFonts w:ascii="Verdana" w:hAnsi="Verdana"/>
        </w:rPr>
        <w:t xml:space="preserve"> </w:t>
      </w:r>
    </w:p>
    <w:p w14:paraId="1402E2DA" w14:textId="14DE25D9" w:rsidR="00F92863" w:rsidRPr="00F7675E" w:rsidRDefault="00F92863" w:rsidP="00C525D6">
      <w:pPr>
        <w:pStyle w:val="ListParagraph"/>
        <w:numPr>
          <w:ilvl w:val="0"/>
          <w:numId w:val="36"/>
        </w:numPr>
        <w:jc w:val="both"/>
        <w:rPr>
          <w:rFonts w:ascii="Verdana" w:hAnsi="Verdana"/>
        </w:rPr>
      </w:pPr>
      <w:r>
        <w:rPr>
          <w:rFonts w:ascii="Verdana" w:hAnsi="Verdana"/>
        </w:rPr>
        <w:t>Koszty, o których mowa w poprzednich ustępach, nie mogą przekraczać kosztów niezbędnych do świadczenia usług, o których mowa w niniejszym ustępie, w sposób efektywny pod względem kosztów i są ustalane w sposób przejrzysty między zainteresowanymi podmiotami.</w:t>
      </w:r>
    </w:p>
    <w:p w14:paraId="4DC58209" w14:textId="295EBFA3" w:rsidR="00F92863" w:rsidRPr="00F7675E" w:rsidRDefault="00F92863" w:rsidP="00C525D6">
      <w:pPr>
        <w:pStyle w:val="ListParagraph"/>
        <w:numPr>
          <w:ilvl w:val="0"/>
          <w:numId w:val="36"/>
        </w:numPr>
        <w:jc w:val="both"/>
        <w:rPr>
          <w:rFonts w:ascii="Verdana" w:hAnsi="Verdana"/>
        </w:rPr>
      </w:pPr>
      <w:r>
        <w:rPr>
          <w:rFonts w:ascii="Verdana" w:hAnsi="Verdana"/>
        </w:rPr>
        <w:t xml:space="preserve">Koszty sprzątania śmieci ograniczają się do działań podejmowanych przez władze publiczne lub w ich imieniu, a metodykę obliczania </w:t>
      </w:r>
      <w:r>
        <w:rPr>
          <w:rFonts w:ascii="Verdana" w:hAnsi="Verdana"/>
        </w:rPr>
        <w:lastRenderedPageBreak/>
        <w:t>opracowuje się w sposób umożliwiający ustalenie proporcjonalnych kosztów sprzątania śmieci.</w:t>
      </w:r>
    </w:p>
    <w:p w14:paraId="2D1A7FFE" w14:textId="77777777" w:rsidR="00F92863" w:rsidRPr="00930734" w:rsidRDefault="00F92863" w:rsidP="00C525D6">
      <w:pPr>
        <w:pStyle w:val="ListParagraph"/>
        <w:numPr>
          <w:ilvl w:val="0"/>
          <w:numId w:val="36"/>
        </w:numPr>
        <w:jc w:val="both"/>
        <w:rPr>
          <w:rFonts w:ascii="Verdana" w:hAnsi="Verdana"/>
        </w:rPr>
      </w:pPr>
      <w:r>
        <w:rPr>
          <w:rFonts w:ascii="Verdana" w:hAnsi="Verdana"/>
        </w:rPr>
        <w:t xml:space="preserve">W celu zminimalizowania kosztów administracyjnych wkłady </w:t>
      </w:r>
      <w:r w:rsidRPr="00930734">
        <w:rPr>
          <w:rFonts w:ascii="Verdana" w:hAnsi="Verdana"/>
        </w:rPr>
        <w:t>finansowe na pokrycie kosztów sprzątania śmieci ustala się poprzez ustalenie odpowiednich wieloletnich stałych kwot, które zostaną ustalone na mocy nakazu członków rządu odpowiedzialnych za kwestie gospodarcze i środowiskowe.</w:t>
      </w:r>
    </w:p>
    <w:p w14:paraId="6CACFC40" w14:textId="5C1FE9BF" w:rsidR="00F92863" w:rsidRPr="00930734" w:rsidRDefault="00F92863" w:rsidP="00C525D6">
      <w:pPr>
        <w:pStyle w:val="ListParagraph"/>
        <w:numPr>
          <w:ilvl w:val="0"/>
          <w:numId w:val="36"/>
        </w:numPr>
        <w:jc w:val="both"/>
        <w:rPr>
          <w:rFonts w:ascii="Verdana" w:hAnsi="Verdana"/>
        </w:rPr>
      </w:pPr>
      <w:r w:rsidRPr="00930734">
        <w:rPr>
          <w:rFonts w:ascii="Verdana" w:hAnsi="Verdana"/>
        </w:rPr>
        <w:t>Wkłady finansowe, o których mowa w poprzednim ustępie, mogą być aktualizowane i powinny zawsze uwzględniać wytyczne przyjęte przez Komisję Europejską w sprawie kryteriów związanych z kosztami sprzątania śmieci.</w:t>
      </w:r>
    </w:p>
    <w:p w14:paraId="5AD567E5" w14:textId="01156E0F" w:rsidR="00231C0A" w:rsidRPr="00930734" w:rsidRDefault="00231C0A" w:rsidP="00C525D6">
      <w:pPr>
        <w:pStyle w:val="ListParagraph"/>
        <w:numPr>
          <w:ilvl w:val="0"/>
          <w:numId w:val="36"/>
        </w:numPr>
        <w:jc w:val="both"/>
        <w:rPr>
          <w:rFonts w:ascii="Verdana" w:hAnsi="Verdana"/>
        </w:rPr>
      </w:pPr>
      <w:bookmarkStart w:id="45" w:name="_Ref63672961"/>
      <w:r w:rsidRPr="00930734">
        <w:rPr>
          <w:rFonts w:ascii="Verdana" w:hAnsi="Verdana"/>
        </w:rPr>
        <w:t>W odniesieniu do systemów rozszerzonej odpowiedzialności producenta ustanowionych na mocy art. 14 ust. 3 producenci narzędzi połowowych zawierających tworzywo sztuczne pokrywają koszty selektywnej zbiórki odpadów narzędzi połowowych zawierających tworzywo sztuczne, które zostały dostarczone do odpowiednich portowych urządzeń odbiorczych zgodnie z dekretem z mocą ustawy nr 102/2020 z dnia 9 grudnia lub do innych równoważnych systemów zbierania, które nie wchodzą w zakres tej dyrektywy, oraz koszty późniejszego transportu i przeróbki tych narzędzi.</w:t>
      </w:r>
      <w:bookmarkEnd w:id="45"/>
      <w:r w:rsidRPr="00930734">
        <w:rPr>
          <w:rFonts w:ascii="Verdana" w:hAnsi="Verdana"/>
        </w:rPr>
        <w:t xml:space="preserve"> </w:t>
      </w:r>
    </w:p>
    <w:p w14:paraId="47FFA491" w14:textId="2E2BE508" w:rsidR="00231C0A" w:rsidRPr="00930734" w:rsidRDefault="00231C0A" w:rsidP="00C525D6">
      <w:pPr>
        <w:pStyle w:val="ListParagraph"/>
        <w:numPr>
          <w:ilvl w:val="0"/>
          <w:numId w:val="36"/>
        </w:numPr>
        <w:jc w:val="both"/>
        <w:rPr>
          <w:rFonts w:ascii="Verdana" w:hAnsi="Verdana"/>
        </w:rPr>
      </w:pPr>
      <w:bookmarkStart w:id="46" w:name="_Ref63672968"/>
      <w:r w:rsidRPr="00930734">
        <w:rPr>
          <w:rFonts w:ascii="Verdana" w:hAnsi="Verdana"/>
        </w:rPr>
        <w:t>Producenci narzędzi połowowych poniosą także koszty środków podnoszenia świadomości, o których mowa w art. 18 niniejszego Rozporządzenia, odnoszących się do tych produktów.</w:t>
      </w:r>
      <w:bookmarkEnd w:id="46"/>
      <w:r w:rsidRPr="00930734">
        <w:rPr>
          <w:rFonts w:ascii="Verdana" w:hAnsi="Verdana"/>
        </w:rPr>
        <w:t xml:space="preserve"> </w:t>
      </w:r>
    </w:p>
    <w:p w14:paraId="3559297D" w14:textId="26D04FCD" w:rsidR="00231C0A" w:rsidRPr="00930734" w:rsidRDefault="00231C0A" w:rsidP="00C525D6">
      <w:pPr>
        <w:pStyle w:val="ListParagraph"/>
        <w:numPr>
          <w:ilvl w:val="0"/>
          <w:numId w:val="36"/>
        </w:numPr>
        <w:jc w:val="both"/>
        <w:rPr>
          <w:rFonts w:ascii="Verdana" w:hAnsi="Verdana"/>
        </w:rPr>
      </w:pPr>
      <w:r w:rsidRPr="00930734">
        <w:rPr>
          <w:rFonts w:ascii="Verdana" w:hAnsi="Verdana"/>
        </w:rPr>
        <w:t xml:space="preserve">Wymogi określone w ust. 9 i 10 uzupełniają wymogi mające zastosowanie do odpadów pochodzących ze statków rybackich przewidziane w dekrecie z mocą ustawy nr 102/2020 z dnia 9 grudnia. </w:t>
      </w:r>
    </w:p>
    <w:p w14:paraId="690C7125" w14:textId="69198AB9" w:rsidR="00F92863" w:rsidRDefault="00F92863" w:rsidP="00F92863"/>
    <w:p w14:paraId="64CD888A" w14:textId="162B1D69" w:rsidR="003F14EA" w:rsidRDefault="00AC3F76" w:rsidP="000600E7">
      <w:pPr>
        <w:pStyle w:val="Heading2"/>
        <w:numPr>
          <w:ilvl w:val="0"/>
          <w:numId w:val="0"/>
        </w:numPr>
        <w:tabs>
          <w:tab w:val="clear" w:pos="1701"/>
          <w:tab w:val="left" w:pos="1418"/>
        </w:tabs>
        <w:ind w:left="426"/>
      </w:pPr>
      <w:r>
        <w:t>Artykuł 16</w:t>
      </w:r>
      <w:r>
        <w:br/>
      </w:r>
      <w:bookmarkStart w:id="47" w:name="_Ref66121774"/>
      <w:r>
        <w:t>Uprawniony przedstawiciel</w:t>
      </w:r>
      <w:bookmarkEnd w:id="47"/>
    </w:p>
    <w:p w14:paraId="0E6F245D" w14:textId="77777777" w:rsidR="00014396" w:rsidRPr="00014396" w:rsidRDefault="00014396" w:rsidP="00014396"/>
    <w:p w14:paraId="5E8ECB47" w14:textId="794F8C80" w:rsidR="00231C0A" w:rsidRPr="000E29F8" w:rsidRDefault="00231C0A" w:rsidP="00C525D6">
      <w:pPr>
        <w:pStyle w:val="ListParagraph"/>
        <w:numPr>
          <w:ilvl w:val="0"/>
          <w:numId w:val="39"/>
        </w:numPr>
        <w:jc w:val="both"/>
        <w:rPr>
          <w:rFonts w:ascii="Verdana" w:hAnsi="Verdana"/>
        </w:rPr>
      </w:pPr>
      <w:r>
        <w:rPr>
          <w:rFonts w:ascii="Verdana" w:hAnsi="Verdana"/>
        </w:rPr>
        <w:t xml:space="preserve">Producenci jednorazowych produktów z tworzyw sztucznych, o których mowa w art. 13 i 14, mających siedzibę w innym państwie członkowskim Unii Europejskiej lub w państwie trzecim i którzy sprzedają produkty za pomocą technik porozumiewania się na odległość bezpośrednio konsumentom końcowym w Portugalii </w:t>
      </w:r>
      <w:r>
        <w:rPr>
          <w:rFonts w:ascii="Verdana" w:hAnsi="Verdana"/>
        </w:rPr>
        <w:lastRenderedPageBreak/>
        <w:t>wyznaczają osobę fizyczną lub prawną mającą siedzibę w Portugalii jako ich upoważnionego przedstawiciela, która jest odpowiedzialna za wypełnianie obowiązków wynikających z niniejszego dekretu z mocą ustawy.</w:t>
      </w:r>
    </w:p>
    <w:p w14:paraId="7C661ED7" w14:textId="27C8AC62" w:rsidR="00231C0A" w:rsidRPr="000E29F8" w:rsidRDefault="00231C0A" w:rsidP="00C525D6">
      <w:pPr>
        <w:pStyle w:val="ListParagraph"/>
        <w:numPr>
          <w:ilvl w:val="0"/>
          <w:numId w:val="39"/>
        </w:numPr>
        <w:jc w:val="both"/>
        <w:rPr>
          <w:rFonts w:ascii="Verdana" w:hAnsi="Verdana"/>
        </w:rPr>
      </w:pPr>
      <w:r>
        <w:rPr>
          <w:rFonts w:ascii="Verdana" w:hAnsi="Verdana"/>
        </w:rPr>
        <w:t>Bez uszczerbku dla obowiązku określonego w ust. 13, producenci jednorazowych produktów z tworzyw sztucznych, o których mowa w art. 13 i 14, mających siedzibę w innym państwie członkowskim Unii Europejskiej mogą wyznaczyć osobę fizyczną lub prawną mającą siedzibę w Portugalii jako ich upoważnionego przedstawiciela, która jest odpowiedzialna za wypełnianie obowiązków wynikających z niniejszego dekretu z mocą ustawy.</w:t>
      </w:r>
    </w:p>
    <w:p w14:paraId="55C99F0A" w14:textId="3DA443E7" w:rsidR="001F7456" w:rsidRPr="000E29F8" w:rsidRDefault="001F7456" w:rsidP="00C525D6">
      <w:pPr>
        <w:pStyle w:val="ListParagraph"/>
        <w:numPr>
          <w:ilvl w:val="0"/>
          <w:numId w:val="39"/>
        </w:numPr>
        <w:jc w:val="both"/>
        <w:rPr>
          <w:rFonts w:ascii="Verdana" w:hAnsi="Verdana"/>
        </w:rPr>
      </w:pPr>
      <w:r>
        <w:rPr>
          <w:rFonts w:ascii="Verdana" w:hAnsi="Verdana"/>
        </w:rPr>
        <w:t>Producenci jednorazowych produktów z tworzyw sztucznych, o których mowa w art. 13 i 14, mających siedzibę w Portugalii i którzy sprzedają produkty za pomocą technik porozumiewania się na odległość bezpośrednio konsumentom końcowym w innym państwie członkowskim, w którym nie mają siedziby, wyznaczają osobę fizyczną lub prawną w państwie członkowskim jako ich upoważnionego przedstawiciela, która jest odpowiedzialna za wypełnianie obowiązków wynikających z niniejszego dekretu z mocą ustawy.</w:t>
      </w:r>
    </w:p>
    <w:p w14:paraId="77BFA3F9" w14:textId="2747B585" w:rsidR="00CC50F8" w:rsidRPr="000E29F8" w:rsidRDefault="003679EF" w:rsidP="00C525D6">
      <w:pPr>
        <w:pStyle w:val="ListParagraph"/>
        <w:numPr>
          <w:ilvl w:val="0"/>
          <w:numId w:val="39"/>
        </w:numPr>
        <w:jc w:val="both"/>
        <w:rPr>
          <w:rFonts w:ascii="Verdana" w:hAnsi="Verdana"/>
        </w:rPr>
      </w:pPr>
      <w:r>
        <w:rPr>
          <w:rFonts w:ascii="Verdana" w:hAnsi="Verdana"/>
        </w:rPr>
        <w:t>Należy spełnić warunki mianowania upoważnionego przedstawiciela oraz odpowiednie obowiązki określone w art. 20 Unilex.</w:t>
      </w:r>
    </w:p>
    <w:p w14:paraId="7547E496" w14:textId="621945A0" w:rsidR="004A192F" w:rsidRDefault="004A192F" w:rsidP="004A192F">
      <w:pPr>
        <w:pStyle w:val="ListParagraph"/>
        <w:tabs>
          <w:tab w:val="left" w:pos="851"/>
        </w:tabs>
        <w:autoSpaceDE w:val="0"/>
        <w:autoSpaceDN w:val="0"/>
        <w:adjustRightInd w:val="0"/>
        <w:ind w:left="644"/>
        <w:jc w:val="both"/>
        <w:rPr>
          <w:rFonts w:ascii="Verdana" w:hAnsi="Verdana" w:cs="EU Albertina"/>
          <w:color w:val="000000"/>
        </w:rPr>
      </w:pPr>
    </w:p>
    <w:p w14:paraId="7E8920A4" w14:textId="77777777" w:rsidR="000E29F8" w:rsidRDefault="000E29F8" w:rsidP="004A192F">
      <w:pPr>
        <w:pStyle w:val="ListParagraph"/>
        <w:tabs>
          <w:tab w:val="left" w:pos="851"/>
        </w:tabs>
        <w:autoSpaceDE w:val="0"/>
        <w:autoSpaceDN w:val="0"/>
        <w:adjustRightInd w:val="0"/>
        <w:ind w:left="644"/>
        <w:jc w:val="both"/>
        <w:rPr>
          <w:rFonts w:ascii="Verdana" w:hAnsi="Verdana" w:cs="EU Albertina"/>
          <w:color w:val="000000"/>
        </w:rPr>
      </w:pPr>
    </w:p>
    <w:p w14:paraId="1D37557F" w14:textId="0E026CC3" w:rsidR="00ED79DD" w:rsidRPr="003F6B93" w:rsidRDefault="003F14EA" w:rsidP="00AA057C">
      <w:pPr>
        <w:pStyle w:val="Heading1"/>
        <w:tabs>
          <w:tab w:val="clear" w:pos="3969"/>
          <w:tab w:val="left" w:pos="2410"/>
        </w:tabs>
        <w:ind w:firstLine="180"/>
      </w:pPr>
      <w:r>
        <w:br/>
        <w:t>Zbiórka selektywna</w:t>
      </w:r>
    </w:p>
    <w:p w14:paraId="6118BF46" w14:textId="0F140822" w:rsidR="00ED79DD" w:rsidRDefault="00AC3F76" w:rsidP="000600E7">
      <w:pPr>
        <w:pStyle w:val="Heading2"/>
        <w:numPr>
          <w:ilvl w:val="0"/>
          <w:numId w:val="0"/>
        </w:numPr>
        <w:tabs>
          <w:tab w:val="clear" w:pos="1701"/>
          <w:tab w:val="left" w:pos="1418"/>
        </w:tabs>
        <w:ind w:left="426"/>
      </w:pPr>
      <w:r>
        <w:t>Artykuł 17</w:t>
      </w:r>
      <w:r>
        <w:br/>
      </w:r>
      <w:bookmarkStart w:id="48" w:name="_Ref66121801"/>
      <w:r>
        <w:t>Cele selektywnej zbiórki butelek</w:t>
      </w:r>
      <w:bookmarkEnd w:id="48"/>
    </w:p>
    <w:p w14:paraId="663DD529" w14:textId="77777777" w:rsidR="00DA0902" w:rsidRPr="00DA0902" w:rsidRDefault="00DA0902" w:rsidP="00DA0902"/>
    <w:p w14:paraId="4881CA6C" w14:textId="46F49258" w:rsidR="006236DA" w:rsidRPr="000E29F8" w:rsidRDefault="006236DA" w:rsidP="00C525D6">
      <w:pPr>
        <w:pStyle w:val="ListParagraph"/>
        <w:numPr>
          <w:ilvl w:val="0"/>
          <w:numId w:val="40"/>
        </w:numPr>
        <w:jc w:val="both"/>
        <w:rPr>
          <w:rFonts w:ascii="Verdana" w:hAnsi="Verdana"/>
        </w:rPr>
      </w:pPr>
      <w:bookmarkStart w:id="49" w:name="_Ref63698199"/>
      <w:r>
        <w:rPr>
          <w:rFonts w:ascii="Verdana" w:hAnsi="Verdana"/>
        </w:rPr>
        <w:t>Producenci jednorazowych plastikowych butelek do napojów o pojemności do trzech litrów, w tym ich nakrętek i wieczek, zapewnią:</w:t>
      </w:r>
    </w:p>
    <w:p w14:paraId="00529814" w14:textId="55C98796" w:rsidR="006236DA" w:rsidRPr="000E29F8" w:rsidRDefault="006236DA" w:rsidP="00C525D6">
      <w:pPr>
        <w:pStyle w:val="ListParagraph"/>
        <w:numPr>
          <w:ilvl w:val="0"/>
          <w:numId w:val="41"/>
        </w:numPr>
        <w:spacing w:line="240" w:lineRule="auto"/>
        <w:rPr>
          <w:rFonts w:ascii="Verdana" w:hAnsi="Verdana"/>
        </w:rPr>
      </w:pPr>
      <w:r>
        <w:rPr>
          <w:rFonts w:ascii="Verdana" w:hAnsi="Verdana"/>
        </w:rPr>
        <w:t>do dnia 31 grudnia 2025 r. selektywną zbiórkę odpadów przeznaczonych do recyklingu, w proporcji co najmniej 77% takich produktów wprowadzonych do obrotu według wagi w danym roku;</w:t>
      </w:r>
    </w:p>
    <w:p w14:paraId="1B95B4D1" w14:textId="2F6357FD" w:rsidR="006236DA" w:rsidRPr="000E29F8" w:rsidRDefault="006236DA" w:rsidP="00C525D6">
      <w:pPr>
        <w:pStyle w:val="ListParagraph"/>
        <w:numPr>
          <w:ilvl w:val="0"/>
          <w:numId w:val="41"/>
        </w:numPr>
        <w:spacing w:line="240" w:lineRule="auto"/>
        <w:rPr>
          <w:rFonts w:ascii="Verdana" w:hAnsi="Verdana"/>
        </w:rPr>
      </w:pPr>
      <w:r>
        <w:rPr>
          <w:rFonts w:ascii="Verdana" w:hAnsi="Verdana"/>
        </w:rPr>
        <w:lastRenderedPageBreak/>
        <w:t>do dnia 31 grudnia 2029 r. selektywną zbiórkę odpadów przeznaczonych do recyklingu, w proporcji co najmniej 90% takich produktów wprowadzonych do obrotu według wagi w danym roku.</w:t>
      </w:r>
    </w:p>
    <w:p w14:paraId="2A1F56ED" w14:textId="4E3E67AA" w:rsidR="006236DA" w:rsidRPr="000E29F8" w:rsidRDefault="006236DA" w:rsidP="00C525D6">
      <w:pPr>
        <w:pStyle w:val="ListParagraph"/>
        <w:numPr>
          <w:ilvl w:val="0"/>
          <w:numId w:val="40"/>
        </w:numPr>
        <w:jc w:val="both"/>
        <w:rPr>
          <w:rFonts w:ascii="Verdana" w:hAnsi="Verdana"/>
        </w:rPr>
      </w:pPr>
      <w:r>
        <w:rPr>
          <w:rFonts w:ascii="Verdana" w:hAnsi="Verdana"/>
        </w:rPr>
        <w:t xml:space="preserve">Aby osiągnąć cele określone w poprzednich ustępach, stosuje się bieżący system składowania opakowań na napoje plastikowe nienadające się do ponownego użytku, określony w art. 23 lit. c Unilex. </w:t>
      </w:r>
    </w:p>
    <w:bookmarkEnd w:id="49"/>
    <w:p w14:paraId="53319A72" w14:textId="61D4E81F" w:rsidR="00A53FF8" w:rsidRPr="000E29F8" w:rsidRDefault="00A53FF8" w:rsidP="00C525D6">
      <w:pPr>
        <w:pStyle w:val="ListParagraph"/>
        <w:numPr>
          <w:ilvl w:val="0"/>
          <w:numId w:val="40"/>
        </w:numPr>
        <w:jc w:val="both"/>
        <w:rPr>
          <w:rFonts w:ascii="Verdana" w:hAnsi="Verdana"/>
        </w:rPr>
      </w:pPr>
      <w:r>
        <w:t>Z ust. 1 i 2 wyłącza się następujące elementy:</w:t>
      </w:r>
    </w:p>
    <w:p w14:paraId="0351D4D5" w14:textId="2D9F9A35" w:rsidR="006236DA" w:rsidRPr="000E29F8" w:rsidRDefault="00A53FF8" w:rsidP="00C525D6">
      <w:pPr>
        <w:pStyle w:val="ListParagraph"/>
        <w:numPr>
          <w:ilvl w:val="0"/>
          <w:numId w:val="42"/>
        </w:numPr>
        <w:spacing w:line="240" w:lineRule="auto"/>
        <w:rPr>
          <w:rFonts w:ascii="Verdana" w:hAnsi="Verdana"/>
        </w:rPr>
      </w:pPr>
      <w:r>
        <w:rPr>
          <w:rFonts w:ascii="Verdana" w:hAnsi="Verdana"/>
        </w:rPr>
        <w:t xml:space="preserve">szklane lub metalowe butelki na napoje, których nakrętki i wieczka wykonane są z tworzyw sztucznych; </w:t>
      </w:r>
    </w:p>
    <w:p w14:paraId="3CEC0E19" w14:textId="77777777" w:rsidR="00A53FF8" w:rsidRPr="000E29F8" w:rsidRDefault="00A53FF8" w:rsidP="00C525D6">
      <w:pPr>
        <w:pStyle w:val="ListParagraph"/>
        <w:numPr>
          <w:ilvl w:val="0"/>
          <w:numId w:val="42"/>
        </w:numPr>
        <w:spacing w:line="240" w:lineRule="auto"/>
        <w:rPr>
          <w:rFonts w:ascii="Verdana" w:hAnsi="Verdana"/>
        </w:rPr>
      </w:pPr>
      <w:r>
        <w:rPr>
          <w:rFonts w:ascii="Verdana" w:hAnsi="Verdana"/>
        </w:rPr>
        <w:t>butelki na napoje przeznaczone i wykorzystywane do mającej płynną postać żywności specjalnego przeznaczenia medycznego zgodnie z definicją w art. 2 lit. g) rozporządzenia Parlamentu Europejskiego i Rady (UE) nr 609/2013.</w:t>
      </w:r>
    </w:p>
    <w:p w14:paraId="0D3B6430" w14:textId="20E31A6E" w:rsidR="003067B2" w:rsidRPr="000E29F8" w:rsidRDefault="003067B2" w:rsidP="00C525D6">
      <w:pPr>
        <w:pStyle w:val="ListParagraph"/>
        <w:numPr>
          <w:ilvl w:val="0"/>
          <w:numId w:val="40"/>
        </w:numPr>
        <w:jc w:val="both"/>
        <w:rPr>
          <w:rFonts w:ascii="Verdana" w:hAnsi="Verdana"/>
        </w:rPr>
      </w:pPr>
      <w:r>
        <w:t>W celu sprawdzenia zgodności z celami określonymi w ust. 1 i 2 niniejszego Artykułu uwzględnia się zasady obliczania określone w akcie wykonawczym przyjętym przez Komisję Europejską.</w:t>
      </w:r>
      <w:r>
        <w:rPr>
          <w:rFonts w:ascii="Verdana" w:hAnsi="Verdana"/>
        </w:rPr>
        <w:t xml:space="preserve"> </w:t>
      </w:r>
    </w:p>
    <w:p w14:paraId="5B274A4B" w14:textId="1678079D" w:rsidR="002B07FB" w:rsidRPr="000E29F8" w:rsidRDefault="00486308" w:rsidP="00C525D6">
      <w:pPr>
        <w:pStyle w:val="ListParagraph"/>
        <w:numPr>
          <w:ilvl w:val="0"/>
          <w:numId w:val="40"/>
        </w:numPr>
        <w:jc w:val="both"/>
        <w:rPr>
          <w:rFonts w:ascii="Verdana" w:hAnsi="Verdana"/>
        </w:rPr>
      </w:pPr>
      <w:r>
        <w:rPr>
          <w:rFonts w:ascii="Verdana" w:hAnsi="Verdana"/>
        </w:rPr>
        <w:t>Ilość jednorazowych plastikowych butelek do napojów o pojemności do trzech litrów, które zostały wprowadzone do obrotu, można uznać za równą ilości odpadów wytworzonych z takich butelek, w tym śmieci w tym samym roku.</w:t>
      </w:r>
    </w:p>
    <w:p w14:paraId="4DBFCC05" w14:textId="77777777" w:rsidR="00E1488F" w:rsidRPr="00AE50FA" w:rsidRDefault="00E1488F" w:rsidP="003B7EF0">
      <w:pPr>
        <w:spacing w:after="0"/>
        <w:rPr>
          <w:rFonts w:ascii="Verdana" w:hAnsi="Verdana"/>
          <w:b/>
          <w:sz w:val="24"/>
        </w:rPr>
      </w:pPr>
    </w:p>
    <w:p w14:paraId="18717885" w14:textId="7BE4F46B" w:rsidR="00E06216" w:rsidRPr="003F6B93" w:rsidRDefault="00CD4ECA" w:rsidP="00A66A89">
      <w:pPr>
        <w:pStyle w:val="Heading1"/>
        <w:tabs>
          <w:tab w:val="clear" w:pos="3969"/>
          <w:tab w:val="left" w:pos="2552"/>
        </w:tabs>
      </w:pPr>
      <w:r>
        <w:br/>
        <w:t>Środki zwiększenia świadomości</w:t>
      </w:r>
    </w:p>
    <w:p w14:paraId="4B983E0F" w14:textId="0E88C2AB" w:rsidR="00E06216" w:rsidRDefault="00AC3F76" w:rsidP="00AC3F76">
      <w:pPr>
        <w:pStyle w:val="Heading2"/>
        <w:numPr>
          <w:ilvl w:val="0"/>
          <w:numId w:val="0"/>
        </w:numPr>
        <w:tabs>
          <w:tab w:val="clear" w:pos="1701"/>
          <w:tab w:val="left" w:pos="1418"/>
        </w:tabs>
        <w:ind w:left="426"/>
      </w:pPr>
      <w:bookmarkStart w:id="50" w:name="_Ref63444090"/>
      <w:r>
        <w:t>Artykuł 18</w:t>
      </w:r>
      <w:r>
        <w:br/>
      </w:r>
      <w:bookmarkStart w:id="51" w:name="_Ref66121837"/>
      <w:r>
        <w:t>Środki zwiększenia świadomości</w:t>
      </w:r>
      <w:bookmarkEnd w:id="50"/>
      <w:bookmarkEnd w:id="51"/>
    </w:p>
    <w:p w14:paraId="176D4E94" w14:textId="77777777" w:rsidR="00DA0902" w:rsidRPr="000E29F8" w:rsidRDefault="00DA0902" w:rsidP="000E29F8"/>
    <w:p w14:paraId="6254D43E" w14:textId="4CDEA858" w:rsidR="00EE73F2" w:rsidRPr="000E29F8" w:rsidRDefault="00EE73F2" w:rsidP="00C525D6">
      <w:pPr>
        <w:pStyle w:val="ListParagraph"/>
        <w:numPr>
          <w:ilvl w:val="0"/>
          <w:numId w:val="43"/>
        </w:numPr>
        <w:ind w:left="709"/>
        <w:jc w:val="both"/>
        <w:rPr>
          <w:rFonts w:ascii="Verdana" w:hAnsi="Verdana"/>
        </w:rPr>
      </w:pPr>
      <w:r>
        <w:rPr>
          <w:rFonts w:ascii="Verdana" w:hAnsi="Verdana"/>
        </w:rPr>
        <w:t>Producenci wprowadzający do obrotu produkty wymienione w ust. 3 niniejszego Artykułu oraz narzędzia połowowe wspierają kampanie informacyjne i uświadamiające konsumentów i użytkowników takich produktów w celu zachęcenia do odpowiedzialnego zachowania i zmniejszenia ilości odpadów pochodzących z takich produktów.</w:t>
      </w:r>
    </w:p>
    <w:p w14:paraId="6B5F3553" w14:textId="77777777" w:rsidR="00EE73F2" w:rsidRPr="000E29F8" w:rsidRDefault="00EE73F2" w:rsidP="00C525D6">
      <w:pPr>
        <w:pStyle w:val="ListParagraph"/>
        <w:numPr>
          <w:ilvl w:val="0"/>
          <w:numId w:val="43"/>
        </w:numPr>
        <w:ind w:left="709"/>
        <w:jc w:val="both"/>
        <w:rPr>
          <w:rFonts w:ascii="Verdana" w:hAnsi="Verdana"/>
        </w:rPr>
      </w:pPr>
      <w:r>
        <w:rPr>
          <w:rFonts w:ascii="Verdana" w:hAnsi="Verdana"/>
        </w:rPr>
        <w:t>Kampanie określone w poprzednim ustępie powinny przynajmniej obejmować informacje o:</w:t>
      </w:r>
    </w:p>
    <w:p w14:paraId="3E8D9316" w14:textId="40533EE7"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lastRenderedPageBreak/>
        <w:t>dostępności alternatywnych rozwiązań wielokrotnego użytku, systemów ponownego wykorzystania i opcji gospodarowania odpadami w odniesieniu do produktów z tworzyw sztucznych jednorazowego użytku i narzędzi połowowych zawierających tworzywo sztuczne, jak również najlepszych praktyk w zakresie gospodarowania odpadami stosowanych zgodnie z art. 6 GSWM;</w:t>
      </w:r>
    </w:p>
    <w:p w14:paraId="0AFDDD62" w14:textId="77777777" w:rsidR="001D4FEE" w:rsidRPr="000E29F8" w:rsidRDefault="00EE73F2" w:rsidP="00C525D6">
      <w:pPr>
        <w:pStyle w:val="ListParagraph"/>
        <w:numPr>
          <w:ilvl w:val="0"/>
          <w:numId w:val="44"/>
        </w:numPr>
        <w:spacing w:line="240" w:lineRule="auto"/>
        <w:ind w:left="1134"/>
        <w:rPr>
          <w:rFonts w:ascii="Verdana" w:hAnsi="Verdana"/>
        </w:rPr>
      </w:pPr>
      <w:r>
        <w:rPr>
          <w:rFonts w:ascii="Verdana" w:hAnsi="Verdana"/>
        </w:rPr>
        <w:t xml:space="preserve">wpływie środowiskowym unieszkodliwiania odpadów i innych nieodpowiednich metod unieszkodliwiania odpadów z jednorazowych produktów z tworzyw sztucznych i narzędzi połowowych zawierających tworzywa sztuczne, w szczególności dla środowiska morskiego; oraz </w:t>
      </w:r>
    </w:p>
    <w:p w14:paraId="21CDC05E" w14:textId="4822A51C" w:rsidR="00EE73F2" w:rsidRPr="000E29F8" w:rsidRDefault="00EE73F2" w:rsidP="00C525D6">
      <w:pPr>
        <w:pStyle w:val="ListParagraph"/>
        <w:numPr>
          <w:ilvl w:val="0"/>
          <w:numId w:val="44"/>
        </w:numPr>
        <w:spacing w:line="240" w:lineRule="auto"/>
        <w:ind w:left="1134"/>
        <w:rPr>
          <w:rFonts w:ascii="Verdana" w:hAnsi="Verdana"/>
        </w:rPr>
      </w:pPr>
      <w:r>
        <w:rPr>
          <w:rFonts w:ascii="Verdana" w:hAnsi="Verdana"/>
        </w:rPr>
        <w:t>wpływie na sieć kanalizacyjną nieodpowiednich środków utylizacji tych jednorazowych produktów z tworzyw sztucznych.</w:t>
      </w:r>
    </w:p>
    <w:p w14:paraId="6D59A259" w14:textId="7D55787E" w:rsidR="00EE73F2" w:rsidRPr="000E29F8" w:rsidRDefault="00EE73F2" w:rsidP="00C525D6">
      <w:pPr>
        <w:pStyle w:val="ListParagraph"/>
        <w:numPr>
          <w:ilvl w:val="0"/>
          <w:numId w:val="43"/>
        </w:numPr>
        <w:ind w:left="709"/>
        <w:jc w:val="both"/>
        <w:rPr>
          <w:rFonts w:ascii="Verdana" w:hAnsi="Verdana"/>
        </w:rPr>
      </w:pPr>
      <w:r>
        <w:rPr>
          <w:rFonts w:ascii="Verdana" w:hAnsi="Verdana"/>
        </w:rPr>
        <w:t>Produkty z tworzyw sztucznych jednorazowego użytku, w odniesieniu do których prowadzone są kampanie informacyjne i uświadamiające, o których mowa w ust. 1 niniejszego artykułu, są następujące:</w:t>
      </w:r>
    </w:p>
    <w:p w14:paraId="22B6261F"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pojemniki na żywność tj. pojemniki takie jak pudełka, z wieczkiem lub bez, stosowane w celu umieszczania w nich żywności, która: </w:t>
      </w:r>
    </w:p>
    <w:p w14:paraId="40E13B6B"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jest przeznaczona do bezpośredniego spożycia, na miejscu lub na wynos; </w:t>
      </w:r>
    </w:p>
    <w:p w14:paraId="1BB14EA4"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jest zazwyczaj spożywana bezpośrednio z pojemnika; oraz </w:t>
      </w:r>
    </w:p>
    <w:p w14:paraId="7C22AA17" w14:textId="77777777" w:rsidR="00EE73F2" w:rsidRPr="006B0045" w:rsidRDefault="00EE73F2" w:rsidP="00C525D6">
      <w:pPr>
        <w:pStyle w:val="ListParagraph"/>
        <w:numPr>
          <w:ilvl w:val="0"/>
          <w:numId w:val="45"/>
        </w:numPr>
        <w:autoSpaceDE w:val="0"/>
        <w:autoSpaceDN w:val="0"/>
        <w:adjustRightInd w:val="0"/>
        <w:ind w:left="1560"/>
        <w:jc w:val="both"/>
        <w:rPr>
          <w:rFonts w:ascii="Verdana" w:hAnsi="Verdana"/>
        </w:rPr>
      </w:pPr>
      <w:r>
        <w:rPr>
          <w:rFonts w:ascii="Verdana" w:hAnsi="Verdana"/>
        </w:rPr>
        <w:t xml:space="preserve">jest gotowa do spożycia bez dalszej obróbki, takiej jak przyrządzanie, gotowanie czy podgrzewanie, </w:t>
      </w:r>
    </w:p>
    <w:p w14:paraId="58E41D41" w14:textId="77777777" w:rsidR="00EE73F2" w:rsidRPr="006B0045" w:rsidRDefault="00EE73F2" w:rsidP="006B0045">
      <w:pPr>
        <w:pStyle w:val="ListParagraph"/>
        <w:spacing w:line="240" w:lineRule="auto"/>
        <w:ind w:left="1134"/>
        <w:rPr>
          <w:rFonts w:ascii="Verdana" w:hAnsi="Verdana"/>
        </w:rPr>
      </w:pPr>
      <w:r>
        <w:rPr>
          <w:rFonts w:ascii="Verdana" w:hAnsi="Verdana"/>
        </w:rPr>
        <w:t xml:space="preserve">w tym pojemniki na żywność typu fast food lub na inne posiłki gotowe do bezpośredniego spożycia, z wyjątkiem pojemników na napoje, talerzy oraz opakowań i owijek zawierających żywność; </w:t>
      </w:r>
    </w:p>
    <w:p w14:paraId="42432BD7"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paczki i owijki wykonane z elastycznych materiałów zawierające żywność przeznaczoną do bezpośredniego spożycia z paczki lub owijki bez żadnej dalszej obróbki; </w:t>
      </w:r>
    </w:p>
    <w:p w14:paraId="25F5C028"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pojemniki na napoje o pojemności do trzech litrów, tj. pojemniki stosowane do zawierania płynów, takich jak butelki z napojami, w tym ich nakrętki i wieczka oraz kompozytowe opakowania na napoje, w tym ich nakrętki i wieczka, ale nie pojemniki na napoje wykonane ze szkła lub z metalu, które posiadają nakrętki i wieczka wykonane z tworzywa sztucznego; </w:t>
      </w:r>
    </w:p>
    <w:p w14:paraId="5FD98B55"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kubki na napoje, w tym ich nakrętki i wieczka; </w:t>
      </w:r>
    </w:p>
    <w:p w14:paraId="37C31CB0"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wyroby tytoniowe z filtrami i filtry wprowadzanych do obrotu do użycia z wyrobami tytoniowymi; </w:t>
      </w:r>
    </w:p>
    <w:p w14:paraId="5330597D"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chusteczki nawilżane, tj. uprzednio nawilżone chusteczki przeznaczone do higieny osobistej i uprzednio nawilżone chusteczki do użytku domowego; </w:t>
      </w:r>
    </w:p>
    <w:p w14:paraId="00E5EA2E"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lastRenderedPageBreak/>
        <w:t xml:space="preserve"> balony, z wyjątkiem balonów do użytku przemysłowego lub innych profesjonalnych zastosowań, które to balony nie są rozprowadzane wśród konsumentów; </w:t>
      </w:r>
    </w:p>
    <w:p w14:paraId="0F558B0E" w14:textId="7981C8AC"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lekkie plastikowe torby na zakupy;</w:t>
      </w:r>
    </w:p>
    <w:p w14:paraId="5FC44F3C" w14:textId="77777777" w:rsidR="00EE73F2" w:rsidRPr="000E29F8" w:rsidRDefault="00EE73F2" w:rsidP="00C525D6">
      <w:pPr>
        <w:pStyle w:val="ListParagraph"/>
        <w:numPr>
          <w:ilvl w:val="0"/>
          <w:numId w:val="46"/>
        </w:numPr>
        <w:spacing w:line="240" w:lineRule="auto"/>
        <w:ind w:left="1134"/>
        <w:rPr>
          <w:rFonts w:ascii="Verdana" w:hAnsi="Verdana"/>
        </w:rPr>
      </w:pPr>
      <w:r>
        <w:rPr>
          <w:rFonts w:ascii="Verdana" w:hAnsi="Verdana"/>
        </w:rPr>
        <w:t xml:space="preserve"> podpaski higieniczne, tampony oraz aplikatory do tamponów;</w:t>
      </w:r>
    </w:p>
    <w:p w14:paraId="3B85A2EB" w14:textId="3E56771B" w:rsidR="00EE73F2" w:rsidRPr="000E29F8" w:rsidRDefault="004E09D6" w:rsidP="00C525D6">
      <w:pPr>
        <w:pStyle w:val="ListParagraph"/>
        <w:numPr>
          <w:ilvl w:val="0"/>
          <w:numId w:val="43"/>
        </w:numPr>
        <w:ind w:left="709"/>
        <w:jc w:val="both"/>
        <w:rPr>
          <w:rFonts w:ascii="Verdana" w:hAnsi="Verdana"/>
        </w:rPr>
      </w:pPr>
      <w:r>
        <w:rPr>
          <w:rFonts w:ascii="Verdana" w:hAnsi="Verdana"/>
        </w:rPr>
        <w:t>W odniesieniu do produktów z tworzyw sztucznych jednorazowego użytku, o których mowa w lit. a)–g) poprzedniego ustępu, producenci wypełnią obowiązek określony w niniejszym Artykule poprzez organ zarządzający zintegrowanym systemem, na który przenoszą rozszerzoną odpowiedzialność producenta lub indywidualnego systemu zatwierdzonego na mocy Unilex.</w:t>
      </w:r>
    </w:p>
    <w:p w14:paraId="58299463" w14:textId="31299E33" w:rsidR="00B779E1" w:rsidRPr="000E29F8" w:rsidRDefault="005016C9" w:rsidP="00C525D6">
      <w:pPr>
        <w:pStyle w:val="ListParagraph"/>
        <w:numPr>
          <w:ilvl w:val="0"/>
          <w:numId w:val="43"/>
        </w:numPr>
        <w:ind w:left="709"/>
        <w:jc w:val="both"/>
        <w:rPr>
          <w:rFonts w:ascii="Verdana" w:hAnsi="Verdana"/>
        </w:rPr>
      </w:pPr>
      <w:r>
        <w:t>W przypadku produktów z tworzyw sztucznych jednorazowego użytku, o których mowa w ust. 3 lit. h), producenci wypełniają obowiązki ustanowione w ust. 1 i 2 indywidualnie i/lub poprzez reprezentatywne stowarzyszenie.</w:t>
      </w:r>
      <w:r>
        <w:rPr>
          <w:rFonts w:ascii="Verdana" w:hAnsi="Verdana"/>
        </w:rPr>
        <w:t xml:space="preserve"> </w:t>
      </w:r>
    </w:p>
    <w:p w14:paraId="4B055247" w14:textId="2EBF5C69" w:rsidR="002B37F4" w:rsidRPr="000E29F8" w:rsidRDefault="004C777A" w:rsidP="00C525D6">
      <w:pPr>
        <w:pStyle w:val="ListParagraph"/>
        <w:numPr>
          <w:ilvl w:val="0"/>
          <w:numId w:val="43"/>
        </w:numPr>
        <w:ind w:left="709"/>
        <w:jc w:val="both"/>
        <w:rPr>
          <w:rFonts w:ascii="Verdana" w:hAnsi="Verdana"/>
        </w:rPr>
      </w:pPr>
      <w:r>
        <w:t>Producenci i/lub stowarzyszenia, o których mowa w poprzednim ustępie, przesyłają APA, I.P. i DGAE sprawozdanie przedstawiające kampanie prowadzone zgodnie z ust. 1 i 2, do dnia 30 kwietnia następnego roku, wraz z minimalnymi informacjami zawartymi w dokumencie opublikowanym na portalach internetowych APA, I.P. i DGAE.</w:t>
      </w:r>
    </w:p>
    <w:p w14:paraId="25C23FBA" w14:textId="0F60BA64" w:rsidR="004C777A" w:rsidRPr="000E29F8" w:rsidRDefault="002B37F4" w:rsidP="00C525D6">
      <w:pPr>
        <w:pStyle w:val="ListParagraph"/>
        <w:numPr>
          <w:ilvl w:val="0"/>
          <w:numId w:val="43"/>
        </w:numPr>
        <w:ind w:left="709"/>
        <w:jc w:val="both"/>
        <w:rPr>
          <w:rFonts w:ascii="Verdana" w:hAnsi="Verdana"/>
        </w:rPr>
      </w:pPr>
      <w:r>
        <w:rPr>
          <w:rFonts w:ascii="Verdana" w:hAnsi="Verdana"/>
        </w:rPr>
        <w:t>Bez uszczerbku dla odpowiedzialności producentów przewidzianej w poprzednich ustępach, inne podmioty gospodarcze zaangażowane w łańcuch handlowy, w szczególności dystrybutorzy, sprzedawcy i dostawcy usług gastronomicznych, odpowiedzialne za udostępnianie na rynku produktów oraz narzędzi połowowych wymienionych w ust. 3 niniejszego Artykułu ze względu na ich bliską relację z konsumentami i użytkownikami końcowymi, również przyczyniają się do informowania o takich produktach i zwiększenia ich świadomości.</w:t>
      </w:r>
    </w:p>
    <w:p w14:paraId="4359F6E2" w14:textId="46BE87AA" w:rsidR="00A26F33" w:rsidRPr="000E29F8" w:rsidRDefault="00A26F33" w:rsidP="00C525D6">
      <w:pPr>
        <w:pStyle w:val="ListParagraph"/>
        <w:numPr>
          <w:ilvl w:val="0"/>
          <w:numId w:val="43"/>
        </w:numPr>
        <w:ind w:left="709"/>
        <w:jc w:val="both"/>
        <w:rPr>
          <w:rFonts w:ascii="Verdana" w:hAnsi="Verdana"/>
        </w:rPr>
      </w:pPr>
      <w:r>
        <w:rPr>
          <w:rFonts w:ascii="Verdana" w:hAnsi="Verdana"/>
        </w:rPr>
        <w:t>Podmioty gospodarcze, o których mowa w poprzednim ustępie, prowadzą rejestr przedstawiający działania służące dostarczaniu informacji i zwiększaniu świadomości, udostępniając je na wniosek właściwych organów.</w:t>
      </w:r>
    </w:p>
    <w:p w14:paraId="617C23B6" w14:textId="58FCB739" w:rsidR="008B4B7F" w:rsidRDefault="008B4B7F" w:rsidP="009820C4">
      <w:pPr>
        <w:rPr>
          <w:rFonts w:ascii="Verdana" w:hAnsi="Verdana"/>
          <w:b/>
          <w:sz w:val="24"/>
        </w:rPr>
      </w:pPr>
    </w:p>
    <w:p w14:paraId="07713E95" w14:textId="47FB0247" w:rsidR="006B0668" w:rsidRPr="003F6B93" w:rsidRDefault="00AE50FA" w:rsidP="000600E7">
      <w:pPr>
        <w:pStyle w:val="Heading1"/>
        <w:tabs>
          <w:tab w:val="clear" w:pos="3969"/>
          <w:tab w:val="left" w:pos="2268"/>
        </w:tabs>
        <w:ind w:firstLine="540"/>
      </w:pPr>
      <w:r>
        <w:br/>
        <w:t>Sprawozdawczość</w:t>
      </w:r>
    </w:p>
    <w:p w14:paraId="1B798C4B" w14:textId="4329DFBF" w:rsidR="0075174E" w:rsidRPr="0075174E" w:rsidRDefault="00AC3F76" w:rsidP="00AC3F76">
      <w:pPr>
        <w:pStyle w:val="Heading2"/>
        <w:numPr>
          <w:ilvl w:val="0"/>
          <w:numId w:val="0"/>
        </w:numPr>
        <w:tabs>
          <w:tab w:val="clear" w:pos="1701"/>
          <w:tab w:val="left" w:pos="1418"/>
        </w:tabs>
        <w:ind w:left="426"/>
      </w:pPr>
      <w:r>
        <w:t>Artykuł 19</w:t>
      </w:r>
      <w:r>
        <w:br/>
        <w:t>Rejestracja producentów</w:t>
      </w:r>
    </w:p>
    <w:p w14:paraId="465253EE" w14:textId="77777777" w:rsidR="0075174E" w:rsidRPr="0075174E" w:rsidRDefault="0075174E" w:rsidP="0075174E"/>
    <w:p w14:paraId="30FE0A7E" w14:textId="730BFBEF" w:rsidR="00655287" w:rsidRPr="001D4FEE" w:rsidRDefault="00655287" w:rsidP="00C525D6">
      <w:pPr>
        <w:pStyle w:val="ListParagraph"/>
        <w:numPr>
          <w:ilvl w:val="0"/>
          <w:numId w:val="47"/>
        </w:numPr>
        <w:ind w:left="709"/>
        <w:jc w:val="both"/>
        <w:rPr>
          <w:rFonts w:ascii="Verdana" w:hAnsi="Verdana" w:cs="EU Albertina"/>
          <w:color w:val="000000"/>
        </w:rPr>
      </w:pPr>
      <w:r>
        <w:rPr>
          <w:rFonts w:ascii="Verdana" w:hAnsi="Verdana"/>
        </w:rPr>
        <w:lastRenderedPageBreak/>
        <w:t xml:space="preserve">Producenci wyrobów z tworzyw sztucznych jednorazowego użytku, o których mowa w niniejszym dekrecie z mocą ustawy, są zobowiązani do wprowadzania i przekazywania danych do zintegrowanego systemu elektronicznego rejestru odpadów (SIRER), zgodnie z art. 97, 98 i 99 GSWM, poprzez informowanie APA, I. P. o rodzaju i ilości produktów wprowadzonych do obrotu, bez uszczerbku dla innych szczegółowych informacji w przypadku produktu objętego określonym przepływem odpadów oraz </w:t>
      </w:r>
      <w:r>
        <w:rPr>
          <w:rFonts w:ascii="Verdana" w:hAnsi="Verdana"/>
          <w:color w:val="000000"/>
        </w:rPr>
        <w:t>zgodnie z przepisami rozporządzenia SIRER.</w:t>
      </w:r>
    </w:p>
    <w:p w14:paraId="564433F5" w14:textId="77777777" w:rsidR="001D4FEE" w:rsidRPr="006B0045" w:rsidRDefault="00655287" w:rsidP="00C525D6">
      <w:pPr>
        <w:pStyle w:val="ListParagraph"/>
        <w:numPr>
          <w:ilvl w:val="0"/>
          <w:numId w:val="47"/>
        </w:numPr>
        <w:ind w:left="709"/>
        <w:jc w:val="both"/>
        <w:rPr>
          <w:rFonts w:ascii="Verdana" w:hAnsi="Verdana"/>
        </w:rPr>
      </w:pPr>
      <w:r>
        <w:rPr>
          <w:rFonts w:ascii="Verdana" w:hAnsi="Verdana"/>
        </w:rPr>
        <w:t>Do celów przekazywania danych przewidzianych w ust. 31 producenci produktów lub ich upoważnieni przedstawiciele przedkładają corocznie do dnia 31 marca roku (</w:t>
      </w:r>
      <w:r>
        <w:rPr>
          <w:rFonts w:ascii="Verdana" w:hAnsi="Verdana"/>
          <w:i/>
        </w:rPr>
        <w:t>n</w:t>
      </w:r>
      <w:r>
        <w:rPr>
          <w:rFonts w:ascii="Verdana" w:hAnsi="Verdana"/>
        </w:rPr>
        <w:t>):</w:t>
      </w:r>
    </w:p>
    <w:p w14:paraId="3535B3DD" w14:textId="77777777" w:rsidR="001D4FEE" w:rsidRPr="008855C2" w:rsidRDefault="00655287" w:rsidP="00C525D6">
      <w:pPr>
        <w:pStyle w:val="ListParagraph"/>
        <w:numPr>
          <w:ilvl w:val="0"/>
          <w:numId w:val="48"/>
        </w:numPr>
        <w:ind w:left="1134"/>
        <w:jc w:val="both"/>
        <w:rPr>
          <w:rFonts w:ascii="Verdana" w:hAnsi="Verdana"/>
        </w:rPr>
      </w:pPr>
      <w:r>
        <w:rPr>
          <w:rFonts w:ascii="Verdana" w:hAnsi="Verdana"/>
        </w:rPr>
        <w:t>Oświadczenie korygujące z poprzedniego roku (</w:t>
      </w:r>
      <w:r>
        <w:rPr>
          <w:rFonts w:ascii="Verdana" w:hAnsi="Verdana"/>
          <w:i/>
        </w:rPr>
        <w:t>n-1</w:t>
      </w:r>
      <w:r>
        <w:rPr>
          <w:rFonts w:ascii="Verdana" w:hAnsi="Verdana"/>
        </w:rPr>
        <w:t xml:space="preserve">) w celu przekazania informacji na temat ilości produktów wprowadzonych do obrotu w roku </w:t>
      </w:r>
      <w:r>
        <w:rPr>
          <w:rFonts w:ascii="Verdana" w:hAnsi="Verdana"/>
          <w:i/>
        </w:rPr>
        <w:t>n-1</w:t>
      </w:r>
      <w:r>
        <w:rPr>
          <w:rFonts w:ascii="Verdana" w:hAnsi="Verdana"/>
        </w:rPr>
        <w:t>;</w:t>
      </w:r>
    </w:p>
    <w:p w14:paraId="33716009" w14:textId="6841F9F4" w:rsidR="00655287" w:rsidRPr="008855C2" w:rsidRDefault="00655287" w:rsidP="00C525D6">
      <w:pPr>
        <w:pStyle w:val="ListParagraph"/>
        <w:numPr>
          <w:ilvl w:val="0"/>
          <w:numId w:val="48"/>
        </w:numPr>
        <w:ind w:left="1134" w:hanging="357"/>
        <w:jc w:val="both"/>
        <w:rPr>
          <w:rFonts w:ascii="Verdana" w:hAnsi="Verdana"/>
        </w:rPr>
      </w:pPr>
      <w:r>
        <w:rPr>
          <w:rFonts w:ascii="Verdana" w:hAnsi="Verdana"/>
        </w:rPr>
        <w:t xml:space="preserve">Oświadczenie szacunkowe z danego roku n w celu przekazania informacji na temat szacunkowej ilości produktów wprowadzonych do obrotu w roku </w:t>
      </w:r>
      <w:r>
        <w:rPr>
          <w:rFonts w:ascii="Verdana" w:hAnsi="Verdana"/>
          <w:i/>
        </w:rPr>
        <w:t>n</w:t>
      </w:r>
      <w:r>
        <w:rPr>
          <w:rFonts w:ascii="Verdana" w:hAnsi="Verdana"/>
        </w:rPr>
        <w:t>.</w:t>
      </w:r>
    </w:p>
    <w:p w14:paraId="35305B8F" w14:textId="13A601C9" w:rsidR="00006B68" w:rsidRPr="006B0045" w:rsidRDefault="00006B68" w:rsidP="00C525D6">
      <w:pPr>
        <w:pStyle w:val="ListParagraph"/>
        <w:numPr>
          <w:ilvl w:val="0"/>
          <w:numId w:val="47"/>
        </w:numPr>
        <w:ind w:left="709"/>
        <w:jc w:val="both"/>
        <w:rPr>
          <w:rFonts w:ascii="Verdana" w:hAnsi="Verdana"/>
        </w:rPr>
      </w:pPr>
      <w:bookmarkStart w:id="52" w:name="_Hlk66371193"/>
      <w:r>
        <w:rPr>
          <w:rFonts w:ascii="Verdana" w:hAnsi="Verdana"/>
        </w:rPr>
        <w:t xml:space="preserve">Do celów pomiaru zgodności ze środkami przewidzianymi w niniejszym dekrecie z mocą ustawy, APA, I.P. gromadzi następujące informacje zgodnie ze szczegółowymi przepisami ustawowymi lub wykonawczymi: </w:t>
      </w:r>
    </w:p>
    <w:p w14:paraId="281594D3"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dane dotyczące kubków do napojów i pojemników na żywność wprowadzonych do obrotu w celu wykazania zmniejszenia spożycia zgodnie z art. 7; </w:t>
      </w:r>
    </w:p>
    <w:p w14:paraId="5EFB3AEB"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dane dotyczące jednorazowych plastikowych butelek na napoje o pojemności do trzech litrów, które zostały zebrane oddzielnie, w celu wykazania zgodności z celem selektywnej zbiórki określonym w art. 17; </w:t>
      </w:r>
    </w:p>
    <w:p w14:paraId="6710222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dane dotyczące narzędzi połowowych zawierających tworzywa sztuczne wprowadzone do obrotu i zużyte narzędzia połowowe zbierane corocznie;</w:t>
      </w:r>
    </w:p>
    <w:p w14:paraId="70FB6219" w14:textId="77777777" w:rsidR="00006B68" w:rsidRPr="008855C2" w:rsidRDefault="00006B68" w:rsidP="00C525D6">
      <w:pPr>
        <w:pStyle w:val="ListParagraph"/>
        <w:numPr>
          <w:ilvl w:val="0"/>
          <w:numId w:val="49"/>
        </w:numPr>
        <w:ind w:left="1134"/>
        <w:jc w:val="both"/>
        <w:rPr>
          <w:rFonts w:ascii="Verdana" w:hAnsi="Verdana"/>
        </w:rPr>
      </w:pPr>
      <w:r>
        <w:rPr>
          <w:rFonts w:ascii="Verdana" w:hAnsi="Verdana"/>
        </w:rPr>
        <w:t>informacje na temat zawartości materiału pochodzącego z recyklingu w butelkach z napojami w celu wykazania zgodności z celami określonymi w art. 11;</w:t>
      </w:r>
    </w:p>
    <w:p w14:paraId="76EF45CD" w14:textId="24CC0CDA" w:rsidR="00006B68" w:rsidRPr="008855C2" w:rsidRDefault="00006B68" w:rsidP="00C525D6">
      <w:pPr>
        <w:pStyle w:val="ListParagraph"/>
        <w:numPr>
          <w:ilvl w:val="0"/>
          <w:numId w:val="49"/>
        </w:numPr>
        <w:ind w:left="1134"/>
        <w:jc w:val="both"/>
        <w:rPr>
          <w:rFonts w:ascii="Verdana" w:hAnsi="Verdana"/>
        </w:rPr>
      </w:pPr>
      <w:r>
        <w:rPr>
          <w:rFonts w:ascii="Verdana" w:hAnsi="Verdana"/>
        </w:rPr>
        <w:t xml:space="preserve">Dane dotyczące wyrobów tytoniowych z filtrami i filtrów wprowadzanych do obrotu do użycia z wyrobami tytoniowymi zbierane zgodnie z art. 15 ust. 3. </w:t>
      </w:r>
    </w:p>
    <w:p w14:paraId="626F4EE8" w14:textId="77777777" w:rsidR="00006B68" w:rsidRPr="008855C2" w:rsidRDefault="00006B68" w:rsidP="008855C2">
      <w:pPr>
        <w:pStyle w:val="ListParagraph"/>
        <w:ind w:left="709"/>
        <w:jc w:val="both"/>
        <w:rPr>
          <w:rFonts w:ascii="Verdana" w:hAnsi="Verdana"/>
        </w:rPr>
      </w:pPr>
    </w:p>
    <w:p w14:paraId="56B0C35B" w14:textId="472AB424" w:rsidR="00006B68" w:rsidRPr="006B0045" w:rsidRDefault="00006B68" w:rsidP="00C525D6">
      <w:pPr>
        <w:pStyle w:val="ListParagraph"/>
        <w:numPr>
          <w:ilvl w:val="0"/>
          <w:numId w:val="47"/>
        </w:numPr>
        <w:ind w:left="709"/>
        <w:jc w:val="both"/>
        <w:rPr>
          <w:rFonts w:ascii="Verdana" w:hAnsi="Verdana"/>
        </w:rPr>
      </w:pPr>
      <w:r>
        <w:rPr>
          <w:rFonts w:ascii="Verdana" w:hAnsi="Verdana"/>
        </w:rPr>
        <w:t>Pierwszy okres sprawozdawczy przewidziany w lit. a)–c) dotyczy roku 2022.</w:t>
      </w:r>
    </w:p>
    <w:p w14:paraId="1748737B" w14:textId="270DC7A5" w:rsidR="00006B68" w:rsidRPr="006B0045" w:rsidRDefault="00006B68" w:rsidP="00C525D6">
      <w:pPr>
        <w:pStyle w:val="ListParagraph"/>
        <w:numPr>
          <w:ilvl w:val="0"/>
          <w:numId w:val="47"/>
        </w:numPr>
        <w:ind w:left="709"/>
        <w:jc w:val="both"/>
        <w:rPr>
          <w:rFonts w:ascii="Verdana" w:hAnsi="Verdana"/>
        </w:rPr>
      </w:pPr>
      <w:r>
        <w:rPr>
          <w:rFonts w:ascii="Verdana" w:hAnsi="Verdana"/>
        </w:rPr>
        <w:lastRenderedPageBreak/>
        <w:t>Pierwszy okres sprawozdawczy przewidziany w lit. d) i e) przypada na rok 2023.</w:t>
      </w:r>
    </w:p>
    <w:bookmarkEnd w:id="52"/>
    <w:p w14:paraId="4C26F6C4" w14:textId="76816B5C" w:rsidR="00B63641" w:rsidRPr="006B0045" w:rsidRDefault="00B63641" w:rsidP="00C525D6">
      <w:pPr>
        <w:pStyle w:val="ListParagraph"/>
        <w:numPr>
          <w:ilvl w:val="0"/>
          <w:numId w:val="47"/>
        </w:numPr>
        <w:ind w:left="709"/>
        <w:jc w:val="both"/>
        <w:rPr>
          <w:rFonts w:ascii="Verdana" w:hAnsi="Verdana"/>
        </w:rPr>
      </w:pPr>
      <w:r>
        <w:rPr>
          <w:rFonts w:ascii="Verdana" w:hAnsi="Verdana"/>
        </w:rPr>
        <w:t>Gromadzenie i przetwarzanie danych wynikających z obowiązków przewidzianych w poprzednim ustępie podlega przepisom dotyczącym ochrony danych osobowych.</w:t>
      </w:r>
    </w:p>
    <w:p w14:paraId="3D42586E" w14:textId="77777777" w:rsidR="00B63641" w:rsidRPr="003F6B93" w:rsidRDefault="00B63641" w:rsidP="008855C2">
      <w:pPr>
        <w:pStyle w:val="ListParagraph"/>
        <w:ind w:left="709"/>
        <w:jc w:val="both"/>
        <w:rPr>
          <w:rFonts w:ascii="Verdana" w:hAnsi="Verdana"/>
        </w:rPr>
      </w:pPr>
    </w:p>
    <w:p w14:paraId="1D7B605F" w14:textId="3BF02AFE" w:rsidR="006B0668" w:rsidRPr="003F6B93" w:rsidRDefault="00DD1E2B" w:rsidP="008855C2">
      <w:pPr>
        <w:pStyle w:val="Heading1"/>
        <w:tabs>
          <w:tab w:val="clear" w:pos="3969"/>
        </w:tabs>
      </w:pPr>
      <w:r>
        <w:br/>
        <w:t>Monitorowanie i system wykroczeń administracyjnych</w:t>
      </w:r>
    </w:p>
    <w:p w14:paraId="504AC209" w14:textId="3D54499C" w:rsidR="006B0668" w:rsidRDefault="00AC3F76" w:rsidP="00AC3F76">
      <w:pPr>
        <w:pStyle w:val="Heading2"/>
        <w:numPr>
          <w:ilvl w:val="0"/>
          <w:numId w:val="0"/>
        </w:numPr>
        <w:tabs>
          <w:tab w:val="clear" w:pos="1701"/>
          <w:tab w:val="left" w:pos="1418"/>
        </w:tabs>
        <w:ind w:left="426"/>
      </w:pPr>
      <w:r>
        <w:t>Artykuł 20</w:t>
      </w:r>
      <w:r>
        <w:br/>
        <w:t>Inspekcja i monitorowanie</w:t>
      </w:r>
    </w:p>
    <w:p w14:paraId="52BFFB6C" w14:textId="77777777" w:rsidR="00B82A72" w:rsidRPr="00B82A72" w:rsidRDefault="00B82A72" w:rsidP="00B82A72"/>
    <w:p w14:paraId="5F02C2E9" w14:textId="59F292EB" w:rsidR="006B0668" w:rsidRPr="00DD1E2B" w:rsidRDefault="006B0668" w:rsidP="00C525D6">
      <w:pPr>
        <w:pStyle w:val="ListParagraph"/>
        <w:numPr>
          <w:ilvl w:val="0"/>
          <w:numId w:val="50"/>
        </w:numPr>
        <w:ind w:left="709"/>
        <w:jc w:val="both"/>
        <w:rPr>
          <w:rFonts w:ascii="Verdana" w:hAnsi="Verdana"/>
        </w:rPr>
      </w:pPr>
      <w:r>
        <w:rPr>
          <w:rFonts w:ascii="Verdana" w:hAnsi="Verdana"/>
        </w:rPr>
        <w:t>Monitorowanie zgodności z przepisami niniejszego dekretu z mocą ustawy spoczywa na Inspekcji Generalnej ds. Rolnictwa, Morza, Środowiska i Planowania Przestrzennego (IGAMAOT), Urzędzie ds. Bezpieczeństwa Gospodarczego i Żywnościowego (ASAE) oraz Urzędzie ds. Podatków i Ceł (AT) oraz organach policyjnych zgodnie z ich kompetencjami terytorialnymi.</w:t>
      </w:r>
    </w:p>
    <w:p w14:paraId="07FC5737" w14:textId="70AB462A" w:rsidR="006B0668" w:rsidRPr="001D278E" w:rsidRDefault="006B0668" w:rsidP="00C525D6">
      <w:pPr>
        <w:pStyle w:val="ListParagraph"/>
        <w:numPr>
          <w:ilvl w:val="0"/>
          <w:numId w:val="50"/>
        </w:numPr>
        <w:ind w:left="709"/>
        <w:jc w:val="both"/>
        <w:rPr>
          <w:rFonts w:ascii="Verdana" w:hAnsi="Verdana"/>
        </w:rPr>
      </w:pPr>
      <w:r>
        <w:rPr>
          <w:rFonts w:ascii="Verdana" w:hAnsi="Verdana"/>
        </w:rPr>
        <w:t>Przepisy poprzedniego ustępu pozostają bez uszczerbku dla wykonywania uprawnień w zakresie monitorowania i uprawnień policji przyznanych innym organom publicznym.</w:t>
      </w:r>
    </w:p>
    <w:p w14:paraId="3BBF5192" w14:textId="77777777" w:rsidR="006B0668" w:rsidRDefault="006B0668" w:rsidP="006B0668">
      <w:pPr>
        <w:jc w:val="center"/>
        <w:rPr>
          <w:rFonts w:ascii="Verdana" w:hAnsi="Verdana"/>
        </w:rPr>
      </w:pPr>
    </w:p>
    <w:p w14:paraId="64B92E95" w14:textId="6598AC2D" w:rsidR="00D22B19" w:rsidRDefault="00AC3F76" w:rsidP="00AC3F76">
      <w:pPr>
        <w:pStyle w:val="Heading2"/>
        <w:numPr>
          <w:ilvl w:val="0"/>
          <w:numId w:val="0"/>
        </w:numPr>
        <w:tabs>
          <w:tab w:val="clear" w:pos="1701"/>
          <w:tab w:val="left" w:pos="1276"/>
        </w:tabs>
        <w:ind w:left="426"/>
      </w:pPr>
      <w:r>
        <w:t>Artykuł 21</w:t>
      </w:r>
      <w:r>
        <w:br/>
        <w:t>Gospodarcze wykroczenia administracyjne</w:t>
      </w:r>
    </w:p>
    <w:p w14:paraId="0561408D" w14:textId="77777777" w:rsidR="00B82A72" w:rsidRPr="00B82A72" w:rsidRDefault="00B82A72" w:rsidP="00B82A72"/>
    <w:p w14:paraId="380E9DA4" w14:textId="2D1DBB67" w:rsidR="00D22B19" w:rsidRPr="001D278E" w:rsidRDefault="00757BC4" w:rsidP="00C525D6">
      <w:pPr>
        <w:pStyle w:val="ListParagraph"/>
        <w:numPr>
          <w:ilvl w:val="0"/>
          <w:numId w:val="51"/>
        </w:numPr>
        <w:ind w:left="709"/>
        <w:jc w:val="both"/>
        <w:rPr>
          <w:rFonts w:ascii="Verdana" w:hAnsi="Verdana"/>
        </w:rPr>
      </w:pPr>
      <w:r>
        <w:rPr>
          <w:rFonts w:ascii="Verdana" w:hAnsi="Verdana"/>
        </w:rPr>
        <w:t>Następujące przypadki stanowią poważne gospodarcze wykroczenia administracyjne, podlegające karze w ramach systemu prawnego dotyczącego gospodarczych wykroczeń administracyjnych, zatwierdzonego dekretem z mocą ustawy nr 9/2021 z dnia 29 stycznia:</w:t>
      </w:r>
    </w:p>
    <w:p w14:paraId="5D42299A" w14:textId="4C05EAFA" w:rsidR="00757BC4" w:rsidRPr="001D278E" w:rsidRDefault="00757BC4" w:rsidP="00C525D6">
      <w:pPr>
        <w:pStyle w:val="ListParagraph"/>
        <w:numPr>
          <w:ilvl w:val="1"/>
          <w:numId w:val="52"/>
        </w:numPr>
        <w:spacing w:after="0"/>
        <w:ind w:left="1134"/>
        <w:jc w:val="both"/>
        <w:rPr>
          <w:rFonts w:ascii="Verdana" w:hAnsi="Verdana"/>
        </w:rPr>
      </w:pPr>
      <w:r>
        <w:rPr>
          <w:rFonts w:ascii="Verdana" w:hAnsi="Verdana"/>
        </w:rPr>
        <w:t xml:space="preserve">został naruszony art. 4 ust. 1; </w:t>
      </w:r>
    </w:p>
    <w:p w14:paraId="423006AE" w14:textId="3B2478D6" w:rsidR="00B94B1F" w:rsidRPr="001D278E" w:rsidRDefault="00B94B1F" w:rsidP="00C525D6">
      <w:pPr>
        <w:pStyle w:val="ListParagraph"/>
        <w:numPr>
          <w:ilvl w:val="1"/>
          <w:numId w:val="52"/>
        </w:numPr>
        <w:spacing w:after="0"/>
        <w:ind w:left="1134"/>
        <w:jc w:val="both"/>
        <w:rPr>
          <w:rFonts w:ascii="Verdana" w:hAnsi="Verdana"/>
        </w:rPr>
      </w:pPr>
      <w:r>
        <w:rPr>
          <w:rFonts w:ascii="Verdana" w:hAnsi="Verdana"/>
        </w:rPr>
        <w:t xml:space="preserve">został naruszony art. 4 ust. 2; </w:t>
      </w:r>
    </w:p>
    <w:p w14:paraId="013C6DC8" w14:textId="0AD0363E"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został naruszony art. 5 ust. 1; </w:t>
      </w:r>
    </w:p>
    <w:p w14:paraId="70BD8DE9" w14:textId="49FB245A" w:rsidR="008B1B8C" w:rsidRPr="001D278E" w:rsidRDefault="008B1B8C" w:rsidP="00C525D6">
      <w:pPr>
        <w:pStyle w:val="ListParagraph"/>
        <w:numPr>
          <w:ilvl w:val="1"/>
          <w:numId w:val="52"/>
        </w:numPr>
        <w:spacing w:after="0"/>
        <w:ind w:left="1134"/>
        <w:jc w:val="both"/>
        <w:rPr>
          <w:rFonts w:ascii="Verdana" w:hAnsi="Verdana"/>
        </w:rPr>
      </w:pPr>
      <w:r>
        <w:rPr>
          <w:rFonts w:ascii="Verdana" w:hAnsi="Verdana"/>
        </w:rPr>
        <w:t xml:space="preserve">został naruszony art. 5 ust. 2 przez podmioty prowadzące działalność w nim przewidzianą; </w:t>
      </w:r>
    </w:p>
    <w:p w14:paraId="79B7025C" w14:textId="52342E57" w:rsidR="007D2095" w:rsidRPr="001D278E" w:rsidRDefault="007D2095" w:rsidP="00C525D6">
      <w:pPr>
        <w:pStyle w:val="ListParagraph"/>
        <w:numPr>
          <w:ilvl w:val="1"/>
          <w:numId w:val="52"/>
        </w:numPr>
        <w:spacing w:after="0"/>
        <w:ind w:left="1134"/>
        <w:jc w:val="both"/>
        <w:rPr>
          <w:rFonts w:ascii="Verdana" w:hAnsi="Verdana"/>
        </w:rPr>
      </w:pPr>
      <w:r>
        <w:t>nieprzestrzeganie środków określonych w art. 8 ust. 1, 2, 5 i 6;</w:t>
      </w:r>
    </w:p>
    <w:p w14:paraId="2A1AD62E" w14:textId="24C37A57" w:rsidR="006802F6" w:rsidRPr="001D278E" w:rsidRDefault="006802F6" w:rsidP="00C525D6">
      <w:pPr>
        <w:pStyle w:val="ListParagraph"/>
        <w:numPr>
          <w:ilvl w:val="1"/>
          <w:numId w:val="52"/>
        </w:numPr>
        <w:spacing w:after="0"/>
        <w:ind w:left="1134"/>
        <w:jc w:val="both"/>
        <w:rPr>
          <w:rFonts w:ascii="Verdana" w:hAnsi="Verdana"/>
        </w:rPr>
      </w:pPr>
      <w:r>
        <w:rPr>
          <w:rFonts w:ascii="Verdana" w:hAnsi="Verdana"/>
        </w:rPr>
        <w:lastRenderedPageBreak/>
        <w:t>nieprzestrzeganie przez producenta obowiązku wyznaczenia upoważnionego przedstawiciela zgodnie z art. 20 ust. 3;</w:t>
      </w:r>
    </w:p>
    <w:p w14:paraId="597A0744" w14:textId="1E4E2581" w:rsidR="00D22B19" w:rsidRPr="001D278E" w:rsidRDefault="00D22B19" w:rsidP="00C525D6">
      <w:pPr>
        <w:pStyle w:val="ListParagraph"/>
        <w:numPr>
          <w:ilvl w:val="0"/>
          <w:numId w:val="51"/>
        </w:numPr>
        <w:ind w:left="709"/>
        <w:jc w:val="both"/>
        <w:rPr>
          <w:rFonts w:ascii="Verdana" w:hAnsi="Verdana"/>
        </w:rPr>
      </w:pPr>
      <w:r>
        <w:rPr>
          <w:rFonts w:ascii="Verdana" w:hAnsi="Verdana"/>
        </w:rPr>
        <w:t xml:space="preserve">2. Próby popełnienia wykroczenia i zaniedbania podlegają karze, a minimalne i maksymalne limity grzywny zostają zmniejszone do połowy. </w:t>
      </w:r>
    </w:p>
    <w:p w14:paraId="46A43068" w14:textId="77777777" w:rsidR="00D22B19" w:rsidRDefault="00D22B19" w:rsidP="00FB0A52">
      <w:pPr>
        <w:rPr>
          <w:rFonts w:ascii="Verdana" w:hAnsi="Verdana"/>
        </w:rPr>
      </w:pPr>
    </w:p>
    <w:p w14:paraId="62AA6CC8" w14:textId="51D77CD8" w:rsidR="002B3376" w:rsidRDefault="00AC3F76" w:rsidP="00AC3F76">
      <w:pPr>
        <w:pStyle w:val="Heading2"/>
        <w:numPr>
          <w:ilvl w:val="0"/>
          <w:numId w:val="0"/>
        </w:numPr>
        <w:ind w:left="426"/>
      </w:pPr>
      <w:r>
        <w:t>Artykuł 22</w:t>
      </w:r>
      <w:r>
        <w:br/>
        <w:t>Wpływy z grzywien</w:t>
      </w:r>
    </w:p>
    <w:p w14:paraId="418208D4" w14:textId="77777777" w:rsidR="00B82A72" w:rsidRPr="00B82A72" w:rsidRDefault="00B82A72" w:rsidP="00B82A72"/>
    <w:p w14:paraId="49DD38B3" w14:textId="5F90344D" w:rsidR="008B1B8C" w:rsidRPr="00D22B19" w:rsidRDefault="00D22B19" w:rsidP="00B82A72">
      <w:pPr>
        <w:jc w:val="both"/>
        <w:rPr>
          <w:rFonts w:ascii="Verdana" w:hAnsi="Verdana"/>
        </w:rPr>
      </w:pPr>
      <w:r>
        <w:rPr>
          <w:rFonts w:ascii="Verdana" w:hAnsi="Verdana"/>
        </w:rPr>
        <w:t xml:space="preserve">Wpływy z grzywien, o których mowa w poprzednim artykule, będą przydzielane zgodnie z </w:t>
      </w:r>
      <w:r>
        <w:rPr>
          <w:rFonts w:ascii="Verdana" w:hAnsi="Verdana"/>
          <w:color w:val="000000" w:themeColor="text1"/>
          <w:shd w:val="clear" w:color="auto" w:fill="FFFFFF"/>
        </w:rPr>
        <w:t>systemem prawnym dotyczącym gospodarczych wykroczeń administracyjnych</w:t>
      </w:r>
      <w:r>
        <w:rPr>
          <w:rFonts w:ascii="Verdana" w:hAnsi="Verdana"/>
        </w:rPr>
        <w:t xml:space="preserve">. </w:t>
      </w:r>
    </w:p>
    <w:p w14:paraId="7BB9EBFC" w14:textId="77777777" w:rsidR="002B3376" w:rsidRPr="00D22B19" w:rsidRDefault="002B3376" w:rsidP="00FB0A52"/>
    <w:p w14:paraId="29AD576B" w14:textId="0B7D8431" w:rsidR="004551A4" w:rsidRDefault="00AC3F76" w:rsidP="00AC3F76">
      <w:pPr>
        <w:pStyle w:val="Heading2"/>
        <w:numPr>
          <w:ilvl w:val="0"/>
          <w:numId w:val="0"/>
        </w:numPr>
        <w:tabs>
          <w:tab w:val="clear" w:pos="1701"/>
        </w:tabs>
        <w:ind w:left="426"/>
      </w:pPr>
      <w:r>
        <w:t>Artykuł 23</w:t>
      </w:r>
      <w:r>
        <w:br/>
        <w:t>Wykroczenia administracyjne</w:t>
      </w:r>
    </w:p>
    <w:p w14:paraId="37B492A3" w14:textId="77777777" w:rsidR="002B3376" w:rsidRPr="002B3376" w:rsidRDefault="002B3376" w:rsidP="002B3376"/>
    <w:p w14:paraId="04444803" w14:textId="3745F447" w:rsidR="004551A4" w:rsidRPr="001D278E" w:rsidRDefault="004551A4" w:rsidP="00C525D6">
      <w:pPr>
        <w:pStyle w:val="ListParagraph"/>
        <w:numPr>
          <w:ilvl w:val="0"/>
          <w:numId w:val="53"/>
        </w:numPr>
        <w:ind w:left="709"/>
        <w:jc w:val="both"/>
        <w:rPr>
          <w:rFonts w:ascii="Verdana" w:hAnsi="Verdana"/>
        </w:rPr>
      </w:pPr>
      <w:r>
        <w:t xml:space="preserve">Poniżej wyszczególnione jest bardzo poważne wykroczenie administracyjne w zakresie ochrony środowiska, podlegające karze zgodnie z Ramową ustawą o wykroczeniach administracyjnych w zakresie ochrony środowiska, przyjętą w załączniku do </w:t>
      </w:r>
      <w:hyperlink r:id="rId8" w:tgtFrame="_blank" w:tooltip="Ustawa nr 50/2006" w:history="1">
        <w:r>
          <w:rPr>
            <w:rFonts w:ascii="Verdana" w:hAnsi="Verdana"/>
          </w:rPr>
          <w:t>ustawy nr 50/2006</w:t>
        </w:r>
      </w:hyperlink>
      <w:r>
        <w:t xml:space="preserve"> z dnia 29 sierpnia, w jej obecnym brzmieniu:</w:t>
      </w:r>
    </w:p>
    <w:p w14:paraId="1FC85153" w14:textId="734444EC" w:rsidR="00DD1E2B" w:rsidRPr="001D278E" w:rsidRDefault="005630B1" w:rsidP="00C525D6">
      <w:pPr>
        <w:pStyle w:val="ListParagraph"/>
        <w:numPr>
          <w:ilvl w:val="1"/>
          <w:numId w:val="54"/>
        </w:numPr>
        <w:spacing w:after="0"/>
        <w:ind w:left="1134"/>
        <w:jc w:val="both"/>
        <w:rPr>
          <w:rFonts w:ascii="Verdana" w:hAnsi="Verdana"/>
        </w:rPr>
      </w:pPr>
      <w:r>
        <w:rPr>
          <w:rFonts w:ascii="Verdana" w:hAnsi="Verdana"/>
        </w:rPr>
        <w:t>Niezgodność z włączeniem tworzyw sztucznych pochodzących z recyklingu do butelek z napojami, o których mowa w art. 11 ust. 5;</w:t>
      </w:r>
    </w:p>
    <w:p w14:paraId="379602CA" w14:textId="7B93E60C" w:rsidR="004551A4" w:rsidRPr="001D278E" w:rsidRDefault="004551A4" w:rsidP="00C525D6">
      <w:pPr>
        <w:pStyle w:val="ListParagraph"/>
        <w:numPr>
          <w:ilvl w:val="0"/>
          <w:numId w:val="53"/>
        </w:numPr>
        <w:ind w:left="709"/>
        <w:jc w:val="both"/>
        <w:rPr>
          <w:rFonts w:ascii="Verdana" w:hAnsi="Verdana"/>
        </w:rPr>
      </w:pPr>
      <w:r>
        <w:t xml:space="preserve">Poniżej wyszczególnione jest bardzo poważne wykroczenie administracyjne w zakresie ochrony środowiska, podlegające karze zgodnie z Ramową ustawą o wykroczeniach administracyjnych w zakresie ochrony środowiska, przyjętą w załączniku do </w:t>
      </w:r>
      <w:hyperlink r:id="rId9" w:tgtFrame="_blank" w:tooltip="Ustawa nr 50/2006" w:history="1">
        <w:r>
          <w:rPr>
            <w:rFonts w:ascii="Verdana" w:hAnsi="Verdana"/>
          </w:rPr>
          <w:t>ustawy nr 50/2006 z dnia 29 sierpnia, w jej obecnym brzmieniu</w:t>
        </w:r>
      </w:hyperlink>
      <w:r>
        <w:t>:</w:t>
      </w:r>
    </w:p>
    <w:p w14:paraId="0E19D986" w14:textId="3A86DB1E" w:rsidR="005630B1" w:rsidRPr="001D278E" w:rsidRDefault="009E11DC" w:rsidP="00C525D6">
      <w:pPr>
        <w:pStyle w:val="ListParagraph"/>
        <w:numPr>
          <w:ilvl w:val="1"/>
          <w:numId w:val="55"/>
        </w:numPr>
        <w:spacing w:after="0"/>
        <w:ind w:left="1134"/>
        <w:jc w:val="both"/>
        <w:rPr>
          <w:rFonts w:ascii="Verdana" w:hAnsi="Verdana"/>
        </w:rPr>
      </w:pPr>
      <w:r>
        <w:rPr>
          <w:rFonts w:ascii="Verdana" w:hAnsi="Verdana"/>
        </w:rPr>
        <w:t>Wprowadzanie do obrotu pojemników na napoje, które nie spełniają wymogów projektowych określonych w art. 10 ust. 1;</w:t>
      </w:r>
    </w:p>
    <w:p w14:paraId="59E5084D" w14:textId="6290E616" w:rsidR="00950E5B" w:rsidRPr="001D278E" w:rsidRDefault="009E11DC" w:rsidP="00C525D6">
      <w:pPr>
        <w:pStyle w:val="ListParagraph"/>
        <w:numPr>
          <w:ilvl w:val="1"/>
          <w:numId w:val="55"/>
        </w:numPr>
        <w:spacing w:after="0"/>
        <w:ind w:left="1134"/>
        <w:jc w:val="both"/>
        <w:rPr>
          <w:rFonts w:ascii="Verdana" w:hAnsi="Verdana"/>
        </w:rPr>
      </w:pPr>
      <w:r>
        <w:rPr>
          <w:rFonts w:ascii="Verdana" w:hAnsi="Verdana"/>
        </w:rPr>
        <w:t xml:space="preserve">Niezgodność z wymogami dotyczącymi oznakowania określonymi w art. 12 ust. 2; </w:t>
      </w:r>
    </w:p>
    <w:p w14:paraId="2C12473B" w14:textId="2C68299B" w:rsidR="005630B1" w:rsidRPr="001D278E" w:rsidRDefault="00950E5B" w:rsidP="00C525D6">
      <w:pPr>
        <w:pStyle w:val="ListParagraph"/>
        <w:numPr>
          <w:ilvl w:val="1"/>
          <w:numId w:val="55"/>
        </w:numPr>
        <w:spacing w:after="0"/>
        <w:ind w:left="1134"/>
        <w:jc w:val="both"/>
        <w:rPr>
          <w:rFonts w:ascii="Verdana" w:hAnsi="Verdana"/>
        </w:rPr>
      </w:pPr>
      <w:r>
        <w:rPr>
          <w:rFonts w:ascii="Verdana" w:hAnsi="Verdana"/>
        </w:rPr>
        <w:t>Niezgodność z przepisami dotyczącymi specyfikacji oznakowania określonymi w rozporządzeniu wykonawczym Komisji (UE) 2020/2151 z dnia 17 grudnia 2020 r.</w:t>
      </w:r>
    </w:p>
    <w:p w14:paraId="56FB7032" w14:textId="5E0C55B6" w:rsidR="00C64656" w:rsidRPr="001D278E" w:rsidRDefault="00C64656" w:rsidP="00C525D6">
      <w:pPr>
        <w:pStyle w:val="ListParagraph"/>
        <w:numPr>
          <w:ilvl w:val="1"/>
          <w:numId w:val="55"/>
        </w:numPr>
        <w:spacing w:after="0"/>
        <w:ind w:left="1134"/>
        <w:jc w:val="both"/>
        <w:rPr>
          <w:rFonts w:ascii="Verdana" w:hAnsi="Verdana"/>
        </w:rPr>
      </w:pPr>
      <w:r>
        <w:rPr>
          <w:rFonts w:ascii="Verdana" w:hAnsi="Verdana"/>
        </w:rPr>
        <w:lastRenderedPageBreak/>
        <w:t xml:space="preserve">Nieprzestrzeganie przez producentów obowiązku określonego w art. 18 ust. 5; </w:t>
      </w:r>
    </w:p>
    <w:p w14:paraId="0B1C9F8F" w14:textId="4F3555FB" w:rsidR="004551A4" w:rsidRPr="001D278E" w:rsidRDefault="00881A44" w:rsidP="00C525D6">
      <w:pPr>
        <w:pStyle w:val="ListParagraph"/>
        <w:numPr>
          <w:ilvl w:val="1"/>
          <w:numId w:val="55"/>
        </w:numPr>
        <w:spacing w:after="0"/>
        <w:ind w:left="1134"/>
        <w:jc w:val="both"/>
        <w:rPr>
          <w:rFonts w:ascii="Verdana" w:hAnsi="Verdana"/>
        </w:rPr>
      </w:pPr>
      <w:r>
        <w:rPr>
          <w:rFonts w:ascii="Verdana" w:hAnsi="Verdana"/>
        </w:rPr>
        <w:t>Nieprzestrzeganie przez producentów lub producentów za pośrednictwem stowarzyszeń obowiązku przesyłania sprawozdania, o którym mowa w art. 18 ust. 6, zgodnie z procedurą w nim ustanowioną;</w:t>
      </w:r>
    </w:p>
    <w:p w14:paraId="358BC049" w14:textId="74925ACB"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Nieprzestrzeganie przepisów art. 18 ust. 7 przez podmioty gospodarcze, o których mowa w przedmiotowych przepisach; </w:t>
      </w:r>
    </w:p>
    <w:p w14:paraId="009DF47A" w14:textId="3217E37E" w:rsidR="006A5FE8" w:rsidRPr="001D278E" w:rsidRDefault="006A5FE8" w:rsidP="00C525D6">
      <w:pPr>
        <w:pStyle w:val="ListParagraph"/>
        <w:numPr>
          <w:ilvl w:val="1"/>
          <w:numId w:val="55"/>
        </w:numPr>
        <w:spacing w:after="0"/>
        <w:ind w:left="1134"/>
        <w:jc w:val="both"/>
        <w:rPr>
          <w:rFonts w:ascii="Verdana" w:hAnsi="Verdana"/>
        </w:rPr>
      </w:pPr>
      <w:r>
        <w:rPr>
          <w:rFonts w:ascii="Verdana" w:hAnsi="Verdana"/>
        </w:rPr>
        <w:t xml:space="preserve">Nieprzestrzeganie przepisów art. 18 ust. 8 przez podmioty gospodarcze, o których mowa w art. 7; </w:t>
      </w:r>
    </w:p>
    <w:p w14:paraId="53B1C166" w14:textId="77777777" w:rsidR="005630B1" w:rsidRPr="001D278E" w:rsidRDefault="004551A4" w:rsidP="00C525D6">
      <w:pPr>
        <w:pStyle w:val="ListParagraph"/>
        <w:numPr>
          <w:ilvl w:val="0"/>
          <w:numId w:val="53"/>
        </w:numPr>
        <w:ind w:left="709"/>
        <w:jc w:val="both"/>
        <w:rPr>
          <w:rFonts w:ascii="Verdana" w:hAnsi="Verdana"/>
        </w:rPr>
      </w:pPr>
      <w:r>
        <w:t xml:space="preserve">Poniżej wyszczególnione jest bardzo poważne wykroczenie administracyjne w zakresie ochrony środowiska, podlegające karze zgodnie z Ramową ustawą o wykroczeniach administracyjnych w zakresie ochrony środowiska, przyjętą w załączniku do </w:t>
      </w:r>
      <w:hyperlink r:id="rId10" w:tgtFrame="_blank" w:tooltip="Ustawa nr 50/2006" w:history="1">
        <w:r>
          <w:rPr>
            <w:rFonts w:ascii="Verdana" w:hAnsi="Verdana"/>
          </w:rPr>
          <w:t>ustawy nr 50/2006</w:t>
        </w:r>
      </w:hyperlink>
      <w:r>
        <w:t xml:space="preserve"> z dnia 29 sierpnia, w jej obecnym brzmieniu:</w:t>
      </w:r>
    </w:p>
    <w:p w14:paraId="4F6BA6A5" w14:textId="6BD7D22D" w:rsidR="006E6B90" w:rsidRPr="001D278E" w:rsidRDefault="006E6B90" w:rsidP="00C525D6">
      <w:pPr>
        <w:pStyle w:val="ListParagraph"/>
        <w:numPr>
          <w:ilvl w:val="1"/>
          <w:numId w:val="55"/>
        </w:numPr>
        <w:spacing w:after="0"/>
        <w:ind w:left="1134"/>
        <w:jc w:val="both"/>
        <w:rPr>
          <w:rFonts w:ascii="Verdana" w:hAnsi="Verdana"/>
        </w:rPr>
      </w:pPr>
      <w:r>
        <w:rPr>
          <w:rFonts w:ascii="Verdana" w:hAnsi="Verdana"/>
        </w:rPr>
        <w:t>Nieprzestrzeganie obowiązków upoważnionego przedstawiciela zgodnie z art. 16 ust. 4.</w:t>
      </w:r>
    </w:p>
    <w:p w14:paraId="50F93058" w14:textId="691E101E" w:rsidR="009D112F" w:rsidRPr="001D278E" w:rsidRDefault="009D112F" w:rsidP="00C525D6">
      <w:pPr>
        <w:pStyle w:val="ListParagraph"/>
        <w:numPr>
          <w:ilvl w:val="0"/>
          <w:numId w:val="53"/>
        </w:numPr>
        <w:ind w:left="709"/>
        <w:jc w:val="both"/>
        <w:rPr>
          <w:rFonts w:ascii="Verdana" w:hAnsi="Verdana"/>
        </w:rPr>
      </w:pPr>
      <w:r>
        <w:rPr>
          <w:rFonts w:ascii="Verdana" w:hAnsi="Verdana"/>
        </w:rPr>
        <w:t>Zaniedbanie podlega karze zgodnie z Ramową ustawą o wykroczeniach administracyjnych w zakresie ochrony środowiska.</w:t>
      </w:r>
    </w:p>
    <w:p w14:paraId="02C0935D" w14:textId="0366A113" w:rsidR="009D112F" w:rsidRPr="001D278E" w:rsidRDefault="009D112F" w:rsidP="00C525D6">
      <w:pPr>
        <w:pStyle w:val="ListParagraph"/>
        <w:numPr>
          <w:ilvl w:val="0"/>
          <w:numId w:val="53"/>
        </w:numPr>
        <w:ind w:left="709"/>
        <w:jc w:val="both"/>
        <w:rPr>
          <w:rFonts w:ascii="Verdana" w:hAnsi="Verdana"/>
        </w:rPr>
      </w:pPr>
      <w:r>
        <w:rPr>
          <w:rFonts w:ascii="Verdana" w:hAnsi="Verdana"/>
        </w:rPr>
        <w:t>Wpływy z grzywien na mocy niniejszego artykuły będą dzielone na podstawie art. 73 Ramowej ustawy o wykroczeniach administracyjnych w zakresie ochrony środowiska.</w:t>
      </w:r>
    </w:p>
    <w:p w14:paraId="1E162BA3" w14:textId="7D85120F" w:rsidR="009D112F" w:rsidRPr="001D278E" w:rsidRDefault="009D112F" w:rsidP="00C525D6">
      <w:pPr>
        <w:pStyle w:val="ListParagraph"/>
        <w:numPr>
          <w:ilvl w:val="0"/>
          <w:numId w:val="53"/>
        </w:numPr>
        <w:ind w:left="709"/>
        <w:jc w:val="both"/>
        <w:rPr>
          <w:rFonts w:ascii="Verdana" w:hAnsi="Verdana"/>
        </w:rPr>
      </w:pPr>
      <w:r>
        <w:t>Wyrok skazujący za bardzo poważne i poważne naruszenia przewidziane w ust. 1 i 2 może zostać ogłoszony, jeżeli szczególny środek nałożonej grzywny przekracza połowę kwoty maksymalnej grzywny, która jest abstrakcyjnie stosowana, zgodnie z przepisami Ramowej ustawy o wykroczeniach administracyjnych w zakresie ochrony środowiska.</w:t>
      </w:r>
    </w:p>
    <w:p w14:paraId="69198DB2" w14:textId="77777777" w:rsidR="009D112F" w:rsidRPr="009D112F" w:rsidRDefault="009D112F" w:rsidP="009D112F">
      <w:pPr>
        <w:jc w:val="both"/>
        <w:rPr>
          <w:rFonts w:ascii="Verdana" w:hAnsi="Verdana"/>
          <w:color w:val="000000" w:themeColor="text1"/>
        </w:rPr>
      </w:pPr>
    </w:p>
    <w:p w14:paraId="14D75E23" w14:textId="5FC68CFC" w:rsidR="009D112F" w:rsidRPr="009D112F" w:rsidRDefault="00AC3F76" w:rsidP="00AC3F76">
      <w:pPr>
        <w:pStyle w:val="Heading2"/>
        <w:numPr>
          <w:ilvl w:val="0"/>
          <w:numId w:val="0"/>
        </w:numPr>
        <w:tabs>
          <w:tab w:val="clear" w:pos="1701"/>
          <w:tab w:val="left" w:pos="1418"/>
        </w:tabs>
        <w:ind w:left="426"/>
      </w:pPr>
      <w:r>
        <w:t>Artykuł 24</w:t>
      </w:r>
      <w:r>
        <w:br/>
        <w:t>Procesy dochodzeniowe i decyzyjne</w:t>
      </w:r>
    </w:p>
    <w:p w14:paraId="2543265B" w14:textId="07ACC442" w:rsidR="009D112F" w:rsidRPr="009D112F" w:rsidRDefault="009D112F" w:rsidP="00C525D6">
      <w:pPr>
        <w:pStyle w:val="ListParagraph"/>
        <w:numPr>
          <w:ilvl w:val="0"/>
          <w:numId w:val="56"/>
        </w:numPr>
        <w:ind w:left="709"/>
        <w:jc w:val="both"/>
        <w:rPr>
          <w:rFonts w:ascii="Verdana" w:hAnsi="Verdana"/>
        </w:rPr>
      </w:pPr>
      <w:r>
        <w:rPr>
          <w:rFonts w:ascii="Verdana" w:hAnsi="Verdana"/>
        </w:rPr>
        <w:t>1 - IGAMAOT [Generalny Inspektorat ds. Rolnictwa, Morza, Środowiska i Planowania Przestrzennego], ASAE [Urząd ds. Bezpieczeństwa Gospodarczego i Żywnościowego] oraz AT [Urząd Podatkowy i Celny], w ramach swoich kompetencji, wszczynają postępowanie administracyjne w sprawie wykroczeń wszczęte w ramach niniejszego dekretu z mocą ustawy, jak również stosowanie odpowiednich grzywien i dodatkowych kar przewidzianych w art. 90 ust. 6.</w:t>
      </w:r>
    </w:p>
    <w:p w14:paraId="0E4A6ED5" w14:textId="09F1BE0B" w:rsidR="00A172F1" w:rsidRPr="009D112F" w:rsidRDefault="009D112F" w:rsidP="00C525D6">
      <w:pPr>
        <w:pStyle w:val="ListParagraph"/>
        <w:numPr>
          <w:ilvl w:val="0"/>
          <w:numId w:val="56"/>
        </w:numPr>
        <w:ind w:left="709"/>
        <w:jc w:val="both"/>
        <w:rPr>
          <w:rFonts w:ascii="Verdana" w:hAnsi="Verdana"/>
        </w:rPr>
      </w:pPr>
      <w:r>
        <w:rPr>
          <w:rFonts w:ascii="Verdana" w:hAnsi="Verdana"/>
        </w:rPr>
        <w:t xml:space="preserve">W przypadku gdy podmiot przetwarzający nie ma uprawnień do prowadzenia dochodzenia w sprawie, IGAMAOT prowadzi dochodzenie i podejmuje decyzje w przypadku wykroczeń administracyjnych </w:t>
      </w:r>
      <w:r>
        <w:rPr>
          <w:rFonts w:ascii="Verdana" w:hAnsi="Verdana"/>
        </w:rPr>
        <w:lastRenderedPageBreak/>
        <w:t>dotyczących środowiska, o których mowa w art. 23, oraz informuje podmioty przetwarzające o decyzjach.</w:t>
      </w:r>
    </w:p>
    <w:p w14:paraId="162FCAEC" w14:textId="77777777" w:rsidR="009D112F" w:rsidRDefault="009D112F" w:rsidP="009D112F">
      <w:pPr>
        <w:jc w:val="both"/>
        <w:rPr>
          <w:rFonts w:ascii="Verdana" w:hAnsi="Verdana"/>
        </w:rPr>
      </w:pPr>
    </w:p>
    <w:p w14:paraId="43E0AE39" w14:textId="7815CD5A" w:rsidR="009D112F" w:rsidRPr="009D112F" w:rsidRDefault="00AC3F76" w:rsidP="00AC3F76">
      <w:pPr>
        <w:pStyle w:val="Heading2"/>
        <w:numPr>
          <w:ilvl w:val="0"/>
          <w:numId w:val="0"/>
        </w:numPr>
        <w:tabs>
          <w:tab w:val="clear" w:pos="1701"/>
          <w:tab w:val="left" w:pos="1418"/>
        </w:tabs>
        <w:ind w:left="426"/>
      </w:pPr>
      <w:r>
        <w:t>Artykuł 25</w:t>
      </w:r>
      <w:r>
        <w:br/>
        <w:t>Zajęcie zapobiegawcze</w:t>
      </w:r>
    </w:p>
    <w:p w14:paraId="0BE9E5AF" w14:textId="3FC2B62D" w:rsidR="009D112F" w:rsidRDefault="009D112F" w:rsidP="009D112F">
      <w:pPr>
        <w:jc w:val="both"/>
        <w:rPr>
          <w:rFonts w:ascii="Verdana" w:hAnsi="Verdana"/>
        </w:rPr>
      </w:pPr>
      <w:r>
        <w:rPr>
          <w:rFonts w:ascii="Verdana" w:hAnsi="Verdana"/>
        </w:rPr>
        <w:t xml:space="preserve">Właściwy organ może, w razie potrzeby, ustalić tymczasowe zajęcie aktywów i dokumentów zgodnie z art. 42 Ramowej ustawy o przestępstwach administracyjnych w zakresie ochrony środowiska lub zajęcie przedmiotów zgodnie z systemem prawnym dotyczącym gospodarczych wykroczeń administracyjnych. </w:t>
      </w:r>
    </w:p>
    <w:p w14:paraId="40F71398" w14:textId="77777777" w:rsidR="009D112F" w:rsidRPr="003F6B93" w:rsidRDefault="009D112F" w:rsidP="009D112F">
      <w:pPr>
        <w:jc w:val="both"/>
        <w:rPr>
          <w:rFonts w:ascii="Verdana" w:hAnsi="Verdana"/>
        </w:rPr>
      </w:pPr>
    </w:p>
    <w:p w14:paraId="588A90F5" w14:textId="50AF98BA" w:rsidR="00A172F1" w:rsidRPr="003F6B93" w:rsidRDefault="00DD1E2B" w:rsidP="001E4779">
      <w:pPr>
        <w:pStyle w:val="Heading1"/>
        <w:tabs>
          <w:tab w:val="clear" w:pos="3969"/>
          <w:tab w:val="left" w:pos="2410"/>
        </w:tabs>
      </w:pPr>
      <w:r>
        <w:br/>
        <w:t xml:space="preserve">Zmiany ustawodawcze </w:t>
      </w:r>
    </w:p>
    <w:p w14:paraId="3E28DF84" w14:textId="6C30B52E" w:rsidR="008B4B7F" w:rsidRPr="00007109" w:rsidRDefault="008B4B7F" w:rsidP="00A172F1">
      <w:pPr>
        <w:jc w:val="both"/>
        <w:rPr>
          <w:rFonts w:ascii="Verdana" w:hAnsi="Verdana"/>
        </w:rPr>
      </w:pPr>
    </w:p>
    <w:p w14:paraId="1E8AFD6F" w14:textId="4E66953E" w:rsidR="00054EAE" w:rsidRDefault="00AC3F76" w:rsidP="00AC3F76">
      <w:pPr>
        <w:pStyle w:val="Heading2"/>
        <w:numPr>
          <w:ilvl w:val="0"/>
          <w:numId w:val="0"/>
        </w:numPr>
        <w:tabs>
          <w:tab w:val="clear" w:pos="1701"/>
          <w:tab w:val="left" w:pos="1560"/>
        </w:tabs>
        <w:ind w:left="426"/>
      </w:pPr>
      <w:r>
        <w:t>Artykuł 26</w:t>
      </w:r>
      <w:r>
        <w:br/>
        <w:t>Zmiana ustawy nr 77/2019 z dnia 2 września</w:t>
      </w:r>
    </w:p>
    <w:p w14:paraId="5E323956" w14:textId="77777777" w:rsidR="00A76322" w:rsidRPr="00007109" w:rsidRDefault="00A76322" w:rsidP="00007109">
      <w:pPr>
        <w:jc w:val="both"/>
        <w:rPr>
          <w:rFonts w:ascii="Verdana" w:hAnsi="Verdana"/>
        </w:rPr>
      </w:pPr>
    </w:p>
    <w:p w14:paraId="55295FC4" w14:textId="1EB7775E" w:rsidR="00054EAE" w:rsidRPr="00007109" w:rsidRDefault="00054EAE" w:rsidP="00007109">
      <w:pPr>
        <w:jc w:val="both"/>
        <w:rPr>
          <w:rFonts w:ascii="Verdana" w:hAnsi="Verdana"/>
        </w:rPr>
      </w:pPr>
      <w:r>
        <w:rPr>
          <w:rFonts w:ascii="Verdana" w:hAnsi="Verdana"/>
        </w:rPr>
        <w:t>Artykuły 1, 2, 3, 4, 5, 6 i 7 ustawy nr 77/2019 z dnia 2 września otrzymują następujące brzmienie:</w:t>
      </w:r>
    </w:p>
    <w:p w14:paraId="775CD874" w14:textId="77777777" w:rsidR="006A3393" w:rsidRPr="00007109" w:rsidRDefault="006A3393" w:rsidP="00007109">
      <w:pPr>
        <w:jc w:val="both"/>
        <w:rPr>
          <w:rFonts w:ascii="Verdana" w:hAnsi="Verdana"/>
        </w:rPr>
      </w:pPr>
    </w:p>
    <w:p w14:paraId="2F4BD73E" w14:textId="7F37B1FF" w:rsidR="00054EAE" w:rsidRPr="008E2CAE" w:rsidRDefault="000600E7" w:rsidP="00054EAE">
      <w:pPr>
        <w:spacing w:after="0" w:line="360" w:lineRule="auto"/>
        <w:jc w:val="center"/>
        <w:rPr>
          <w:rFonts w:ascii="Verdana" w:hAnsi="Verdana" w:cstheme="minorHAnsi"/>
        </w:rPr>
      </w:pPr>
      <w:r>
        <w:rPr>
          <w:rFonts w:ascii="Verdana" w:hAnsi="Verdana"/>
        </w:rPr>
        <w:t>„</w:t>
      </w:r>
      <w:r>
        <w:t>Artykuł 1</w:t>
      </w:r>
    </w:p>
    <w:p w14:paraId="0B8D34BA"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432C76D2" w14:textId="51A6EFAC" w:rsidR="00054EAE" w:rsidRPr="00007109" w:rsidRDefault="00054EAE" w:rsidP="00007109">
      <w:pPr>
        <w:jc w:val="both"/>
        <w:rPr>
          <w:rFonts w:ascii="Verdana" w:hAnsi="Verdana"/>
        </w:rPr>
      </w:pPr>
      <w:bookmarkStart w:id="53" w:name="_Hlk65428420"/>
      <w:r>
        <w:rPr>
          <w:rFonts w:ascii="Verdana" w:hAnsi="Verdana"/>
        </w:rPr>
        <w:t xml:space="preserve">Niniejsze rozporządzenie zakazuje udostępniania bardzo lekkich plastikowych toreb i jednorazowych pojemników z tworzyw sztucznych, takich jak kuwety i pudełka, z wieczkiem lub bez wieczka, we wprowadzaniu do obrotu wyrobów piekarniczych i cukierniczych, owoców i warzyw w sklepach, a także wprowadza obowiązek udostępniania konsumentom końcowym rozwiązań alternatywnych dla stosowania bardzo lekkich toreb plastikowych. </w:t>
      </w:r>
    </w:p>
    <w:bookmarkEnd w:id="53"/>
    <w:p w14:paraId="1BD7396C" w14:textId="77777777" w:rsidR="00054EAE" w:rsidRPr="00007109" w:rsidRDefault="00054EAE" w:rsidP="00007109">
      <w:pPr>
        <w:jc w:val="both"/>
        <w:rPr>
          <w:rFonts w:ascii="Verdana" w:hAnsi="Verdana"/>
        </w:rPr>
      </w:pPr>
    </w:p>
    <w:p w14:paraId="2AC2A3A0" w14:textId="77777777" w:rsidR="00054EAE" w:rsidRPr="008E2CAE" w:rsidRDefault="00054EAE" w:rsidP="00054EAE">
      <w:pPr>
        <w:spacing w:after="0" w:line="360" w:lineRule="auto"/>
        <w:jc w:val="center"/>
        <w:rPr>
          <w:rFonts w:ascii="Verdana" w:hAnsi="Verdana" w:cstheme="minorHAnsi"/>
        </w:rPr>
      </w:pPr>
      <w:r>
        <w:rPr>
          <w:rFonts w:ascii="Verdana" w:hAnsi="Verdana"/>
        </w:rPr>
        <w:t>Artykuł 2</w:t>
      </w:r>
    </w:p>
    <w:p w14:paraId="080BFE3B" w14:textId="77777777" w:rsidR="00054EAE" w:rsidRPr="008E2CAE" w:rsidRDefault="00054EAE" w:rsidP="00054EAE">
      <w:pPr>
        <w:spacing w:after="0" w:line="360" w:lineRule="auto"/>
        <w:jc w:val="center"/>
        <w:rPr>
          <w:rFonts w:ascii="Verdana" w:hAnsi="Verdana" w:cstheme="minorHAnsi"/>
        </w:rPr>
      </w:pPr>
      <w:r>
        <w:rPr>
          <w:rFonts w:ascii="Verdana" w:hAnsi="Verdana"/>
        </w:rPr>
        <w:lastRenderedPageBreak/>
        <w:t>[…]</w:t>
      </w:r>
    </w:p>
    <w:p w14:paraId="4F24CD63" w14:textId="77777777" w:rsidR="00054EAE" w:rsidRPr="00007109" w:rsidRDefault="00054EAE" w:rsidP="00007109">
      <w:pPr>
        <w:jc w:val="both"/>
        <w:rPr>
          <w:rFonts w:ascii="Verdana" w:hAnsi="Verdana"/>
        </w:rPr>
      </w:pPr>
      <w:r>
        <w:rPr>
          <w:rFonts w:ascii="Verdana" w:hAnsi="Verdana"/>
        </w:rPr>
        <w:t xml:space="preserve">Do celów niniejszej ustawy stosuje się następujące definicje: </w:t>
      </w:r>
    </w:p>
    <w:p w14:paraId="53E227F4" w14:textId="3871EE5A" w:rsidR="00054EAE" w:rsidRPr="001D278E" w:rsidRDefault="00054EAE" w:rsidP="00C525D6">
      <w:pPr>
        <w:pStyle w:val="ListParagraph"/>
        <w:numPr>
          <w:ilvl w:val="1"/>
          <w:numId w:val="57"/>
        </w:numPr>
        <w:spacing w:after="0"/>
        <w:ind w:left="1134"/>
        <w:jc w:val="both"/>
        <w:rPr>
          <w:rFonts w:ascii="Verdana" w:hAnsi="Verdana"/>
        </w:rPr>
      </w:pPr>
      <w:bookmarkStart w:id="54" w:name="_Hlk65428543"/>
      <w:r>
        <w:rPr>
          <w:rFonts w:ascii="Verdana" w:hAnsi="Verdana"/>
        </w:rPr>
        <w:t>„Bardzo lekkie plastikowe torby” oznaczają plastikowe torby o grubości mniejszej niż 15 mikronów niezbędne do celów higienicznych lub dostarczane jako opakowanie podstawowe do niepakowanego chleba, owoców i warzyw;</w:t>
      </w:r>
    </w:p>
    <w:bookmarkEnd w:id="54"/>
    <w:p w14:paraId="26239E9F" w14:textId="1D1F40AF" w:rsidR="00054EAE" w:rsidRPr="001D278E" w:rsidRDefault="00054EAE" w:rsidP="00C525D6">
      <w:pPr>
        <w:pStyle w:val="ListParagraph"/>
        <w:numPr>
          <w:ilvl w:val="1"/>
          <w:numId w:val="57"/>
        </w:numPr>
        <w:spacing w:after="0"/>
        <w:ind w:left="1134"/>
        <w:jc w:val="both"/>
        <w:rPr>
          <w:rFonts w:ascii="Verdana" w:hAnsi="Verdana"/>
        </w:rPr>
      </w:pPr>
      <w:r>
        <w:rPr>
          <w:rFonts w:ascii="Verdana" w:hAnsi="Verdana"/>
        </w:rPr>
        <w:t>„Biodegradowalne tworzywo sztuczne” oznacza tworzywo sztuczne zdolne do rozkładu fizycznego i biologicznego, które ostatecznie ulega rozkładowi na dwutlenek węgla (CO</w:t>
      </w:r>
      <w:r>
        <w:rPr>
          <w:rFonts w:ascii="Verdana" w:hAnsi="Verdana"/>
          <w:vertAlign w:val="subscript"/>
        </w:rPr>
        <w:t>2</w:t>
      </w:r>
      <w:r>
        <w:rPr>
          <w:rFonts w:ascii="Verdana" w:hAnsi="Verdana"/>
        </w:rPr>
        <w:t>), biomasę i wodę oraz jest, zgodnie z europejskimi normami dotyczącymi pakowania, możliwe do odzyskiwania poprzez kompostowanie i fermentację beztlenową;</w:t>
      </w:r>
    </w:p>
    <w:p w14:paraId="3F891194" w14:textId="44E496B7" w:rsidR="00054EAE" w:rsidRPr="001D278E" w:rsidRDefault="00054EAE" w:rsidP="00C525D6">
      <w:pPr>
        <w:pStyle w:val="ListParagraph"/>
        <w:numPr>
          <w:ilvl w:val="1"/>
          <w:numId w:val="57"/>
        </w:numPr>
        <w:spacing w:after="0"/>
        <w:ind w:left="1134"/>
        <w:jc w:val="both"/>
        <w:rPr>
          <w:rFonts w:ascii="Verdana" w:hAnsi="Verdana"/>
        </w:rPr>
      </w:pPr>
      <w:bookmarkStart w:id="55" w:name="_Hlk65428640"/>
      <w:r>
        <w:rPr>
          <w:rFonts w:ascii="Verdana" w:hAnsi="Verdana"/>
        </w:rPr>
        <w:t>„Przedsiębiorstwo handlowe” oznacza każdy stały zakład handlu detalicznego, w którym dostawca towarów lub dostawca usług gastronomicznych prowadzi swoją działalność na stałe i który sprzedaje chleb, owoce i warzywa, objęty systemem prawnym dotyczącym dostępu do działalności handlowej, usługowej i gastronomicznej, zatwierdzonym dekretem z mocą ustawy nr 10/2015 z dnia 16 stycznia, zmienionym dekretem z mocą ustawy nr 102/2017 z dnia 23 sierpnia oraz ustawą nr 15/2018 z dnia 27.</w:t>
      </w:r>
    </w:p>
    <w:bookmarkEnd w:id="55"/>
    <w:p w14:paraId="320C7822" w14:textId="77777777" w:rsidR="00054EAE" w:rsidRPr="008B374C" w:rsidRDefault="00054EAE" w:rsidP="00054EAE">
      <w:pPr>
        <w:spacing w:after="0" w:line="360" w:lineRule="auto"/>
        <w:jc w:val="center"/>
        <w:rPr>
          <w:rFonts w:ascii="Verdana" w:hAnsi="Verdana" w:cstheme="minorHAnsi"/>
        </w:rPr>
      </w:pPr>
    </w:p>
    <w:p w14:paraId="23698E8A" w14:textId="77777777" w:rsidR="00054EAE" w:rsidRPr="008B374C" w:rsidRDefault="00054EAE" w:rsidP="00054EAE">
      <w:pPr>
        <w:spacing w:after="0" w:line="360" w:lineRule="auto"/>
        <w:jc w:val="center"/>
        <w:rPr>
          <w:rFonts w:ascii="Verdana" w:hAnsi="Verdana" w:cstheme="minorHAnsi"/>
        </w:rPr>
      </w:pPr>
      <w:r>
        <w:rPr>
          <w:rFonts w:ascii="Verdana" w:hAnsi="Verdana"/>
        </w:rPr>
        <w:t>Artykuł 3</w:t>
      </w:r>
    </w:p>
    <w:p w14:paraId="238E03F9" w14:textId="77777777" w:rsidR="00054EAE" w:rsidRPr="008B374C" w:rsidRDefault="00054EAE" w:rsidP="00054EAE">
      <w:pPr>
        <w:spacing w:after="0" w:line="360" w:lineRule="auto"/>
        <w:jc w:val="center"/>
        <w:rPr>
          <w:rFonts w:ascii="Verdana" w:hAnsi="Verdana" w:cstheme="minorHAnsi"/>
        </w:rPr>
      </w:pPr>
      <w:r>
        <w:rPr>
          <w:rFonts w:ascii="Verdana" w:hAnsi="Verdana"/>
        </w:rPr>
        <w:t>[…]</w:t>
      </w:r>
    </w:p>
    <w:p w14:paraId="1A3B3802" w14:textId="4C305360" w:rsidR="00054EAE" w:rsidRPr="00007109" w:rsidRDefault="00054EAE" w:rsidP="00007109">
      <w:pPr>
        <w:jc w:val="both"/>
        <w:rPr>
          <w:rFonts w:ascii="Verdana" w:hAnsi="Verdana"/>
        </w:rPr>
      </w:pPr>
      <w:r>
        <w:rPr>
          <w:rFonts w:ascii="Verdana" w:hAnsi="Verdana"/>
        </w:rPr>
        <w:t>Ustawa ta ma zastosowanie do wszystkich przedsiębiorstw handlowych, w których wprowadzane są do obrotu wyroby piekarnicze i cukiernicze, owoce i warzywa.</w:t>
      </w:r>
    </w:p>
    <w:p w14:paraId="6CE06251" w14:textId="77777777" w:rsidR="00054EAE" w:rsidRPr="008E2CAE" w:rsidRDefault="00054EAE" w:rsidP="00054EAE">
      <w:pPr>
        <w:spacing w:after="0" w:line="360" w:lineRule="auto"/>
        <w:jc w:val="center"/>
        <w:rPr>
          <w:rFonts w:ascii="Verdana" w:hAnsi="Verdana" w:cstheme="minorHAnsi"/>
        </w:rPr>
      </w:pPr>
    </w:p>
    <w:p w14:paraId="7728A31A" w14:textId="77777777" w:rsidR="00054EAE" w:rsidRPr="008E2CAE" w:rsidRDefault="00054EAE" w:rsidP="00054EAE">
      <w:pPr>
        <w:spacing w:after="0" w:line="360" w:lineRule="auto"/>
        <w:jc w:val="center"/>
        <w:rPr>
          <w:rFonts w:ascii="Verdana" w:hAnsi="Verdana" w:cstheme="minorHAnsi"/>
        </w:rPr>
      </w:pPr>
      <w:r>
        <w:rPr>
          <w:rFonts w:ascii="Verdana" w:hAnsi="Verdana"/>
        </w:rPr>
        <w:t>Artykuł 4</w:t>
      </w:r>
    </w:p>
    <w:p w14:paraId="6D060904" w14:textId="77777777" w:rsidR="00054EAE" w:rsidRPr="008E2CAE" w:rsidRDefault="00054EAE" w:rsidP="00054EAE">
      <w:pPr>
        <w:spacing w:after="0" w:line="360" w:lineRule="auto"/>
        <w:jc w:val="center"/>
        <w:rPr>
          <w:rFonts w:ascii="Verdana" w:hAnsi="Verdana" w:cstheme="minorHAnsi"/>
        </w:rPr>
      </w:pPr>
      <w:r>
        <w:rPr>
          <w:rFonts w:ascii="Verdana" w:hAnsi="Verdana"/>
        </w:rPr>
        <w:t>[…]</w:t>
      </w:r>
    </w:p>
    <w:p w14:paraId="797D8056" w14:textId="4A1A464E" w:rsidR="00A75014" w:rsidRPr="00007109" w:rsidRDefault="00EB2667" w:rsidP="00C525D6">
      <w:pPr>
        <w:pStyle w:val="ListParagraph"/>
        <w:numPr>
          <w:ilvl w:val="0"/>
          <w:numId w:val="58"/>
        </w:numPr>
        <w:ind w:left="709"/>
        <w:jc w:val="both"/>
        <w:rPr>
          <w:rFonts w:ascii="Verdana" w:hAnsi="Verdana"/>
        </w:rPr>
      </w:pPr>
      <w:r>
        <w:rPr>
          <w:rFonts w:ascii="Verdana" w:hAnsi="Verdana"/>
        </w:rPr>
        <w:t>Od dnia 1 czerwca 2023 r. sklepy nie mogą:</w:t>
      </w:r>
    </w:p>
    <w:p w14:paraId="4B1574A0" w14:textId="583FEA2E" w:rsidR="00EB2667" w:rsidRPr="00007109" w:rsidRDefault="00A75014" w:rsidP="00C525D6">
      <w:pPr>
        <w:pStyle w:val="ListParagraph"/>
        <w:numPr>
          <w:ilvl w:val="1"/>
          <w:numId w:val="59"/>
        </w:numPr>
        <w:spacing w:after="0"/>
        <w:ind w:left="1134"/>
        <w:jc w:val="both"/>
        <w:rPr>
          <w:rFonts w:ascii="Verdana" w:hAnsi="Verdana"/>
        </w:rPr>
      </w:pPr>
      <w:r>
        <w:t xml:space="preserve">dostarczać bardzo lekkich plastikowych toreb do pakowania </w:t>
      </w:r>
      <w:bookmarkStart w:id="56" w:name="_Hlk66404382"/>
      <w:r>
        <w:t>wyrobów piekarniczych i ciast</w:t>
      </w:r>
      <w:bookmarkEnd w:id="56"/>
      <w:r>
        <w:t>, owoców i warzyw;</w:t>
      </w:r>
    </w:p>
    <w:p w14:paraId="1B94BFF0" w14:textId="71559D2A" w:rsidR="00054EAE" w:rsidRPr="00007109" w:rsidRDefault="00A75014" w:rsidP="00C525D6">
      <w:pPr>
        <w:pStyle w:val="ListParagraph"/>
        <w:numPr>
          <w:ilvl w:val="1"/>
          <w:numId w:val="59"/>
        </w:numPr>
        <w:spacing w:after="0"/>
        <w:ind w:left="1134"/>
        <w:jc w:val="both"/>
        <w:rPr>
          <w:rFonts w:ascii="Verdana" w:hAnsi="Verdana"/>
        </w:rPr>
      </w:pPr>
      <w:r>
        <w:rPr>
          <w:rFonts w:ascii="Verdana" w:hAnsi="Verdana"/>
        </w:rPr>
        <w:t>sprzedawać bardzo lekkich plastikowych torbach do pakowania wyrobów piekarniczych i ciast, owoców i warzyw w miejscu sprzedaży.</w:t>
      </w:r>
    </w:p>
    <w:p w14:paraId="349419CD" w14:textId="5F81FD4E" w:rsidR="00054EAE" w:rsidRPr="00007109" w:rsidRDefault="00EB2667" w:rsidP="00C525D6">
      <w:pPr>
        <w:pStyle w:val="ListParagraph"/>
        <w:numPr>
          <w:ilvl w:val="0"/>
          <w:numId w:val="58"/>
        </w:numPr>
        <w:ind w:left="709"/>
        <w:jc w:val="both"/>
        <w:rPr>
          <w:rFonts w:ascii="Verdana" w:hAnsi="Verdana"/>
        </w:rPr>
      </w:pPr>
      <w:r>
        <w:lastRenderedPageBreak/>
        <w:t xml:space="preserve">Od dnia 1 czerwca 2023 r. sklepy nie mogą </w:t>
      </w:r>
      <w:bookmarkStart w:id="57" w:name="_Hlk66404823"/>
      <w:r>
        <w:t>wprowadzać do obrotu wyrobów piekarniczych i ciast, owoców i warzyw zapakowanych w jednorazowe plastikowe pojemniki, takie jak kuwety i pudełka, z wieczkiem lub bez.</w:t>
      </w:r>
      <w:r>
        <w:rPr>
          <w:rFonts w:ascii="Verdana" w:hAnsi="Verdana"/>
        </w:rPr>
        <w:t xml:space="preserve"> </w:t>
      </w:r>
      <w:bookmarkEnd w:id="57"/>
    </w:p>
    <w:p w14:paraId="70876CC6" w14:textId="7D41C726" w:rsidR="00007109" w:rsidRDefault="00974F5D" w:rsidP="00C525D6">
      <w:pPr>
        <w:pStyle w:val="ListParagraph"/>
        <w:numPr>
          <w:ilvl w:val="0"/>
          <w:numId w:val="58"/>
        </w:numPr>
        <w:ind w:left="709"/>
        <w:jc w:val="both"/>
        <w:rPr>
          <w:rFonts w:ascii="Verdana" w:hAnsi="Verdana"/>
        </w:rPr>
      </w:pPr>
      <w:r>
        <w:rPr>
          <w:rFonts w:ascii="Verdana" w:hAnsi="Verdana"/>
        </w:rPr>
        <w:t>Torby wyprodukowane z tworzyw sztucznych, które są biodegradowalne i kompostowalne zgodnie z odpowiednimi bieżącymi normami, są wyłączone z zakazu ustanowionego w ust. 1, pod warunkiem że nie są udostępniane bezpłatnie.</w:t>
      </w:r>
    </w:p>
    <w:p w14:paraId="00BA235A" w14:textId="1664DBFF" w:rsidR="00974F5D" w:rsidRPr="00007109" w:rsidRDefault="00974F5D" w:rsidP="00C525D6">
      <w:pPr>
        <w:pStyle w:val="ListParagraph"/>
        <w:numPr>
          <w:ilvl w:val="0"/>
          <w:numId w:val="58"/>
        </w:numPr>
        <w:ind w:left="709"/>
        <w:jc w:val="both"/>
        <w:rPr>
          <w:rFonts w:ascii="Verdana" w:hAnsi="Verdana"/>
        </w:rPr>
      </w:pPr>
      <w:r>
        <w:rPr>
          <w:rFonts w:ascii="Verdana" w:hAnsi="Verdana"/>
        </w:rPr>
        <w:t>Pojemniki wyprodukowane z tworzyw sztucznych, które są biodegradowalne i kompostowalne zgodnie z odpowiednimi bieżącymi normami, są wyłączone z zakazu ustanowionego w ust. 2, pod warunkiem że nie są udostępniane bezpłatnie ze względu na cele higieniczne i/lub bezpieczeństwo żywności.</w:t>
      </w:r>
    </w:p>
    <w:p w14:paraId="52622FDE" w14:textId="1BD3261A" w:rsidR="00974F5D" w:rsidRPr="00007109" w:rsidRDefault="00974F5D" w:rsidP="00007109">
      <w:pPr>
        <w:jc w:val="both"/>
        <w:rPr>
          <w:rFonts w:ascii="Verdana" w:hAnsi="Verdana"/>
        </w:rPr>
      </w:pPr>
    </w:p>
    <w:p w14:paraId="4ABB2644" w14:textId="77777777" w:rsidR="00054EAE" w:rsidRPr="00007109" w:rsidRDefault="00054EAE" w:rsidP="00007109">
      <w:pPr>
        <w:jc w:val="both"/>
        <w:rPr>
          <w:rFonts w:ascii="Verdana" w:hAnsi="Verdana"/>
        </w:rPr>
      </w:pPr>
    </w:p>
    <w:p w14:paraId="08B7CA3C" w14:textId="77777777" w:rsidR="00054EAE" w:rsidRPr="008E2CAE" w:rsidRDefault="00054EAE" w:rsidP="00054EAE">
      <w:pPr>
        <w:spacing w:after="0" w:line="360" w:lineRule="auto"/>
        <w:jc w:val="center"/>
        <w:rPr>
          <w:rFonts w:ascii="Verdana" w:hAnsi="Verdana" w:cstheme="minorHAnsi"/>
        </w:rPr>
      </w:pPr>
      <w:r>
        <w:rPr>
          <w:rFonts w:ascii="Verdana" w:hAnsi="Verdana"/>
        </w:rPr>
        <w:t>Artykuł 5</w:t>
      </w:r>
    </w:p>
    <w:p w14:paraId="0DD616DF" w14:textId="186D58DF" w:rsidR="00054EAE" w:rsidRDefault="00054EAE" w:rsidP="00054EAE">
      <w:pPr>
        <w:spacing w:after="0" w:line="360" w:lineRule="auto"/>
        <w:jc w:val="center"/>
        <w:rPr>
          <w:rFonts w:ascii="Verdana" w:hAnsi="Verdana" w:cstheme="minorHAnsi"/>
        </w:rPr>
      </w:pPr>
      <w:r>
        <w:rPr>
          <w:rFonts w:ascii="Verdana" w:hAnsi="Verdana"/>
        </w:rPr>
        <w:t>[…]</w:t>
      </w:r>
    </w:p>
    <w:p w14:paraId="35F718E3" w14:textId="77777777" w:rsidR="00827E7D" w:rsidRPr="008E2CAE" w:rsidRDefault="00827E7D" w:rsidP="00054EAE">
      <w:pPr>
        <w:spacing w:after="0" w:line="360" w:lineRule="auto"/>
        <w:jc w:val="center"/>
        <w:rPr>
          <w:rFonts w:ascii="Verdana" w:hAnsi="Verdana" w:cstheme="minorHAnsi"/>
        </w:rPr>
      </w:pPr>
    </w:p>
    <w:p w14:paraId="578A57D7" w14:textId="3B2A8640" w:rsidR="00974F5D" w:rsidRPr="00007109" w:rsidRDefault="00827E7D" w:rsidP="00007109">
      <w:pPr>
        <w:jc w:val="both"/>
        <w:rPr>
          <w:rFonts w:ascii="Verdana" w:hAnsi="Verdana"/>
        </w:rPr>
      </w:pPr>
      <w:bookmarkStart w:id="58" w:name="_Hlk65430716"/>
      <w:r>
        <w:t xml:space="preserve">Od dnia 1 stycznia 2022 r., w punktach sprzedaży produktów nieopakowanych, obowiązkowe jest dostarczanie konsumentom alternatyw wielokrotnego użytku w odniesieniu do </w:t>
      </w:r>
      <w:bookmarkStart w:id="59" w:name="_Hlk66404649"/>
      <w:r>
        <w:t>pakowania wyrobów piekarniczych i ciast, owoców i warzyw</w:t>
      </w:r>
      <w:bookmarkEnd w:id="59"/>
      <w:r>
        <w:t>, lub, w przypadku gdy nie jest to możliwe, alternatywnych produktów wykonanych z jednego materiału.</w:t>
      </w:r>
    </w:p>
    <w:bookmarkEnd w:id="58"/>
    <w:p w14:paraId="236B55B4" w14:textId="77777777" w:rsidR="00054EAE" w:rsidRPr="00007109" w:rsidRDefault="00054EAE" w:rsidP="00007109">
      <w:pPr>
        <w:jc w:val="both"/>
        <w:rPr>
          <w:rFonts w:ascii="Verdana" w:hAnsi="Verdana"/>
        </w:rPr>
      </w:pPr>
    </w:p>
    <w:p w14:paraId="5573C051" w14:textId="77777777" w:rsidR="00054EAE" w:rsidRPr="008E2CAE" w:rsidRDefault="00054EAE" w:rsidP="00054EAE">
      <w:pPr>
        <w:spacing w:after="0" w:line="360" w:lineRule="auto"/>
        <w:jc w:val="center"/>
        <w:rPr>
          <w:rFonts w:ascii="Verdana" w:hAnsi="Verdana" w:cstheme="minorHAnsi"/>
        </w:rPr>
      </w:pPr>
      <w:r>
        <w:rPr>
          <w:rFonts w:ascii="Verdana" w:hAnsi="Verdana"/>
        </w:rPr>
        <w:t>Artykuł 6</w:t>
      </w:r>
    </w:p>
    <w:p w14:paraId="54A5D17F" w14:textId="638286F1" w:rsidR="00054EAE" w:rsidRDefault="00054EAE" w:rsidP="00054EAE">
      <w:pPr>
        <w:spacing w:after="0" w:line="360" w:lineRule="auto"/>
        <w:jc w:val="center"/>
        <w:rPr>
          <w:rFonts w:ascii="Verdana" w:hAnsi="Verdana"/>
        </w:rPr>
      </w:pPr>
      <w:r>
        <w:rPr>
          <w:rFonts w:ascii="Verdana" w:hAnsi="Verdana"/>
        </w:rPr>
        <w:t>[…]</w:t>
      </w:r>
    </w:p>
    <w:p w14:paraId="217FBA86" w14:textId="77777777" w:rsidR="00827E7D" w:rsidRPr="008E2CAE" w:rsidRDefault="00827E7D" w:rsidP="00054EAE">
      <w:pPr>
        <w:spacing w:after="0" w:line="360" w:lineRule="auto"/>
        <w:jc w:val="center"/>
        <w:rPr>
          <w:rFonts w:ascii="Verdana" w:hAnsi="Verdana"/>
        </w:rPr>
      </w:pPr>
    </w:p>
    <w:p w14:paraId="6100731A" w14:textId="7DE7DB9C" w:rsidR="006923D5" w:rsidRPr="008E2CAE" w:rsidRDefault="00054EAE" w:rsidP="00C525D6">
      <w:pPr>
        <w:pStyle w:val="ListParagraph"/>
        <w:numPr>
          <w:ilvl w:val="0"/>
          <w:numId w:val="60"/>
        </w:numPr>
        <w:ind w:left="709"/>
        <w:jc w:val="both"/>
        <w:rPr>
          <w:rFonts w:ascii="Verdana" w:hAnsi="Verdana"/>
        </w:rPr>
      </w:pPr>
      <w:bookmarkStart w:id="60" w:name="_Hlk37520532"/>
      <w:r>
        <w:rPr>
          <w:rFonts w:ascii="Verdana" w:hAnsi="Verdana"/>
        </w:rPr>
        <w:t xml:space="preserve">Poniżej wyszczególnione są drobne gospodarcze wykroczenia administracyjne, podlegające karze w ramach systemu prawnego dotyczącego gospodarczych przestępstw administracyjnych, zatwierdzonego dekretem z mocą ustawy nr 9/2021 z dnia 29 stycznia (RJCE): </w:t>
      </w:r>
    </w:p>
    <w:p w14:paraId="7862C874" w14:textId="597B1A91" w:rsidR="00054EAE" w:rsidRPr="008E2CAE" w:rsidRDefault="0069117E" w:rsidP="00C525D6">
      <w:pPr>
        <w:pStyle w:val="ListParagraph"/>
        <w:numPr>
          <w:ilvl w:val="1"/>
          <w:numId w:val="61"/>
        </w:numPr>
        <w:spacing w:after="0"/>
        <w:ind w:left="1134"/>
        <w:jc w:val="both"/>
        <w:rPr>
          <w:rFonts w:ascii="Verdana" w:hAnsi="Verdana"/>
        </w:rPr>
      </w:pPr>
      <w:r>
        <w:rPr>
          <w:rFonts w:ascii="Verdana" w:hAnsi="Verdana"/>
        </w:rPr>
        <w:t>brak alternatyw nadających się do ponownego użycia lub wykonanego z jednego materiału dla konsumentów zgodnie z poprzednim artykułem;</w:t>
      </w:r>
    </w:p>
    <w:p w14:paraId="2C6EB85E" w14:textId="24F74B4E" w:rsidR="00590C52" w:rsidRDefault="0069117E" w:rsidP="00C525D6">
      <w:pPr>
        <w:pStyle w:val="ListParagraph"/>
        <w:numPr>
          <w:ilvl w:val="1"/>
          <w:numId w:val="61"/>
        </w:numPr>
        <w:spacing w:after="0"/>
        <w:ind w:left="1134"/>
        <w:jc w:val="both"/>
        <w:rPr>
          <w:rFonts w:ascii="Verdana" w:hAnsi="Verdana"/>
        </w:rPr>
      </w:pPr>
      <w:r>
        <w:rPr>
          <w:rFonts w:ascii="Verdana" w:hAnsi="Verdana"/>
        </w:rPr>
        <w:lastRenderedPageBreak/>
        <w:t xml:space="preserve">udostępnianie bardzo lekkich plastikowych toreb oraz wprowadzanie do obrotu produktów w bardzo lekkich plastikowych torbach zgodnie z art. 4 ust. 1; </w:t>
      </w:r>
    </w:p>
    <w:p w14:paraId="00B109BF" w14:textId="62524D09" w:rsidR="00054EAE" w:rsidRPr="008E2CAE" w:rsidRDefault="00054EAE" w:rsidP="00C525D6">
      <w:pPr>
        <w:pStyle w:val="ListParagraph"/>
        <w:numPr>
          <w:ilvl w:val="1"/>
          <w:numId w:val="61"/>
        </w:numPr>
        <w:spacing w:after="0"/>
        <w:ind w:left="1134"/>
        <w:jc w:val="both"/>
        <w:rPr>
          <w:rFonts w:ascii="Verdana" w:hAnsi="Verdana"/>
        </w:rPr>
      </w:pPr>
      <w:r>
        <w:rPr>
          <w:rFonts w:ascii="Verdana" w:hAnsi="Verdana"/>
        </w:rPr>
        <w:t xml:space="preserve"> wprowadzanie do obrotu produktów pakowanych w pojemniki jednorazowego użytku, takie jak kuwety i pudełka, z wieczkiem lub bez, zgodnie z art. 4 ust. 2.</w:t>
      </w:r>
    </w:p>
    <w:p w14:paraId="1597C149" w14:textId="50E38EC0" w:rsidR="00054EAE" w:rsidRPr="008E2CAE" w:rsidRDefault="00054EAE" w:rsidP="00C525D6">
      <w:pPr>
        <w:pStyle w:val="ListParagraph"/>
        <w:numPr>
          <w:ilvl w:val="0"/>
          <w:numId w:val="60"/>
        </w:numPr>
        <w:ind w:left="709"/>
        <w:jc w:val="both"/>
        <w:rPr>
          <w:rFonts w:ascii="Verdana" w:hAnsi="Verdana"/>
        </w:rPr>
      </w:pPr>
      <w:r>
        <w:rPr>
          <w:rFonts w:ascii="Verdana" w:hAnsi="Verdana"/>
        </w:rPr>
        <w:t xml:space="preserve">Próby i zaniedbania są karane przez RJCE. </w:t>
      </w:r>
    </w:p>
    <w:bookmarkEnd w:id="60"/>
    <w:p w14:paraId="746A881B" w14:textId="77777777" w:rsidR="00054EAE" w:rsidRPr="008E2CAE" w:rsidRDefault="00054EAE" w:rsidP="00054EAE">
      <w:pPr>
        <w:spacing w:after="0" w:line="360" w:lineRule="auto"/>
        <w:jc w:val="center"/>
        <w:rPr>
          <w:rFonts w:ascii="Verdana" w:hAnsi="Verdana" w:cstheme="minorHAnsi"/>
        </w:rPr>
      </w:pPr>
    </w:p>
    <w:p w14:paraId="35F456F1" w14:textId="77777777" w:rsidR="00054EAE" w:rsidRPr="008E2CAE" w:rsidRDefault="00054EAE" w:rsidP="00054EAE">
      <w:pPr>
        <w:spacing w:after="0" w:line="360" w:lineRule="auto"/>
        <w:jc w:val="center"/>
        <w:rPr>
          <w:rFonts w:ascii="Verdana" w:hAnsi="Verdana" w:cstheme="minorHAnsi"/>
        </w:rPr>
      </w:pPr>
      <w:r>
        <w:rPr>
          <w:rFonts w:ascii="Verdana" w:hAnsi="Verdana"/>
        </w:rPr>
        <w:t>Artykuł 7</w:t>
      </w:r>
    </w:p>
    <w:p w14:paraId="79B81B03" w14:textId="7DC95F01" w:rsidR="00054EAE" w:rsidRDefault="00054EAE" w:rsidP="00054EAE">
      <w:pPr>
        <w:spacing w:after="0" w:line="360" w:lineRule="auto"/>
        <w:jc w:val="center"/>
        <w:rPr>
          <w:rFonts w:ascii="Verdana" w:hAnsi="Verdana"/>
        </w:rPr>
      </w:pPr>
      <w:r>
        <w:rPr>
          <w:rFonts w:ascii="Verdana" w:hAnsi="Verdana"/>
        </w:rPr>
        <w:t>Monitorowanie, dochodzenie i decyzja</w:t>
      </w:r>
    </w:p>
    <w:p w14:paraId="314E96FC" w14:textId="77777777" w:rsidR="00827E7D" w:rsidRPr="008E2CAE" w:rsidRDefault="00827E7D" w:rsidP="00054EAE">
      <w:pPr>
        <w:spacing w:after="0" w:line="360" w:lineRule="auto"/>
        <w:jc w:val="center"/>
        <w:rPr>
          <w:rFonts w:ascii="Verdana" w:hAnsi="Verdana"/>
        </w:rPr>
      </w:pPr>
    </w:p>
    <w:p w14:paraId="26F13C86" w14:textId="231F066B" w:rsidR="00054EAE" w:rsidRPr="008E2CAE" w:rsidRDefault="00054EAE" w:rsidP="00C525D6">
      <w:pPr>
        <w:pStyle w:val="ListParagraph"/>
        <w:numPr>
          <w:ilvl w:val="0"/>
          <w:numId w:val="62"/>
        </w:numPr>
        <w:ind w:left="709"/>
        <w:jc w:val="both"/>
        <w:rPr>
          <w:rFonts w:ascii="Verdana" w:hAnsi="Verdana"/>
        </w:rPr>
      </w:pPr>
      <w:r>
        <w:rPr>
          <w:rFonts w:ascii="Verdana" w:hAnsi="Verdana"/>
        </w:rPr>
        <w:t>Za monitorowanie zgodności z przepisami niniejszego prawa, w ramach jego odpowiednich uprawnień, odpowiada Urząd ds. Bezpieczeństwa Gospodarczego i Żywnościowego (ASAE), bez uszczerbku dla kompetencji policji i organów administracyjnych.</w:t>
      </w:r>
    </w:p>
    <w:p w14:paraId="0FABB307" w14:textId="0A1F7518" w:rsidR="00054EAE" w:rsidRPr="00007109" w:rsidRDefault="00054EAE" w:rsidP="00C525D6">
      <w:pPr>
        <w:pStyle w:val="ListParagraph"/>
        <w:numPr>
          <w:ilvl w:val="0"/>
          <w:numId w:val="62"/>
        </w:numPr>
        <w:ind w:left="709"/>
        <w:jc w:val="both"/>
        <w:rPr>
          <w:rFonts w:ascii="Verdana" w:hAnsi="Verdana"/>
        </w:rPr>
      </w:pPr>
      <w:r>
        <w:rPr>
          <w:rFonts w:ascii="Verdana" w:hAnsi="Verdana"/>
        </w:rPr>
        <w:t>Do kompetencji ASAE należy zbadanie spraw dotyczących naruszeń, o których mowa w art. 6, oraz podjęcie decyzji o nałożeniu grzywny.</w:t>
      </w:r>
    </w:p>
    <w:p w14:paraId="4207FFB8" w14:textId="77777777" w:rsidR="008B4B7F" w:rsidRPr="003F6B93" w:rsidRDefault="008B4B7F" w:rsidP="008E2CAE">
      <w:pPr>
        <w:jc w:val="center"/>
        <w:rPr>
          <w:rFonts w:ascii="Verdana" w:hAnsi="Verdana"/>
        </w:rPr>
      </w:pPr>
    </w:p>
    <w:p w14:paraId="692CD72B" w14:textId="1CB18418" w:rsidR="008E2CAE" w:rsidRDefault="000600E7" w:rsidP="000600E7">
      <w:pPr>
        <w:pStyle w:val="Heading2"/>
        <w:numPr>
          <w:ilvl w:val="0"/>
          <w:numId w:val="0"/>
        </w:numPr>
        <w:tabs>
          <w:tab w:val="clear" w:pos="1701"/>
          <w:tab w:val="left" w:pos="1418"/>
        </w:tabs>
        <w:ind w:left="426"/>
      </w:pPr>
      <w:r>
        <w:t xml:space="preserve">Artykuł 27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Dodaje się do ustawy nr 77/2019 z dnia 2 września</w:t>
      </w:r>
    </w:p>
    <w:p w14:paraId="23C307B6" w14:textId="77777777" w:rsidR="00827E7D" w:rsidRPr="00007109" w:rsidRDefault="00827E7D" w:rsidP="00007109">
      <w:pPr>
        <w:jc w:val="both"/>
        <w:rPr>
          <w:rFonts w:ascii="Verdana" w:hAnsi="Verdana"/>
        </w:rPr>
      </w:pPr>
    </w:p>
    <w:p w14:paraId="78478EEB" w14:textId="77777777" w:rsidR="008E2CAE" w:rsidRPr="00007109" w:rsidRDefault="008E2CAE" w:rsidP="00007109">
      <w:pPr>
        <w:jc w:val="both"/>
        <w:rPr>
          <w:rFonts w:ascii="Verdana" w:hAnsi="Verdana"/>
        </w:rPr>
      </w:pPr>
      <w:r>
        <w:rPr>
          <w:rFonts w:ascii="Verdana" w:hAnsi="Verdana"/>
        </w:rPr>
        <w:t xml:space="preserve">Następujący art. 7 ust. a dodaje się do ustawy nr 77/2019 z dnia 2 września: </w:t>
      </w:r>
    </w:p>
    <w:p w14:paraId="6C42C8B3" w14:textId="77777777" w:rsidR="008E2CAE" w:rsidRPr="008E2CAE" w:rsidRDefault="008E2CAE" w:rsidP="008E2CAE">
      <w:pPr>
        <w:spacing w:after="0" w:line="360" w:lineRule="auto"/>
        <w:jc w:val="center"/>
        <w:rPr>
          <w:rFonts w:ascii="Verdana" w:hAnsi="Verdana" w:cstheme="minorHAnsi"/>
        </w:rPr>
      </w:pPr>
    </w:p>
    <w:p w14:paraId="591A7AA1" w14:textId="77777777" w:rsidR="008E2CAE" w:rsidRPr="008E2CAE" w:rsidRDefault="008E2CAE" w:rsidP="008E2CAE">
      <w:pPr>
        <w:spacing w:after="0" w:line="360" w:lineRule="auto"/>
        <w:jc w:val="center"/>
        <w:rPr>
          <w:rFonts w:ascii="Verdana" w:hAnsi="Verdana" w:cstheme="minorHAnsi"/>
        </w:rPr>
      </w:pPr>
      <w:r>
        <w:rPr>
          <w:rFonts w:ascii="Verdana" w:hAnsi="Verdana"/>
        </w:rPr>
        <w:t>„Artykuł 7 ust. a</w:t>
      </w:r>
    </w:p>
    <w:p w14:paraId="67DF5936" w14:textId="77777777" w:rsidR="008E2CAE" w:rsidRPr="008E2CAE" w:rsidRDefault="008E2CAE" w:rsidP="008E2CAE">
      <w:pPr>
        <w:spacing w:after="0" w:line="360" w:lineRule="auto"/>
        <w:jc w:val="center"/>
        <w:rPr>
          <w:rFonts w:ascii="Verdana" w:hAnsi="Verdana" w:cstheme="minorHAnsi"/>
          <w:b/>
        </w:rPr>
      </w:pPr>
      <w:r>
        <w:rPr>
          <w:rFonts w:ascii="Verdana" w:hAnsi="Verdana"/>
          <w:b/>
        </w:rPr>
        <w:t>Wpływy z grzywien</w:t>
      </w:r>
    </w:p>
    <w:p w14:paraId="7E6E6DF1" w14:textId="77777777" w:rsidR="008E2CAE" w:rsidRPr="008E2CAE" w:rsidRDefault="008E2CAE" w:rsidP="008E2CAE">
      <w:pPr>
        <w:spacing w:after="0" w:line="360" w:lineRule="auto"/>
        <w:jc w:val="both"/>
        <w:rPr>
          <w:rFonts w:ascii="Verdana" w:hAnsi="Verdana" w:cstheme="minorHAnsi"/>
        </w:rPr>
      </w:pPr>
      <w:r>
        <w:rPr>
          <w:rFonts w:ascii="Verdana" w:hAnsi="Verdana"/>
        </w:rPr>
        <w:t>Wpływy z grzywien przydziela się zgodnie z RJCE.”;</w:t>
      </w:r>
    </w:p>
    <w:p w14:paraId="2A5DA637" w14:textId="3065A7F9" w:rsidR="008E2CAE" w:rsidRDefault="008E2CAE" w:rsidP="008E2CAE"/>
    <w:p w14:paraId="46E9C03E" w14:textId="0F0B52EB" w:rsidR="00590C52" w:rsidRPr="00412FEF" w:rsidRDefault="00590C52" w:rsidP="00590C52">
      <w:pPr>
        <w:jc w:val="center"/>
        <w:rPr>
          <w:rFonts w:ascii="Verdana" w:hAnsi="Verdana" w:cstheme="minorHAnsi"/>
          <w:b/>
          <w:sz w:val="28"/>
          <w:szCs w:val="28"/>
        </w:rPr>
      </w:pPr>
      <w:r>
        <w:rPr>
          <w:rFonts w:ascii="Verdana" w:hAnsi="Verdana"/>
          <w:b/>
          <w:sz w:val="28"/>
        </w:rPr>
        <w:t>Rozdział XI</w:t>
      </w:r>
    </w:p>
    <w:p w14:paraId="4078BAD7" w14:textId="65125DFF" w:rsidR="00590C52" w:rsidRPr="00412FEF" w:rsidRDefault="00590C52" w:rsidP="00412FEF">
      <w:pPr>
        <w:jc w:val="center"/>
        <w:rPr>
          <w:rFonts w:ascii="Verdana" w:hAnsi="Verdana" w:cstheme="minorHAnsi"/>
          <w:b/>
        </w:rPr>
      </w:pPr>
      <w:r>
        <w:rPr>
          <w:rFonts w:ascii="Verdana" w:hAnsi="Verdana"/>
          <w:b/>
        </w:rPr>
        <w:t>Dodatkowe, przejściowe i końcowe przepisy</w:t>
      </w:r>
    </w:p>
    <w:p w14:paraId="516113FA" w14:textId="77777777" w:rsidR="008E2CAE" w:rsidRPr="008E2CAE" w:rsidRDefault="008E2CAE" w:rsidP="008E2CAE"/>
    <w:p w14:paraId="5E44B2A4" w14:textId="20280901" w:rsidR="008E2CAE" w:rsidRPr="006A3393" w:rsidRDefault="00AC3F76" w:rsidP="00AC3F76">
      <w:pPr>
        <w:pStyle w:val="Heading2"/>
        <w:numPr>
          <w:ilvl w:val="0"/>
          <w:numId w:val="0"/>
        </w:numPr>
        <w:tabs>
          <w:tab w:val="clear" w:pos="1701"/>
          <w:tab w:val="left" w:pos="1560"/>
        </w:tabs>
        <w:ind w:left="426"/>
      </w:pPr>
      <w:r>
        <w:t>Artykuł 28</w:t>
      </w:r>
      <w:r>
        <w:br/>
        <w:t>Uchylenie przepisu</w:t>
      </w:r>
    </w:p>
    <w:p w14:paraId="11429E44" w14:textId="31E1C1C5" w:rsidR="008E2CAE" w:rsidRPr="008E2CAE" w:rsidRDefault="00590C52" w:rsidP="00007109">
      <w:pPr>
        <w:jc w:val="both"/>
        <w:rPr>
          <w:rFonts w:ascii="Verdana" w:hAnsi="Verdana"/>
        </w:rPr>
      </w:pPr>
      <w:r>
        <w:rPr>
          <w:rFonts w:ascii="Verdana" w:hAnsi="Verdana"/>
        </w:rPr>
        <w:t>Ustawa nr 76/2019 z dnia 2 września zostaje uchylona.</w:t>
      </w:r>
    </w:p>
    <w:p w14:paraId="43BE6334" w14:textId="5A32863C" w:rsidR="008E2CAE" w:rsidRPr="008E2CAE" w:rsidRDefault="008E2CAE" w:rsidP="00007109">
      <w:pPr>
        <w:jc w:val="both"/>
        <w:rPr>
          <w:rFonts w:ascii="Verdana" w:hAnsi="Verdana"/>
        </w:rPr>
      </w:pPr>
      <w:bookmarkStart w:id="61" w:name="_Hlk36038265"/>
    </w:p>
    <w:bookmarkEnd w:id="61"/>
    <w:p w14:paraId="0044BACA" w14:textId="5CB7690D" w:rsidR="0037079D" w:rsidRPr="0037079D" w:rsidRDefault="00A315EC" w:rsidP="00A315EC">
      <w:pPr>
        <w:pStyle w:val="Heading2"/>
        <w:numPr>
          <w:ilvl w:val="0"/>
          <w:numId w:val="0"/>
        </w:numPr>
        <w:tabs>
          <w:tab w:val="clear" w:pos="1701"/>
          <w:tab w:val="left" w:pos="1560"/>
        </w:tabs>
        <w:ind w:left="426"/>
      </w:pPr>
      <w:r>
        <w:t>Artykuł 29</w:t>
      </w:r>
      <w:r>
        <w:br/>
        <w:t>Uzupełniające zastosowanie dekretu z mocą ustawy nr 152-D/2017 z dnia 11 grudnia</w:t>
      </w:r>
    </w:p>
    <w:p w14:paraId="138F4285" w14:textId="75213671" w:rsidR="008E2CAE" w:rsidRPr="003F6B93" w:rsidRDefault="008E2CAE" w:rsidP="008E2CAE">
      <w:pPr>
        <w:jc w:val="both"/>
        <w:rPr>
          <w:rFonts w:ascii="Verdana" w:hAnsi="Verdana"/>
        </w:rPr>
      </w:pPr>
      <w:r>
        <w:rPr>
          <w:rFonts w:ascii="Verdana" w:hAnsi="Verdana"/>
        </w:rPr>
        <w:t>We wszystkich przypadkach, które nie są wyraźnie przewidziane w niniejszym dekrecie z mocą ustawy, GSWM stosuje się dodatkowo.</w:t>
      </w:r>
    </w:p>
    <w:p w14:paraId="180438A2" w14:textId="77777777" w:rsidR="008E2CAE" w:rsidRPr="00007109" w:rsidRDefault="008E2CAE" w:rsidP="00007109">
      <w:pPr>
        <w:jc w:val="both"/>
        <w:rPr>
          <w:rFonts w:ascii="Verdana" w:hAnsi="Verdana"/>
        </w:rPr>
      </w:pPr>
    </w:p>
    <w:p w14:paraId="0F3BF910" w14:textId="2FA11858" w:rsidR="00D573FE" w:rsidRDefault="00AC3F76" w:rsidP="00AC3F76">
      <w:pPr>
        <w:pStyle w:val="Heading2"/>
        <w:numPr>
          <w:ilvl w:val="0"/>
          <w:numId w:val="0"/>
        </w:numPr>
        <w:tabs>
          <w:tab w:val="clear" w:pos="1701"/>
          <w:tab w:val="left" w:pos="1418"/>
        </w:tabs>
        <w:ind w:left="426"/>
      </w:pPr>
      <w:r>
        <w:t>Artykuł 30</w:t>
      </w:r>
      <w:r>
        <w:br/>
        <w:t>Obowiązek współpracy i przedstawienia dokumentacji</w:t>
      </w:r>
    </w:p>
    <w:p w14:paraId="1201E132" w14:textId="77777777" w:rsidR="0037079D" w:rsidRPr="0037079D" w:rsidRDefault="0037079D" w:rsidP="0037079D"/>
    <w:p w14:paraId="167E15F1" w14:textId="4CFE5D31" w:rsidR="001E4779" w:rsidRPr="001E4779" w:rsidRDefault="001E4779" w:rsidP="00C525D6">
      <w:pPr>
        <w:pStyle w:val="ListParagraph"/>
        <w:numPr>
          <w:ilvl w:val="0"/>
          <w:numId w:val="63"/>
        </w:numPr>
        <w:ind w:left="709"/>
        <w:jc w:val="both"/>
        <w:rPr>
          <w:rFonts w:ascii="Verdana" w:hAnsi="Verdana"/>
        </w:rPr>
      </w:pPr>
      <w:r>
        <w:rPr>
          <w:rFonts w:ascii="Verdana" w:hAnsi="Verdana"/>
        </w:rPr>
        <w:t>APA, I.P., DGAE, DGRM i organy monitorujące muszą współpracować ze sobą w celu zapewnienia stosowania niniejszego dekretu z mocą ustawy, w szczególności poprzez współpracę techniczną i wymianę informacji.</w:t>
      </w:r>
    </w:p>
    <w:p w14:paraId="7E1C832E" w14:textId="61023C9E" w:rsidR="001E4779" w:rsidRPr="001E4779" w:rsidRDefault="001E4779" w:rsidP="00C525D6">
      <w:pPr>
        <w:pStyle w:val="ListParagraph"/>
        <w:numPr>
          <w:ilvl w:val="0"/>
          <w:numId w:val="63"/>
        </w:numPr>
        <w:ind w:left="709"/>
        <w:jc w:val="both"/>
        <w:rPr>
          <w:rFonts w:ascii="Verdana" w:hAnsi="Verdana"/>
        </w:rPr>
      </w:pPr>
      <w:r>
        <w:rPr>
          <w:rFonts w:ascii="Verdana" w:hAnsi="Verdana"/>
        </w:rPr>
        <w:t>2 - Współpraca przewidziana w poprzednim ustępie ma na celu zapewnienie zintegrowanej kontroli i monitorowania działań podejmowanych w ramach niniejszego dekretu z mocą ustawy, przy czym obowiązek współpracy zostanie rozszerzony na inne organy publiczne zainteresowanych stron, w szczególności na właściwe organy regionów autonomicznych.</w:t>
      </w:r>
    </w:p>
    <w:p w14:paraId="26E18A9A" w14:textId="5F54A302" w:rsidR="001E4779" w:rsidRPr="001E4779" w:rsidRDefault="001E4779" w:rsidP="00C525D6">
      <w:pPr>
        <w:pStyle w:val="ListParagraph"/>
        <w:numPr>
          <w:ilvl w:val="0"/>
          <w:numId w:val="63"/>
        </w:numPr>
        <w:ind w:left="709"/>
        <w:jc w:val="both"/>
        <w:rPr>
          <w:rFonts w:ascii="Verdana" w:hAnsi="Verdana"/>
        </w:rPr>
      </w:pPr>
      <w:r>
        <w:rPr>
          <w:rFonts w:ascii="Verdana" w:hAnsi="Verdana"/>
        </w:rPr>
        <w:t>Przedstawienie dokumentacji, o której mowa w niniejszym dekrecie z mocą ustawy, będącej w posiadaniu służb lub organów administracji publicznej, może podlegać zwolnieniu i uzyskaniu za pośrednictwem Platformy Interoperacyjności Administracji Publicznej zgodnie z art. 28-A dekretu z mocą ustawy nr 135/99 z dnia 22 kwietnia 1999 r., jeżeli obywatele lub podmioty gospodarcze wyrażą na to zgodę.</w:t>
      </w:r>
    </w:p>
    <w:p w14:paraId="1E683183" w14:textId="77777777" w:rsidR="008B4B7F" w:rsidRPr="003F6B93" w:rsidRDefault="008B4B7F" w:rsidP="003035F6">
      <w:pPr>
        <w:jc w:val="center"/>
        <w:rPr>
          <w:rFonts w:ascii="Verdana" w:hAnsi="Verdana"/>
        </w:rPr>
      </w:pPr>
    </w:p>
    <w:p w14:paraId="1E403387" w14:textId="517F0FA0" w:rsidR="008B4B7F" w:rsidRDefault="00AC3F76" w:rsidP="00AC3F76">
      <w:pPr>
        <w:pStyle w:val="Heading2"/>
        <w:numPr>
          <w:ilvl w:val="0"/>
          <w:numId w:val="0"/>
        </w:numPr>
        <w:tabs>
          <w:tab w:val="clear" w:pos="1701"/>
          <w:tab w:val="left" w:pos="1418"/>
        </w:tabs>
        <w:ind w:left="426"/>
      </w:pPr>
      <w:r>
        <w:lastRenderedPageBreak/>
        <w:t>Artykuł 31</w:t>
      </w:r>
      <w:r>
        <w:br/>
        <w:t>Regiony autonomiczne</w:t>
      </w:r>
    </w:p>
    <w:p w14:paraId="58156734" w14:textId="77777777" w:rsidR="0037079D" w:rsidRPr="0037079D" w:rsidRDefault="0037079D" w:rsidP="0037079D"/>
    <w:p w14:paraId="45480258" w14:textId="4D486621" w:rsidR="008B4B7F" w:rsidRPr="00875033" w:rsidRDefault="008B4B7F" w:rsidP="00C525D6">
      <w:pPr>
        <w:pStyle w:val="ListParagraph"/>
        <w:numPr>
          <w:ilvl w:val="0"/>
          <w:numId w:val="64"/>
        </w:numPr>
        <w:ind w:left="709"/>
        <w:jc w:val="both"/>
        <w:rPr>
          <w:rFonts w:ascii="Verdana" w:hAnsi="Verdana"/>
        </w:rPr>
      </w:pPr>
      <w:r>
        <w:rPr>
          <w:rFonts w:ascii="Verdana" w:hAnsi="Verdana"/>
        </w:rPr>
        <w:t>Niniejszy dekret z mocą ustawy stosuje się do autonomicznych regionów Azorów i Madery, bez uszczerbku dla jego przydatności do specyfiki regionu, zgodnie z jego odpowiednią autonomią polityczną i administracyjną, przy czym jego wdrożenie jest obowiązkiem służb i organów odpowiednich autonomicznych rządów regionalnych odpowiedzialnych za zadania i uprawnienia w zakresie gospodarki odpadami, bez uszczerbku dla uprawnień organów na szczeblu krajowym.</w:t>
      </w:r>
    </w:p>
    <w:p w14:paraId="3387C8A0" w14:textId="6D82DF72" w:rsidR="008B4B7F" w:rsidRPr="00875033" w:rsidRDefault="008B4B7F" w:rsidP="00C525D6">
      <w:pPr>
        <w:pStyle w:val="ListParagraph"/>
        <w:numPr>
          <w:ilvl w:val="0"/>
          <w:numId w:val="64"/>
        </w:numPr>
        <w:ind w:left="709"/>
        <w:jc w:val="both"/>
        <w:rPr>
          <w:rFonts w:ascii="Verdana" w:hAnsi="Verdana"/>
        </w:rPr>
      </w:pPr>
      <w:r>
        <w:rPr>
          <w:rFonts w:ascii="Verdana" w:hAnsi="Verdana"/>
        </w:rPr>
        <w:t>Wpływy z grzywien stosowane w regionach autonomicznych przydziela się wyłącznie jako dochody takich regionów.</w:t>
      </w:r>
    </w:p>
    <w:p w14:paraId="481EC9CD" w14:textId="77777777" w:rsidR="00667FE9" w:rsidRPr="003F6B93" w:rsidRDefault="00667FE9" w:rsidP="008B4B7F">
      <w:pPr>
        <w:jc w:val="both"/>
        <w:rPr>
          <w:rFonts w:ascii="Verdana" w:hAnsi="Verdana"/>
        </w:rPr>
      </w:pPr>
    </w:p>
    <w:p w14:paraId="284B6D7F" w14:textId="6ADFA1B8" w:rsidR="00667FE9" w:rsidRDefault="00AC3F76" w:rsidP="00AC3F76">
      <w:pPr>
        <w:pStyle w:val="Heading2"/>
        <w:numPr>
          <w:ilvl w:val="0"/>
          <w:numId w:val="0"/>
        </w:numPr>
        <w:tabs>
          <w:tab w:val="clear" w:pos="1701"/>
          <w:tab w:val="left" w:pos="1418"/>
        </w:tabs>
        <w:ind w:left="426"/>
      </w:pPr>
      <w:r>
        <w:t>Artykuł 32</w:t>
      </w:r>
      <w:r>
        <w:br/>
        <w:t>Wejście w życie i produkcja</w:t>
      </w:r>
    </w:p>
    <w:p w14:paraId="52CD741A" w14:textId="77777777" w:rsidR="0037079D" w:rsidRPr="0037079D" w:rsidRDefault="0037079D" w:rsidP="0037079D"/>
    <w:p w14:paraId="34CDD4A8" w14:textId="200B8CE5" w:rsidR="00DD3E8A" w:rsidRDefault="002A32BE" w:rsidP="00C525D6">
      <w:pPr>
        <w:pStyle w:val="ListParagraph"/>
        <w:numPr>
          <w:ilvl w:val="0"/>
          <w:numId w:val="65"/>
        </w:numPr>
        <w:ind w:left="709"/>
        <w:jc w:val="both"/>
        <w:rPr>
          <w:rFonts w:ascii="Verdana" w:hAnsi="Verdana"/>
        </w:rPr>
      </w:pPr>
      <w:r>
        <w:rPr>
          <w:rFonts w:ascii="Verdana" w:hAnsi="Verdana"/>
        </w:rPr>
        <w:t>Niniejszy dekret z mocą ustawy wchodzi w życie z dniem 1 lipca 2021 r.</w:t>
      </w:r>
    </w:p>
    <w:p w14:paraId="3CC62673" w14:textId="7628EE87" w:rsidR="00DD3E8A" w:rsidRPr="00DD3E8A" w:rsidRDefault="00DD3E8A" w:rsidP="00C525D6">
      <w:pPr>
        <w:pStyle w:val="ListParagraph"/>
        <w:numPr>
          <w:ilvl w:val="0"/>
          <w:numId w:val="65"/>
        </w:numPr>
        <w:ind w:left="709"/>
        <w:jc w:val="both"/>
        <w:rPr>
          <w:rFonts w:ascii="Verdana" w:hAnsi="Verdana"/>
        </w:rPr>
      </w:pPr>
      <w:r>
        <w:rPr>
          <w:rFonts w:ascii="Verdana" w:hAnsi="Verdana"/>
        </w:rPr>
        <w:t>Bez uszczerbku dla art. 183 dekretu z mocą ustawy nr 9/2021 z dnia 29 stycznia, który zatwierdził system prawny dotyczący gospodarczych wykroczeń administracyjnych, przepisy te stosuje się niezwłocznie w przypadku wykroczeń administracyjnych przewidzianych w art. 21 ust. 1 niniejszego dekretu z mocą ustawy.</w:t>
      </w:r>
    </w:p>
    <w:p w14:paraId="50C301FD" w14:textId="18BDE172" w:rsidR="00DD3E8A" w:rsidRDefault="00DD3E8A" w:rsidP="00575347">
      <w:pPr>
        <w:jc w:val="both"/>
        <w:rPr>
          <w:rFonts w:ascii="Verdana" w:hAnsi="Verdana"/>
        </w:rPr>
      </w:pPr>
    </w:p>
    <w:p w14:paraId="1ACB74EF" w14:textId="77777777" w:rsidR="00575347" w:rsidRPr="00575347" w:rsidRDefault="00575347" w:rsidP="00575347">
      <w:pPr>
        <w:jc w:val="both"/>
        <w:rPr>
          <w:rFonts w:ascii="Verdana" w:hAnsi="Verdana"/>
        </w:rPr>
        <w:sectPr w:rsidR="00575347" w:rsidRPr="0057534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1AA09983" w14:textId="240281D8" w:rsidR="00A172F1" w:rsidRPr="003F6B93" w:rsidRDefault="00A172F1" w:rsidP="00A172F1">
      <w:pPr>
        <w:jc w:val="both"/>
        <w:rPr>
          <w:rFonts w:ascii="Verdana" w:hAnsi="Verdana"/>
        </w:rPr>
      </w:pPr>
    </w:p>
    <w:p w14:paraId="0B29489E" w14:textId="21719757" w:rsidR="00875033" w:rsidRPr="00575347" w:rsidRDefault="000933C0" w:rsidP="00930734">
      <w:pPr>
        <w:pStyle w:val="Heading3"/>
      </w:pPr>
      <w:r>
        <w:br/>
      </w:r>
      <w:bookmarkStart w:id="62" w:name="_Ref63440905"/>
      <w:r>
        <w:t>Produkty z tworzyw sztucznych do jednorazowego użytku, o których mowa w art. 2 ust. 1</w:t>
      </w:r>
      <w:bookmarkEnd w:id="62"/>
    </w:p>
    <w:p w14:paraId="43DD799A"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kubki na napoje, w tym ich nakrętki i wieczka; </w:t>
      </w:r>
    </w:p>
    <w:p w14:paraId="228ED85F" w14:textId="77777777" w:rsidR="006418B1" w:rsidRPr="003F6B93" w:rsidRDefault="006418B1" w:rsidP="00575347">
      <w:pPr>
        <w:pStyle w:val="ListParagraph"/>
        <w:numPr>
          <w:ilvl w:val="0"/>
          <w:numId w:val="66"/>
        </w:numPr>
        <w:ind w:left="709"/>
        <w:jc w:val="both"/>
        <w:rPr>
          <w:rFonts w:ascii="Verdana" w:hAnsi="Verdana"/>
        </w:rPr>
      </w:pPr>
      <w:r>
        <w:rPr>
          <w:rFonts w:ascii="Verdana" w:hAnsi="Verdana"/>
        </w:rPr>
        <w:t xml:space="preserve">pojemniki na żywność tj. pojemniki takie jak pudełka, z wieczkiem lub bez, stosowane w celu umieszczania w nich żywności, która: </w:t>
      </w:r>
    </w:p>
    <w:p w14:paraId="5D0F7CAB" w14:textId="58578C70"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jest przeznaczona do bezpośredniego spożycia, na miejscu lub na wynos, </w:t>
      </w:r>
    </w:p>
    <w:p w14:paraId="362E82E4" w14:textId="58405378" w:rsidR="006418B1" w:rsidRPr="00875033" w:rsidRDefault="006418B1" w:rsidP="00575347">
      <w:pPr>
        <w:pStyle w:val="ListParagraph"/>
        <w:numPr>
          <w:ilvl w:val="0"/>
          <w:numId w:val="67"/>
        </w:numPr>
        <w:spacing w:line="240" w:lineRule="auto"/>
        <w:rPr>
          <w:rFonts w:ascii="Verdana" w:hAnsi="Verdana"/>
        </w:rPr>
      </w:pPr>
      <w:r>
        <w:rPr>
          <w:rFonts w:ascii="Verdana" w:hAnsi="Verdana"/>
        </w:rPr>
        <w:t xml:space="preserve">jest zazwyczaj spożywana bezpośrednio z pojemnika oraz </w:t>
      </w:r>
    </w:p>
    <w:p w14:paraId="31602558" w14:textId="0788487C" w:rsidR="006418B1" w:rsidRPr="00875033" w:rsidRDefault="006418B1" w:rsidP="00575347">
      <w:pPr>
        <w:pStyle w:val="ListParagraph"/>
        <w:numPr>
          <w:ilvl w:val="0"/>
          <w:numId w:val="67"/>
        </w:numPr>
        <w:spacing w:line="240" w:lineRule="auto"/>
        <w:rPr>
          <w:rFonts w:ascii="Verdana" w:hAnsi="Verdana"/>
        </w:rPr>
      </w:pPr>
      <w:r>
        <w:rPr>
          <w:rFonts w:ascii="Verdana" w:hAnsi="Verdana"/>
        </w:rPr>
        <w:t>jest gotowa do spożycia bez dalszej obróbki, takiej jak przyrządzanie, gotowanie czy podgrzewanie,</w:t>
      </w:r>
    </w:p>
    <w:p w14:paraId="50856381" w14:textId="77777777" w:rsidR="006418B1" w:rsidRPr="003F6B93" w:rsidRDefault="006418B1" w:rsidP="00575347">
      <w:pPr>
        <w:pStyle w:val="ListParagraph"/>
        <w:ind w:left="709"/>
        <w:jc w:val="both"/>
        <w:rPr>
          <w:rFonts w:ascii="Verdana" w:hAnsi="Verdana"/>
        </w:rPr>
      </w:pPr>
      <w:r>
        <w:rPr>
          <w:rFonts w:ascii="Verdana" w:hAnsi="Verdana"/>
        </w:rPr>
        <w:t>w tym pojemniki na żywność typu fast food lub na inne posiłki gotowe do bezpośredniego spożycia, z wyjątkiem pojemników na napoje, talerzy oraz paczek i owijek zawierających żywność,</w:t>
      </w:r>
    </w:p>
    <w:p w14:paraId="28473118" w14:textId="4C13086B"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patyczki bawełniane z wyjątkiem przypadków, gdy wchodzą one w bieżący zakres stosowania dekretu z mocą ustawy nr 145/2009 z dnia 17 czerwca; </w:t>
      </w:r>
    </w:p>
    <w:p w14:paraId="4E332868"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sztućce (widelce, noże, łyżki, pałeczki); </w:t>
      </w:r>
    </w:p>
    <w:p w14:paraId="1BA1EA96"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talerze; </w:t>
      </w:r>
    </w:p>
    <w:p w14:paraId="2DB136F0" w14:textId="7FEE640F"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słomki z wyjątkiem przypadków, gdy wchodzą one w bieżący zakres stosowania dekretu z mocą ustawy nr 145/2009 z dnia 17 czerwca; </w:t>
      </w:r>
    </w:p>
    <w:p w14:paraId="029562BE" w14:textId="77777777" w:rsidR="006418B1"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 xml:space="preserve">mieszadełka do napojów; </w:t>
      </w:r>
    </w:p>
    <w:p w14:paraId="37F9C66D" w14:textId="77777777" w:rsidR="007879A9" w:rsidRPr="003F6B93" w:rsidRDefault="006418B1" w:rsidP="00575347">
      <w:pPr>
        <w:pStyle w:val="ListParagraph"/>
        <w:numPr>
          <w:ilvl w:val="0"/>
          <w:numId w:val="66"/>
        </w:numPr>
        <w:tabs>
          <w:tab w:val="left" w:pos="993"/>
        </w:tabs>
        <w:ind w:left="709"/>
        <w:jc w:val="both"/>
        <w:rPr>
          <w:rFonts w:ascii="Verdana" w:hAnsi="Verdana"/>
        </w:rPr>
      </w:pPr>
      <w:r>
        <w:rPr>
          <w:rFonts w:ascii="Verdana" w:hAnsi="Verdana"/>
        </w:rPr>
        <w:t>patyczki mocowane do balonów i służące do tego, by balony się na nich opierały, w tym mechanizmy tych patyczków, z wyjątkiem balonów do użytku przemysłowego lub innych profesjonalnych zastosowań, które to balony nie są rozprowadzane wśród konsumentów;</w:t>
      </w:r>
    </w:p>
    <w:p w14:paraId="3BD5CD2C"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 xml:space="preserve">pojemniki na żywność wykonane z polistyrenu ekspandowanego, tj. pojemniki takie jak pudełka, z wieczkiem lub bez, stosowane w celu umieszczania w nich żywności, która: </w:t>
      </w:r>
    </w:p>
    <w:p w14:paraId="134BCB71" w14:textId="66E95134"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jest przeznaczona do bezpośredniego spożycia, na miejscu lub na wynos, </w:t>
      </w:r>
    </w:p>
    <w:p w14:paraId="6CE4B79B" w14:textId="1FDD2417"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jest zazwyczaj spożywana bezpośrednio z pojemnika oraz </w:t>
      </w:r>
    </w:p>
    <w:p w14:paraId="3B4977B3" w14:textId="01BE44ED" w:rsidR="00FD6DE7" w:rsidRPr="003F6B93" w:rsidRDefault="00F957CC" w:rsidP="00575347">
      <w:pPr>
        <w:pStyle w:val="ListParagraph"/>
        <w:numPr>
          <w:ilvl w:val="0"/>
          <w:numId w:val="68"/>
        </w:numPr>
        <w:spacing w:line="240" w:lineRule="auto"/>
        <w:rPr>
          <w:rFonts w:ascii="Verdana" w:hAnsi="Verdana"/>
        </w:rPr>
      </w:pPr>
      <w:r>
        <w:rPr>
          <w:rFonts w:ascii="Verdana" w:hAnsi="Verdana"/>
        </w:rPr>
        <w:t xml:space="preserve">jest gotowa do spożycia bez dalszej obróbki, takiej jak przyrządzanie, gotowanie czy podgrzewanie, </w:t>
      </w:r>
    </w:p>
    <w:p w14:paraId="574EB5F8" w14:textId="0C81E672" w:rsidR="00502353" w:rsidRPr="003F6B93" w:rsidRDefault="00F957CC" w:rsidP="00575347">
      <w:pPr>
        <w:pStyle w:val="ListParagraph"/>
        <w:tabs>
          <w:tab w:val="left" w:pos="993"/>
        </w:tabs>
        <w:ind w:left="709"/>
        <w:jc w:val="both"/>
        <w:rPr>
          <w:rFonts w:ascii="Verdana" w:hAnsi="Verdana"/>
        </w:rPr>
      </w:pPr>
      <w:r>
        <w:rPr>
          <w:rFonts w:ascii="Verdana" w:hAnsi="Verdana"/>
        </w:rPr>
        <w:t xml:space="preserve">w tym pojemniki na żywność typu fast food lub na inne posiłki gotowe do bezpośredniego spożycia, z wyjątkiem pojemników na napoje, talerzy oraz opakowań i owijek zawierających żywność; </w:t>
      </w:r>
    </w:p>
    <w:p w14:paraId="391C3ED9" w14:textId="77777777" w:rsidR="00502353"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lastRenderedPageBreak/>
        <w:t xml:space="preserve">wykonane z polistyrenu ekspandowanego pojemniki na napoje, w tym ich nakrętki i wieczka; </w:t>
      </w:r>
    </w:p>
    <w:p w14:paraId="11679328" w14:textId="356AA442" w:rsidR="00F957CC" w:rsidRPr="003F6B93" w:rsidRDefault="00F957CC" w:rsidP="00575347">
      <w:pPr>
        <w:pStyle w:val="ListParagraph"/>
        <w:numPr>
          <w:ilvl w:val="0"/>
          <w:numId w:val="66"/>
        </w:numPr>
        <w:tabs>
          <w:tab w:val="left" w:pos="993"/>
        </w:tabs>
        <w:ind w:left="709"/>
        <w:jc w:val="both"/>
        <w:rPr>
          <w:rFonts w:ascii="Verdana" w:hAnsi="Verdana"/>
        </w:rPr>
      </w:pPr>
      <w:r>
        <w:rPr>
          <w:rFonts w:ascii="Verdana" w:hAnsi="Verdana"/>
        </w:rPr>
        <w:t>wykonane z polistyrenu ekspandowanego kubki na napoje, w tym ich nakrętki i wieczka;</w:t>
      </w:r>
    </w:p>
    <w:p w14:paraId="58289D5C"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pojemniki na napoje o pojemności do trzech litrów, tj. pojemniki stosowane do przechowywania napojów, takie jak butelki na napoje, w tym ich nakrętki i wieczka, oraz kompozytowe opakowania na napoje, w tym ich nakrętki i wieczka, ale nie: </w:t>
      </w:r>
    </w:p>
    <w:p w14:paraId="42BC013C" w14:textId="11D5E5C8" w:rsidR="00FD6DE7" w:rsidRPr="003F6B93" w:rsidRDefault="00FD6DE7" w:rsidP="00575347">
      <w:pPr>
        <w:pStyle w:val="ListParagraph"/>
        <w:numPr>
          <w:ilvl w:val="0"/>
          <w:numId w:val="69"/>
        </w:numPr>
        <w:spacing w:line="240" w:lineRule="auto"/>
        <w:rPr>
          <w:rFonts w:ascii="Verdana" w:hAnsi="Verdana"/>
        </w:rPr>
      </w:pPr>
      <w:r>
        <w:rPr>
          <w:rFonts w:ascii="Verdana" w:hAnsi="Verdana"/>
        </w:rPr>
        <w:t xml:space="preserve">szklane lub metalowe pojemniki na napoje, których nakrętki i wieczka wykonane są z tworzyw sztucznych; </w:t>
      </w:r>
    </w:p>
    <w:p w14:paraId="6E7263C6" w14:textId="6B820680" w:rsidR="00FD6DE7" w:rsidRPr="003F6B93" w:rsidRDefault="00FD6DE7" w:rsidP="00575347">
      <w:pPr>
        <w:pStyle w:val="ListParagraph"/>
        <w:numPr>
          <w:ilvl w:val="0"/>
          <w:numId w:val="69"/>
        </w:numPr>
        <w:spacing w:line="240" w:lineRule="auto"/>
        <w:rPr>
          <w:rFonts w:ascii="Verdana" w:hAnsi="Verdana"/>
        </w:rPr>
      </w:pPr>
      <w:r>
        <w:rPr>
          <w:rFonts w:ascii="Verdana" w:hAnsi="Verdana"/>
        </w:rPr>
        <w:t>pojemniki na napoje przeznaczone i wykorzystywane do mającej płynną postać żywności specjalnego przeznaczenia medycznego zgodnie z definicją w art. 2 lit. g) rozporządzenia Parlamentu Europejskiego i Rady (UE) nr 609/2013 (3);</w:t>
      </w:r>
    </w:p>
    <w:p w14:paraId="70363A60"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podpaski higieniczne, tampony oraz aplikatory do tamponów; </w:t>
      </w:r>
    </w:p>
    <w:p w14:paraId="4FE8461D"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chusteczki nawilżane, tj. uprzednio nawilżone chusteczki przeznaczone do higieny osobistej i uprzednio nawilżone chusteczki do użytku domowego; </w:t>
      </w:r>
    </w:p>
    <w:p w14:paraId="027317AB" w14:textId="7777777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 xml:space="preserve">wyroby tytoniowe z filtrami i filtry wprowadzane do obrotu do użycia z wyrobami tytoniowymi; </w:t>
      </w:r>
    </w:p>
    <w:p w14:paraId="45459176" w14:textId="2227CC27"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opakowania i owijki wykonane z elastycznych materiałów zawierające żywność przeznaczoną do bezpośredniego spożycia z opakowania lub owijki bez żadnej dalszej obróbki;</w:t>
      </w:r>
    </w:p>
    <w:p w14:paraId="6BCFB3EE" w14:textId="7C3E78E1"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lekkie plastikowe torby na zakupy;</w:t>
      </w:r>
    </w:p>
    <w:p w14:paraId="289B47C5" w14:textId="50B62608" w:rsidR="00FD6DE7" w:rsidRPr="003F6B93" w:rsidRDefault="00FD6DE7" w:rsidP="00575347">
      <w:pPr>
        <w:pStyle w:val="ListParagraph"/>
        <w:numPr>
          <w:ilvl w:val="0"/>
          <w:numId w:val="66"/>
        </w:numPr>
        <w:tabs>
          <w:tab w:val="left" w:pos="993"/>
        </w:tabs>
        <w:ind w:left="709"/>
        <w:jc w:val="both"/>
        <w:rPr>
          <w:rFonts w:ascii="Verdana" w:hAnsi="Verdana"/>
        </w:rPr>
      </w:pPr>
      <w:r>
        <w:rPr>
          <w:rFonts w:ascii="Verdana" w:hAnsi="Verdana"/>
        </w:rPr>
        <w:t>balony, z wyjątkiem balonów do użytku przemysłowego lub innych profesjonalnych zastosowań, które to balony nie są rozprowadzane wśród konsumentów;</w:t>
      </w:r>
    </w:p>
    <w:bookmarkEnd w:id="0"/>
    <w:p w14:paraId="199D7A21" w14:textId="77777777" w:rsidR="00092BC2" w:rsidRPr="00B73AFF" w:rsidRDefault="00092BC2" w:rsidP="00092BC2">
      <w:pPr>
        <w:rPr>
          <w:rFonts w:ascii="Verdana" w:hAnsi="Verdana"/>
        </w:rPr>
      </w:pPr>
    </w:p>
    <w:sectPr w:rsidR="00092BC2" w:rsidRPr="00B73A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DAC8" w14:textId="77777777" w:rsidR="00201453" w:rsidRDefault="00201453" w:rsidP="007879A9">
      <w:pPr>
        <w:spacing w:after="0" w:line="240" w:lineRule="auto"/>
      </w:pPr>
      <w:r>
        <w:separator/>
      </w:r>
    </w:p>
  </w:endnote>
  <w:endnote w:type="continuationSeparator" w:id="0">
    <w:p w14:paraId="3D739973" w14:textId="77777777" w:rsidR="00201453" w:rsidRDefault="00201453" w:rsidP="0078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C216" w14:textId="77777777" w:rsidR="00D4270E" w:rsidRDefault="00D4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05A1" w14:textId="66925990" w:rsidR="00D4270E" w:rsidRDefault="00D4270E">
    <w:pPr>
      <w:pStyle w:val="Footer"/>
    </w:pPr>
    <w:r>
      <w:t xml:space="preserve">Wersja </w:t>
    </w:r>
    <w:r>
      <w:t>z 15.03.2021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4A1F" w14:textId="77777777" w:rsidR="00D4270E" w:rsidRDefault="00D4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82341" w14:textId="77777777" w:rsidR="00201453" w:rsidRDefault="00201453" w:rsidP="007879A9">
      <w:pPr>
        <w:spacing w:after="0" w:line="240" w:lineRule="auto"/>
      </w:pPr>
      <w:r>
        <w:separator/>
      </w:r>
    </w:p>
  </w:footnote>
  <w:footnote w:type="continuationSeparator" w:id="0">
    <w:p w14:paraId="6A689DAD" w14:textId="77777777" w:rsidR="00201453" w:rsidRDefault="00201453" w:rsidP="0078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344D" w14:textId="77777777" w:rsidR="00D4270E" w:rsidRDefault="00D4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90618" w14:textId="203BD1E5" w:rsidR="00D4270E" w:rsidRPr="00C82E2D" w:rsidRDefault="00D4270E" w:rsidP="00C82E2D">
    <w:pPr>
      <w:tabs>
        <w:tab w:val="right" w:pos="7655"/>
      </w:tabs>
      <w:spacing w:after="360"/>
      <w:ind w:firstLine="993"/>
      <w:jc w:val="center"/>
      <w:rPr>
        <w:rFonts w:ascii="Palatino" w:eastAsia="Times New Roman" w:hAnsi="Palatino" w:cs="Times New Roman"/>
        <w:sz w:val="32"/>
        <w:szCs w:val="32"/>
      </w:rPr>
    </w:pPr>
    <w:r>
      <w:rPr>
        <w:rFonts w:ascii="Times New Roman" w:hAnsi="Times New Roman"/>
        <w:noProof/>
        <w:sz w:val="24"/>
      </w:rPr>
      <w:drawing>
        <wp:inline distT="0" distB="0" distL="0" distR="0" wp14:anchorId="1210180C" wp14:editId="0E774AB8">
          <wp:extent cx="409575" cy="409575"/>
          <wp:effectExtent l="0" t="0" r="9525" b="9525"/>
          <wp:docPr id="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4BB9339" w14:textId="77777777" w:rsidR="00D4270E" w:rsidRPr="00C82E2D" w:rsidRDefault="00D4270E" w:rsidP="00C82E2D">
    <w:pPr>
      <w:tabs>
        <w:tab w:val="right" w:pos="7655"/>
      </w:tabs>
      <w:spacing w:after="360" w:line="240" w:lineRule="auto"/>
      <w:ind w:firstLine="993"/>
      <w:jc w:val="both"/>
      <w:rPr>
        <w:rFonts w:ascii="Palatino" w:eastAsia="Times New Roman" w:hAnsi="Palatino" w:cs="Times New Roman"/>
        <w:sz w:val="32"/>
        <w:szCs w:val="32"/>
      </w:rPr>
    </w:pPr>
    <w:r>
      <w:rPr>
        <w:rFonts w:ascii="Palatino" w:hAnsi="Palatino"/>
        <w:sz w:val="32"/>
      </w:rPr>
      <w:t xml:space="preserve"> </w:t>
    </w:r>
    <w:r>
      <w:rPr>
        <w:rFonts w:ascii="Palatino" w:hAnsi="Palatino"/>
        <w:sz w:val="32"/>
      </w:rPr>
      <w:t>Minister ds.</w:t>
    </w:r>
    <w:r>
      <w:rPr>
        <w:rFonts w:ascii="Times New Roman" w:hAnsi="Times New Roman"/>
        <w:sz w:val="32"/>
        <w:u w:val="dotted"/>
      </w:rPr>
      <w:tab/>
    </w:r>
  </w:p>
  <w:p w14:paraId="1B0BB6A5" w14:textId="77777777" w:rsidR="00D4270E" w:rsidRPr="00C82E2D" w:rsidRDefault="00D4270E" w:rsidP="00C82E2D">
    <w:pPr>
      <w:tabs>
        <w:tab w:val="center" w:pos="4252"/>
        <w:tab w:val="left" w:pos="6210"/>
      </w:tabs>
      <w:spacing w:before="120" w:after="120" w:line="240" w:lineRule="auto"/>
      <w:rPr>
        <w:rFonts w:ascii="Cambria" w:eastAsia="Times New Roman" w:hAnsi="Cambria" w:cs="Times New Roman"/>
        <w:sz w:val="32"/>
        <w:szCs w:val="32"/>
      </w:rPr>
    </w:pPr>
    <w:r>
      <w:rPr>
        <w:rFonts w:ascii="Times New Roman" w:hAnsi="Times New Roman"/>
        <w:sz w:val="32"/>
      </w:rPr>
      <w:tab/>
    </w:r>
    <w:r w:rsidR="00201453">
      <w:rPr>
        <w:rFonts w:ascii="Cambria" w:hAnsi="Cambria"/>
      </w:rPr>
      <w:pict w14:anchorId="6C2C0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6.1pt">
          <v:imagedata r:id="rId2" o:title=""/>
        </v:shape>
      </w:pict>
    </w:r>
    <w:r>
      <w:rPr>
        <w:rFonts w:ascii="Times New Roman" w:hAnsi="Times New Roman"/>
        <w:sz w:val="32"/>
      </w:rPr>
      <w:tab/>
    </w:r>
  </w:p>
  <w:p w14:paraId="2B6A8F9D" w14:textId="77777777" w:rsidR="00D4270E" w:rsidRPr="00C82E2D" w:rsidRDefault="00D4270E" w:rsidP="00C82E2D">
    <w:pPr>
      <w:tabs>
        <w:tab w:val="left" w:pos="4678"/>
        <w:tab w:val="left" w:pos="6237"/>
      </w:tabs>
      <w:spacing w:after="0" w:line="240" w:lineRule="auto"/>
      <w:ind w:firstLine="2410"/>
      <w:jc w:val="both"/>
      <w:rPr>
        <w:rFonts w:ascii="Palatino" w:eastAsia="Times New Roman" w:hAnsi="Palatino" w:cs="Times New Roman"/>
        <w:sz w:val="24"/>
        <w:szCs w:val="24"/>
        <w:lang w:eastAsia="pt-PT"/>
      </w:rPr>
    </w:pPr>
  </w:p>
  <w:p w14:paraId="3214524D" w14:textId="77777777" w:rsidR="00D4270E" w:rsidRPr="00C82E2D" w:rsidRDefault="00D4270E" w:rsidP="00C82E2D">
    <w:pPr>
      <w:tabs>
        <w:tab w:val="left" w:pos="4678"/>
        <w:tab w:val="left" w:pos="6237"/>
      </w:tabs>
      <w:spacing w:after="0" w:line="240" w:lineRule="auto"/>
      <w:ind w:firstLine="2410"/>
      <w:jc w:val="both"/>
      <w:rPr>
        <w:rFonts w:ascii="Cambria" w:eastAsia="Times New Roman" w:hAnsi="Cambria" w:cs="Times New Roman"/>
        <w:sz w:val="32"/>
        <w:szCs w:val="32"/>
      </w:rPr>
    </w:pPr>
    <w:r>
      <w:rPr>
        <w:rFonts w:ascii="Palatino" w:hAnsi="Palatino"/>
        <w:sz w:val="24"/>
      </w:rPr>
      <w:t xml:space="preserve">Dekret </w:t>
    </w:r>
    <w:r>
      <w:rPr>
        <w:rFonts w:ascii="Times New Roman" w:hAnsi="Times New Roman"/>
        <w:sz w:val="32"/>
        <w:u w:val="dotted"/>
        <w:vertAlign w:val="subscript"/>
      </w:rPr>
      <w:tab/>
    </w:r>
    <w:r>
      <w:rPr>
        <w:rFonts w:ascii="Palatino" w:hAnsi="Palatino"/>
        <w:sz w:val="24"/>
      </w:rPr>
      <w:t xml:space="preserve"> nr.</w:t>
    </w:r>
    <w:r>
      <w:rPr>
        <w:rFonts w:ascii="Arial" w:hAnsi="Arial"/>
        <w:sz w:val="32"/>
      </w:rPr>
      <w:t xml:space="preserve"> </w:t>
    </w:r>
    <w:r>
      <w:rPr>
        <w:rFonts w:ascii="Times New Roman" w:hAnsi="Times New Roman"/>
        <w:sz w:val="32"/>
        <w:u w:val="dotted"/>
        <w:vertAlign w:val="subscript"/>
      </w:rPr>
      <w:tab/>
    </w:r>
  </w:p>
  <w:p w14:paraId="66BF1573" w14:textId="50A62CC3" w:rsidR="00D4270E" w:rsidRDefault="00D4270E" w:rsidP="007879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F8E7A" w14:textId="77777777" w:rsidR="00D4270E" w:rsidRDefault="00D4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4A7"/>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232881"/>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83190"/>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08F84C7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0AC00B7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BD274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514703"/>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E15EFC"/>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E31CC5"/>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5E812E6"/>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6C66415"/>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7F54B4B"/>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3" w15:restartNumberingAfterBreak="0">
    <w:nsid w:val="1AF8617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30894"/>
    <w:multiLevelType w:val="hybridMultilevel"/>
    <w:tmpl w:val="E7D096DE"/>
    <w:lvl w:ilvl="0" w:tplc="2B4682E0">
      <w:start w:val="1"/>
      <w:numFmt w:val="decimal"/>
      <w:lvlText w:val="%1 -"/>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1F0125F7"/>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1171F0D"/>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3B33B48"/>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18" w15:restartNumberingAfterBreak="0">
    <w:nsid w:val="28E20FF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0B25800"/>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C0537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CA0EB8"/>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55650C8"/>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62A1B50"/>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697716C"/>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9E73B2"/>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93C7C6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3DBA4468"/>
    <w:multiLevelType w:val="hybridMultilevel"/>
    <w:tmpl w:val="16761180"/>
    <w:lvl w:ilvl="0" w:tplc="4774ADE4">
      <w:start w:val="1"/>
      <w:numFmt w:val="lowerLetter"/>
      <w:lvlText w:val="%1)"/>
      <w:lvlJc w:val="left"/>
      <w:pPr>
        <w:ind w:left="1428" w:hanging="360"/>
      </w:pPr>
      <w:rPr>
        <w:rFonts w:hint="default"/>
      </w:rPr>
    </w:lvl>
    <w:lvl w:ilvl="1" w:tplc="08160017">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8" w15:restartNumberingAfterBreak="0">
    <w:nsid w:val="3E4D3EF5"/>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2E04A9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3166C4F"/>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1" w15:restartNumberingAfterBreak="0">
    <w:nsid w:val="43541F79"/>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4856D98"/>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44E71D84"/>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47596925"/>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9D418A9"/>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C1C19B7"/>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D0E4615"/>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38" w15:restartNumberingAfterBreak="0">
    <w:nsid w:val="4F9418F5"/>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39" w15:restartNumberingAfterBreak="0">
    <w:nsid w:val="50F6432A"/>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53FF195F"/>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54F45FE2"/>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0A5F79"/>
    <w:multiLevelType w:val="hybridMultilevel"/>
    <w:tmpl w:val="B2F2639A"/>
    <w:lvl w:ilvl="0" w:tplc="3C3412B2">
      <w:start w:val="1"/>
      <w:numFmt w:val="upperRoman"/>
      <w:pStyle w:val="Heading1"/>
      <w:lvlText w:val="ROZDZIAŁ %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72F726B"/>
    <w:multiLevelType w:val="hybridMultilevel"/>
    <w:tmpl w:val="2236D358"/>
    <w:lvl w:ilvl="0" w:tplc="54D85534">
      <w:start w:val="1"/>
      <w:numFmt w:val="decimal"/>
      <w:pStyle w:val="Heading2"/>
      <w:lvlText w:val="Artigo %1.º"/>
      <w:lvlJc w:val="left"/>
      <w:pPr>
        <w:ind w:left="5400" w:hanging="360"/>
      </w:pPr>
      <w:rPr>
        <w:rFonts w:hint="default"/>
        <w:b w:val="0"/>
      </w:rPr>
    </w:lvl>
    <w:lvl w:ilvl="1" w:tplc="08160019" w:tentative="1">
      <w:start w:val="1"/>
      <w:numFmt w:val="lowerLetter"/>
      <w:lvlText w:val="%2."/>
      <w:lvlJc w:val="left"/>
      <w:pPr>
        <w:ind w:left="-2026" w:hanging="360"/>
      </w:pPr>
    </w:lvl>
    <w:lvl w:ilvl="2" w:tplc="0816001B" w:tentative="1">
      <w:start w:val="1"/>
      <w:numFmt w:val="lowerRoman"/>
      <w:lvlText w:val="%3."/>
      <w:lvlJc w:val="right"/>
      <w:pPr>
        <w:ind w:left="-1306" w:hanging="180"/>
      </w:pPr>
    </w:lvl>
    <w:lvl w:ilvl="3" w:tplc="0816000F" w:tentative="1">
      <w:start w:val="1"/>
      <w:numFmt w:val="decimal"/>
      <w:lvlText w:val="%4."/>
      <w:lvlJc w:val="left"/>
      <w:pPr>
        <w:ind w:left="-586" w:hanging="360"/>
      </w:pPr>
    </w:lvl>
    <w:lvl w:ilvl="4" w:tplc="08160019" w:tentative="1">
      <w:start w:val="1"/>
      <w:numFmt w:val="lowerLetter"/>
      <w:lvlText w:val="%5."/>
      <w:lvlJc w:val="left"/>
      <w:pPr>
        <w:ind w:left="134" w:hanging="360"/>
      </w:pPr>
    </w:lvl>
    <w:lvl w:ilvl="5" w:tplc="0816001B" w:tentative="1">
      <w:start w:val="1"/>
      <w:numFmt w:val="lowerRoman"/>
      <w:lvlText w:val="%6."/>
      <w:lvlJc w:val="right"/>
      <w:pPr>
        <w:ind w:left="854" w:hanging="180"/>
      </w:pPr>
    </w:lvl>
    <w:lvl w:ilvl="6" w:tplc="0816000F" w:tentative="1">
      <w:start w:val="1"/>
      <w:numFmt w:val="decimal"/>
      <w:lvlText w:val="%7."/>
      <w:lvlJc w:val="left"/>
      <w:pPr>
        <w:ind w:left="1574" w:hanging="360"/>
      </w:pPr>
    </w:lvl>
    <w:lvl w:ilvl="7" w:tplc="08160019" w:tentative="1">
      <w:start w:val="1"/>
      <w:numFmt w:val="lowerLetter"/>
      <w:lvlText w:val="%8."/>
      <w:lvlJc w:val="left"/>
      <w:pPr>
        <w:ind w:left="2294" w:hanging="360"/>
      </w:pPr>
    </w:lvl>
    <w:lvl w:ilvl="8" w:tplc="0816001B" w:tentative="1">
      <w:start w:val="1"/>
      <w:numFmt w:val="lowerRoman"/>
      <w:lvlText w:val="%9."/>
      <w:lvlJc w:val="right"/>
      <w:pPr>
        <w:ind w:left="3014" w:hanging="180"/>
      </w:pPr>
    </w:lvl>
  </w:abstractNum>
  <w:abstractNum w:abstractNumId="44" w15:restartNumberingAfterBreak="0">
    <w:nsid w:val="573C4F20"/>
    <w:multiLevelType w:val="hybridMultilevel"/>
    <w:tmpl w:val="23EC7F56"/>
    <w:lvl w:ilvl="0" w:tplc="9BB280BA">
      <w:start w:val="1"/>
      <w:numFmt w:val="lowerLetter"/>
      <w:lvlText w:val="%1)"/>
      <w:lvlJc w:val="left"/>
      <w:pPr>
        <w:ind w:left="1080" w:hanging="360"/>
      </w:pPr>
      <w:rPr>
        <w:i/>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5" w15:restartNumberingAfterBreak="0">
    <w:nsid w:val="593C1F19"/>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60141F53"/>
    <w:multiLevelType w:val="hybridMultilevel"/>
    <w:tmpl w:val="D8A833BC"/>
    <w:lvl w:ilvl="0" w:tplc="1348FCFE">
      <w:start w:val="1"/>
      <w:numFmt w:val="lowerLetter"/>
      <w:lvlText w:val="%1)"/>
      <w:lvlJc w:val="left"/>
      <w:pPr>
        <w:ind w:left="720" w:hanging="360"/>
      </w:pPr>
      <w:rPr>
        <w:rFonts w:hint="default"/>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47" w15:restartNumberingAfterBreak="0">
    <w:nsid w:val="603345C6"/>
    <w:multiLevelType w:val="hybridMultilevel"/>
    <w:tmpl w:val="FB5A2F40"/>
    <w:lvl w:ilvl="0" w:tplc="2B4682E0">
      <w:start w:val="1"/>
      <w:numFmt w:val="decimal"/>
      <w:lvlText w:val="%1 -"/>
      <w:lvlJc w:val="left"/>
      <w:pPr>
        <w:ind w:left="1920" w:hanging="360"/>
      </w:pPr>
      <w:rPr>
        <w:rFonts w:hint="default"/>
      </w:rPr>
    </w:lvl>
    <w:lvl w:ilvl="1" w:tplc="08160019">
      <w:start w:val="1"/>
      <w:numFmt w:val="lowerLetter"/>
      <w:lvlText w:val="%2."/>
      <w:lvlJc w:val="left"/>
      <w:pPr>
        <w:ind w:left="2411" w:hanging="360"/>
      </w:pPr>
    </w:lvl>
    <w:lvl w:ilvl="2" w:tplc="EC3A1064">
      <w:start w:val="1"/>
      <w:numFmt w:val="lowerRoman"/>
      <w:lvlText w:val="%3)"/>
      <w:lvlJc w:val="left"/>
      <w:pPr>
        <w:ind w:left="3360" w:hanging="180"/>
      </w:pPr>
      <w:rPr>
        <w:i/>
      </w:rPr>
    </w:lvl>
    <w:lvl w:ilvl="3" w:tplc="0816000F" w:tentative="1">
      <w:start w:val="1"/>
      <w:numFmt w:val="decimal"/>
      <w:lvlText w:val="%4."/>
      <w:lvlJc w:val="left"/>
      <w:pPr>
        <w:ind w:left="4080" w:hanging="360"/>
      </w:pPr>
    </w:lvl>
    <w:lvl w:ilvl="4" w:tplc="08160019" w:tentative="1">
      <w:start w:val="1"/>
      <w:numFmt w:val="lowerLetter"/>
      <w:lvlText w:val="%5."/>
      <w:lvlJc w:val="left"/>
      <w:pPr>
        <w:ind w:left="4800" w:hanging="360"/>
      </w:pPr>
    </w:lvl>
    <w:lvl w:ilvl="5" w:tplc="0816001B" w:tentative="1">
      <w:start w:val="1"/>
      <w:numFmt w:val="lowerRoman"/>
      <w:lvlText w:val="%6."/>
      <w:lvlJc w:val="right"/>
      <w:pPr>
        <w:ind w:left="5520" w:hanging="180"/>
      </w:pPr>
    </w:lvl>
    <w:lvl w:ilvl="6" w:tplc="0816000F" w:tentative="1">
      <w:start w:val="1"/>
      <w:numFmt w:val="decimal"/>
      <w:lvlText w:val="%7."/>
      <w:lvlJc w:val="left"/>
      <w:pPr>
        <w:ind w:left="6240" w:hanging="360"/>
      </w:pPr>
    </w:lvl>
    <w:lvl w:ilvl="7" w:tplc="08160019" w:tentative="1">
      <w:start w:val="1"/>
      <w:numFmt w:val="lowerLetter"/>
      <w:lvlText w:val="%8."/>
      <w:lvlJc w:val="left"/>
      <w:pPr>
        <w:ind w:left="6960" w:hanging="360"/>
      </w:pPr>
    </w:lvl>
    <w:lvl w:ilvl="8" w:tplc="0816001B" w:tentative="1">
      <w:start w:val="1"/>
      <w:numFmt w:val="lowerRoman"/>
      <w:lvlText w:val="%9."/>
      <w:lvlJc w:val="right"/>
      <w:pPr>
        <w:ind w:left="7680" w:hanging="180"/>
      </w:pPr>
    </w:lvl>
  </w:abstractNum>
  <w:abstractNum w:abstractNumId="48" w15:restartNumberingAfterBreak="0">
    <w:nsid w:val="615C4592"/>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820723"/>
    <w:multiLevelType w:val="hybridMultilevel"/>
    <w:tmpl w:val="E5069E18"/>
    <w:lvl w:ilvl="0" w:tplc="703E7332">
      <w:start w:val="1"/>
      <w:numFmt w:val="lowerLetter"/>
      <w:lvlText w:val="%1)"/>
      <w:lvlJc w:val="left"/>
      <w:pPr>
        <w:ind w:left="720" w:hanging="360"/>
      </w:pPr>
      <w:rPr>
        <w:i/>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2B4682E0">
      <w:start w:val="1"/>
      <w:numFmt w:val="decimal"/>
      <w:lvlText w:val="%4 -"/>
      <w:lvlJc w:val="left"/>
      <w:pPr>
        <w:ind w:left="928" w:hanging="360"/>
      </w:pPr>
      <w:rPr>
        <w:rFonts w:hint="default"/>
      </w:r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0" w15:restartNumberingAfterBreak="0">
    <w:nsid w:val="61C75E5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2C60394"/>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60072"/>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4736F18"/>
    <w:multiLevelType w:val="hybridMultilevel"/>
    <w:tmpl w:val="5C606C2C"/>
    <w:lvl w:ilvl="0" w:tplc="BDDC2812">
      <w:start w:val="1"/>
      <w:numFmt w:val="lowerRoman"/>
      <w:lvlText w:val="%1)"/>
      <w:lvlJc w:val="right"/>
      <w:pPr>
        <w:ind w:left="1428" w:hanging="360"/>
      </w:pPr>
      <w:rPr>
        <w:rFonts w:hint="default"/>
        <w:b w:val="0"/>
        <w:i/>
      </w:rPr>
    </w:lvl>
    <w:lvl w:ilvl="1" w:tplc="08160019" w:tentative="1">
      <w:start w:val="1"/>
      <w:numFmt w:val="lowerLetter"/>
      <w:lvlText w:val="%2."/>
      <w:lvlJc w:val="left"/>
      <w:pPr>
        <w:ind w:left="2148" w:hanging="360"/>
      </w:pPr>
    </w:lvl>
    <w:lvl w:ilvl="2" w:tplc="EC3A1064">
      <w:start w:val="1"/>
      <w:numFmt w:val="lowerRoman"/>
      <w:lvlText w:val="%3)"/>
      <w:lvlJc w:val="left"/>
      <w:pPr>
        <w:ind w:left="2868" w:hanging="180"/>
      </w:pPr>
      <w:rPr>
        <w:i/>
      </w:rPr>
    </w:lvl>
    <w:lvl w:ilvl="3" w:tplc="0816000F">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54" w15:restartNumberingAfterBreak="0">
    <w:nsid w:val="65D7410C"/>
    <w:multiLevelType w:val="hybridMultilevel"/>
    <w:tmpl w:val="894CA528"/>
    <w:lvl w:ilvl="0" w:tplc="2B4682E0">
      <w:start w:val="1"/>
      <w:numFmt w:val="decimal"/>
      <w:lvlText w:val="%1 -"/>
      <w:lvlJc w:val="left"/>
      <w:pPr>
        <w:ind w:left="2880" w:hanging="360"/>
      </w:pPr>
      <w:rPr>
        <w:rFonts w:hint="default"/>
      </w:rPr>
    </w:lvl>
    <w:lvl w:ilvl="1" w:tplc="08160019" w:tentative="1">
      <w:start w:val="1"/>
      <w:numFmt w:val="lowerLetter"/>
      <w:lvlText w:val="%2."/>
      <w:lvlJc w:val="left"/>
      <w:pPr>
        <w:ind w:left="3392" w:hanging="360"/>
      </w:pPr>
    </w:lvl>
    <w:lvl w:ilvl="2" w:tplc="0816001B" w:tentative="1">
      <w:start w:val="1"/>
      <w:numFmt w:val="lowerRoman"/>
      <w:lvlText w:val="%3."/>
      <w:lvlJc w:val="right"/>
      <w:pPr>
        <w:ind w:left="4112" w:hanging="180"/>
      </w:pPr>
    </w:lvl>
    <w:lvl w:ilvl="3" w:tplc="0816000F" w:tentative="1">
      <w:start w:val="1"/>
      <w:numFmt w:val="decimal"/>
      <w:lvlText w:val="%4."/>
      <w:lvlJc w:val="left"/>
      <w:pPr>
        <w:ind w:left="4832" w:hanging="360"/>
      </w:pPr>
    </w:lvl>
    <w:lvl w:ilvl="4" w:tplc="08160019" w:tentative="1">
      <w:start w:val="1"/>
      <w:numFmt w:val="lowerLetter"/>
      <w:lvlText w:val="%5."/>
      <w:lvlJc w:val="left"/>
      <w:pPr>
        <w:ind w:left="5552" w:hanging="360"/>
      </w:pPr>
    </w:lvl>
    <w:lvl w:ilvl="5" w:tplc="0816001B" w:tentative="1">
      <w:start w:val="1"/>
      <w:numFmt w:val="lowerRoman"/>
      <w:lvlText w:val="%6."/>
      <w:lvlJc w:val="right"/>
      <w:pPr>
        <w:ind w:left="6272" w:hanging="180"/>
      </w:pPr>
    </w:lvl>
    <w:lvl w:ilvl="6" w:tplc="0816000F" w:tentative="1">
      <w:start w:val="1"/>
      <w:numFmt w:val="decimal"/>
      <w:lvlText w:val="%7."/>
      <w:lvlJc w:val="left"/>
      <w:pPr>
        <w:ind w:left="6992" w:hanging="360"/>
      </w:pPr>
    </w:lvl>
    <w:lvl w:ilvl="7" w:tplc="08160019" w:tentative="1">
      <w:start w:val="1"/>
      <w:numFmt w:val="lowerLetter"/>
      <w:lvlText w:val="%8."/>
      <w:lvlJc w:val="left"/>
      <w:pPr>
        <w:ind w:left="7712" w:hanging="360"/>
      </w:pPr>
    </w:lvl>
    <w:lvl w:ilvl="8" w:tplc="0816001B" w:tentative="1">
      <w:start w:val="1"/>
      <w:numFmt w:val="lowerRoman"/>
      <w:lvlText w:val="%9."/>
      <w:lvlJc w:val="right"/>
      <w:pPr>
        <w:ind w:left="8432" w:hanging="180"/>
      </w:pPr>
    </w:lvl>
  </w:abstractNum>
  <w:abstractNum w:abstractNumId="55" w15:restartNumberingAfterBreak="0">
    <w:nsid w:val="66C864AC"/>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7126E0D"/>
    <w:multiLevelType w:val="hybridMultilevel"/>
    <w:tmpl w:val="58DEBD78"/>
    <w:lvl w:ilvl="0" w:tplc="16A63D62">
      <w:start w:val="1"/>
      <w:numFmt w:val="upperRoman"/>
      <w:pStyle w:val="Heading3"/>
      <w:lvlText w:val="Załącznik %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FA67F0D"/>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0F4586"/>
    <w:multiLevelType w:val="hybridMultilevel"/>
    <w:tmpl w:val="71EE5BBC"/>
    <w:lvl w:ilvl="0" w:tplc="0A641980">
      <w:start w:val="1"/>
      <w:numFmt w:val="lowerLetter"/>
      <w:lvlText w:val="%1)"/>
      <w:lvlJc w:val="left"/>
      <w:pPr>
        <w:ind w:left="1440" w:hanging="360"/>
      </w:pPr>
      <w:rPr>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2A32F8E"/>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2EA5288"/>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3974408"/>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41F1A1B"/>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4715A9E"/>
    <w:multiLevelType w:val="hybridMultilevel"/>
    <w:tmpl w:val="41CA431A"/>
    <w:lvl w:ilvl="0" w:tplc="2B4682E0">
      <w:start w:val="1"/>
      <w:numFmt w:val="decimal"/>
      <w:lvlText w:val="%1 -"/>
      <w:lvlJc w:val="left"/>
      <w:pPr>
        <w:ind w:left="720" w:hanging="360"/>
      </w:pPr>
      <w:rPr>
        <w:rFonts w:hint="default"/>
      </w:rPr>
    </w:lvl>
    <w:lvl w:ilvl="1" w:tplc="4774ADE4">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8F77A6A"/>
    <w:multiLevelType w:val="multilevel"/>
    <w:tmpl w:val="FC9817B0"/>
    <w:lvl w:ilvl="0">
      <w:start w:val="1"/>
      <w:numFmt w:val="decimal"/>
      <w:lvlText w:val="%1)"/>
      <w:lvlJc w:val="left"/>
      <w:pPr>
        <w:ind w:left="360" w:hanging="360"/>
      </w:p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E031AE6"/>
    <w:multiLevelType w:val="hybridMultilevel"/>
    <w:tmpl w:val="8B78239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F2C15CA"/>
    <w:multiLevelType w:val="hybridMultilevel"/>
    <w:tmpl w:val="3A1490E8"/>
    <w:lvl w:ilvl="0" w:tplc="EC3A1064">
      <w:start w:val="1"/>
      <w:numFmt w:val="lowerRoman"/>
      <w:lvlText w:val="%1)"/>
      <w:lvlJc w:val="left"/>
      <w:pPr>
        <w:ind w:left="1068" w:hanging="360"/>
      </w:pPr>
      <w:rPr>
        <w:i/>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start w:val="1"/>
      <w:numFmt w:val="lowerLetter"/>
      <w:lvlText w:val="%5."/>
      <w:lvlJc w:val="left"/>
      <w:pPr>
        <w:ind w:left="3948" w:hanging="360"/>
      </w:pPr>
    </w:lvl>
    <w:lvl w:ilvl="5" w:tplc="0816001B">
      <w:start w:val="1"/>
      <w:numFmt w:val="lowerRoman"/>
      <w:lvlText w:val="%6."/>
      <w:lvlJc w:val="right"/>
      <w:pPr>
        <w:ind w:left="4668" w:hanging="180"/>
      </w:pPr>
    </w:lvl>
    <w:lvl w:ilvl="6" w:tplc="0816000F">
      <w:start w:val="1"/>
      <w:numFmt w:val="decimal"/>
      <w:lvlText w:val="%7."/>
      <w:lvlJc w:val="left"/>
      <w:pPr>
        <w:ind w:left="5388" w:hanging="360"/>
      </w:pPr>
    </w:lvl>
    <w:lvl w:ilvl="7" w:tplc="08160019">
      <w:start w:val="1"/>
      <w:numFmt w:val="lowerLetter"/>
      <w:lvlText w:val="%8."/>
      <w:lvlJc w:val="left"/>
      <w:pPr>
        <w:ind w:left="6108" w:hanging="360"/>
      </w:pPr>
    </w:lvl>
    <w:lvl w:ilvl="8" w:tplc="0816001B">
      <w:start w:val="1"/>
      <w:numFmt w:val="lowerRoman"/>
      <w:lvlText w:val="%9."/>
      <w:lvlJc w:val="right"/>
      <w:pPr>
        <w:ind w:left="6828" w:hanging="180"/>
      </w:pPr>
    </w:lvl>
  </w:abstractNum>
  <w:abstractNum w:abstractNumId="67" w15:restartNumberingAfterBreak="0">
    <w:nsid w:val="7F3C0250"/>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FC626B1"/>
    <w:multiLevelType w:val="hybridMultilevel"/>
    <w:tmpl w:val="86980214"/>
    <w:lvl w:ilvl="0" w:tplc="2B4682E0">
      <w:start w:val="1"/>
      <w:numFmt w:val="decimal"/>
      <w:lvlText w:val="%1 -"/>
      <w:lvlJc w:val="left"/>
      <w:pPr>
        <w:ind w:left="92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4"/>
  </w:num>
  <w:num w:numId="2">
    <w:abstractNumId w:val="2"/>
  </w:num>
  <w:num w:numId="3">
    <w:abstractNumId w:val="3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3"/>
  </w:num>
  <w:num w:numId="7">
    <w:abstractNumId w:val="53"/>
  </w:num>
  <w:num w:numId="8">
    <w:abstractNumId w:val="56"/>
  </w:num>
  <w:num w:numId="9">
    <w:abstractNumId w:val="14"/>
  </w:num>
  <w:num w:numId="10">
    <w:abstractNumId w:val="27"/>
  </w:num>
  <w:num w:numId="11">
    <w:abstractNumId w:val="0"/>
  </w:num>
  <w:num w:numId="12">
    <w:abstractNumId w:val="49"/>
  </w:num>
  <w:num w:numId="13">
    <w:abstractNumId w:val="62"/>
  </w:num>
  <w:num w:numId="14">
    <w:abstractNumId w:val="47"/>
  </w:num>
  <w:num w:numId="15">
    <w:abstractNumId w:val="64"/>
  </w:num>
  <w:num w:numId="16">
    <w:abstractNumId w:val="52"/>
  </w:num>
  <w:num w:numId="17">
    <w:abstractNumId w:val="22"/>
  </w:num>
  <w:num w:numId="18">
    <w:abstractNumId w:val="63"/>
  </w:num>
  <w:num w:numId="19">
    <w:abstractNumId w:val="50"/>
  </w:num>
  <w:num w:numId="20">
    <w:abstractNumId w:val="20"/>
  </w:num>
  <w:num w:numId="21">
    <w:abstractNumId w:val="15"/>
  </w:num>
  <w:num w:numId="22">
    <w:abstractNumId w:val="39"/>
  </w:num>
  <w:num w:numId="23">
    <w:abstractNumId w:val="68"/>
  </w:num>
  <w:num w:numId="24">
    <w:abstractNumId w:val="40"/>
  </w:num>
  <w:num w:numId="25">
    <w:abstractNumId w:val="11"/>
  </w:num>
  <w:num w:numId="26">
    <w:abstractNumId w:val="7"/>
  </w:num>
  <w:num w:numId="27">
    <w:abstractNumId w:val="51"/>
  </w:num>
  <w:num w:numId="28">
    <w:abstractNumId w:val="8"/>
  </w:num>
  <w:num w:numId="29">
    <w:abstractNumId w:val="21"/>
  </w:num>
  <w:num w:numId="30">
    <w:abstractNumId w:val="1"/>
  </w:num>
  <w:num w:numId="31">
    <w:abstractNumId w:val="18"/>
  </w:num>
  <w:num w:numId="32">
    <w:abstractNumId w:val="61"/>
  </w:num>
  <w:num w:numId="33">
    <w:abstractNumId w:val="55"/>
  </w:num>
  <w:num w:numId="34">
    <w:abstractNumId w:val="16"/>
  </w:num>
  <w:num w:numId="35">
    <w:abstractNumId w:val="57"/>
  </w:num>
  <w:num w:numId="36">
    <w:abstractNumId w:val="65"/>
  </w:num>
  <w:num w:numId="37">
    <w:abstractNumId w:val="25"/>
  </w:num>
  <w:num w:numId="38">
    <w:abstractNumId w:val="19"/>
  </w:num>
  <w:num w:numId="39">
    <w:abstractNumId w:val="28"/>
  </w:num>
  <w:num w:numId="40">
    <w:abstractNumId w:val="48"/>
  </w:num>
  <w:num w:numId="41">
    <w:abstractNumId w:val="3"/>
  </w:num>
  <w:num w:numId="42">
    <w:abstractNumId w:val="26"/>
  </w:num>
  <w:num w:numId="43">
    <w:abstractNumId w:val="23"/>
  </w:num>
  <w:num w:numId="44">
    <w:abstractNumId w:val="6"/>
  </w:num>
  <w:num w:numId="45">
    <w:abstractNumId w:val="66"/>
  </w:num>
  <w:num w:numId="46">
    <w:abstractNumId w:val="58"/>
  </w:num>
  <w:num w:numId="47">
    <w:abstractNumId w:val="37"/>
  </w:num>
  <w:num w:numId="48">
    <w:abstractNumId w:val="32"/>
  </w:num>
  <w:num w:numId="49">
    <w:abstractNumId w:val="46"/>
  </w:num>
  <w:num w:numId="50">
    <w:abstractNumId w:val="54"/>
  </w:num>
  <w:num w:numId="51">
    <w:abstractNumId w:val="30"/>
  </w:num>
  <w:num w:numId="52">
    <w:abstractNumId w:val="34"/>
  </w:num>
  <w:num w:numId="53">
    <w:abstractNumId w:val="17"/>
  </w:num>
  <w:num w:numId="54">
    <w:abstractNumId w:val="24"/>
  </w:num>
  <w:num w:numId="55">
    <w:abstractNumId w:val="13"/>
  </w:num>
  <w:num w:numId="56">
    <w:abstractNumId w:val="12"/>
  </w:num>
  <w:num w:numId="57">
    <w:abstractNumId w:val="41"/>
  </w:num>
  <w:num w:numId="58">
    <w:abstractNumId w:val="35"/>
  </w:num>
  <w:num w:numId="59">
    <w:abstractNumId w:val="31"/>
  </w:num>
  <w:num w:numId="60">
    <w:abstractNumId w:val="29"/>
  </w:num>
  <w:num w:numId="61">
    <w:abstractNumId w:val="36"/>
  </w:num>
  <w:num w:numId="62">
    <w:abstractNumId w:val="33"/>
  </w:num>
  <w:num w:numId="63">
    <w:abstractNumId w:val="59"/>
  </w:num>
  <w:num w:numId="64">
    <w:abstractNumId w:val="67"/>
  </w:num>
  <w:num w:numId="65">
    <w:abstractNumId w:val="10"/>
  </w:num>
  <w:num w:numId="66">
    <w:abstractNumId w:val="60"/>
  </w:num>
  <w:num w:numId="67">
    <w:abstractNumId w:val="45"/>
  </w:num>
  <w:num w:numId="68">
    <w:abstractNumId w:val="9"/>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757"/>
    <w:rsid w:val="00004334"/>
    <w:rsid w:val="000062E0"/>
    <w:rsid w:val="00006B68"/>
    <w:rsid w:val="00007109"/>
    <w:rsid w:val="00010D04"/>
    <w:rsid w:val="0001108C"/>
    <w:rsid w:val="00014396"/>
    <w:rsid w:val="00014E5F"/>
    <w:rsid w:val="000216F2"/>
    <w:rsid w:val="0002587F"/>
    <w:rsid w:val="00033B03"/>
    <w:rsid w:val="00036184"/>
    <w:rsid w:val="00040333"/>
    <w:rsid w:val="00040D73"/>
    <w:rsid w:val="00041479"/>
    <w:rsid w:val="00045ECB"/>
    <w:rsid w:val="00052FC6"/>
    <w:rsid w:val="00054A1A"/>
    <w:rsid w:val="00054EAE"/>
    <w:rsid w:val="0005584B"/>
    <w:rsid w:val="00055892"/>
    <w:rsid w:val="00057951"/>
    <w:rsid w:val="000600E7"/>
    <w:rsid w:val="00061AA4"/>
    <w:rsid w:val="000624C7"/>
    <w:rsid w:val="0006435A"/>
    <w:rsid w:val="00067FE6"/>
    <w:rsid w:val="00070A0C"/>
    <w:rsid w:val="00073215"/>
    <w:rsid w:val="00077048"/>
    <w:rsid w:val="00081139"/>
    <w:rsid w:val="00081672"/>
    <w:rsid w:val="000843A0"/>
    <w:rsid w:val="00091DD7"/>
    <w:rsid w:val="00091E78"/>
    <w:rsid w:val="00092AED"/>
    <w:rsid w:val="00092BC2"/>
    <w:rsid w:val="000933C0"/>
    <w:rsid w:val="000A440A"/>
    <w:rsid w:val="000A5AF9"/>
    <w:rsid w:val="000A6D64"/>
    <w:rsid w:val="000B1395"/>
    <w:rsid w:val="000B232D"/>
    <w:rsid w:val="000B5D90"/>
    <w:rsid w:val="000C1496"/>
    <w:rsid w:val="000C351A"/>
    <w:rsid w:val="000C5357"/>
    <w:rsid w:val="000C6EEA"/>
    <w:rsid w:val="000C7AD4"/>
    <w:rsid w:val="000D3116"/>
    <w:rsid w:val="000D53C5"/>
    <w:rsid w:val="000E29F8"/>
    <w:rsid w:val="000E33FB"/>
    <w:rsid w:val="000E38BD"/>
    <w:rsid w:val="000F077F"/>
    <w:rsid w:val="000F1553"/>
    <w:rsid w:val="000F5032"/>
    <w:rsid w:val="000F6DCC"/>
    <w:rsid w:val="001012F9"/>
    <w:rsid w:val="0010209F"/>
    <w:rsid w:val="00105C80"/>
    <w:rsid w:val="00116D8C"/>
    <w:rsid w:val="001171C4"/>
    <w:rsid w:val="001222AD"/>
    <w:rsid w:val="00124A0A"/>
    <w:rsid w:val="001257FD"/>
    <w:rsid w:val="0012646D"/>
    <w:rsid w:val="00127D8B"/>
    <w:rsid w:val="0013619A"/>
    <w:rsid w:val="0014162A"/>
    <w:rsid w:val="00144B84"/>
    <w:rsid w:val="001508BE"/>
    <w:rsid w:val="00152321"/>
    <w:rsid w:val="001617A7"/>
    <w:rsid w:val="00162EF3"/>
    <w:rsid w:val="00163405"/>
    <w:rsid w:val="00164BE8"/>
    <w:rsid w:val="00165ADE"/>
    <w:rsid w:val="00166A58"/>
    <w:rsid w:val="00170628"/>
    <w:rsid w:val="00171A5A"/>
    <w:rsid w:val="00172DCA"/>
    <w:rsid w:val="00172E85"/>
    <w:rsid w:val="0018147D"/>
    <w:rsid w:val="00182AD4"/>
    <w:rsid w:val="00186111"/>
    <w:rsid w:val="00190667"/>
    <w:rsid w:val="001912BE"/>
    <w:rsid w:val="001976FC"/>
    <w:rsid w:val="00197BF8"/>
    <w:rsid w:val="001A0286"/>
    <w:rsid w:val="001A4AAD"/>
    <w:rsid w:val="001A4D54"/>
    <w:rsid w:val="001B0B31"/>
    <w:rsid w:val="001C5248"/>
    <w:rsid w:val="001C5980"/>
    <w:rsid w:val="001C632F"/>
    <w:rsid w:val="001D278E"/>
    <w:rsid w:val="001D3C9D"/>
    <w:rsid w:val="001D4FEE"/>
    <w:rsid w:val="001D7D5A"/>
    <w:rsid w:val="001E0B00"/>
    <w:rsid w:val="001E12B7"/>
    <w:rsid w:val="001E337A"/>
    <w:rsid w:val="001E4779"/>
    <w:rsid w:val="001F4E2F"/>
    <w:rsid w:val="001F7456"/>
    <w:rsid w:val="00200376"/>
    <w:rsid w:val="00201453"/>
    <w:rsid w:val="00201636"/>
    <w:rsid w:val="00205C37"/>
    <w:rsid w:val="00216CAB"/>
    <w:rsid w:val="002310F9"/>
    <w:rsid w:val="00231C0A"/>
    <w:rsid w:val="0023255A"/>
    <w:rsid w:val="0023346E"/>
    <w:rsid w:val="00241552"/>
    <w:rsid w:val="002421EA"/>
    <w:rsid w:val="002521A7"/>
    <w:rsid w:val="0025489D"/>
    <w:rsid w:val="00262186"/>
    <w:rsid w:val="00263C94"/>
    <w:rsid w:val="00271F5B"/>
    <w:rsid w:val="0027294A"/>
    <w:rsid w:val="00272EF8"/>
    <w:rsid w:val="0027492F"/>
    <w:rsid w:val="00275E26"/>
    <w:rsid w:val="00276240"/>
    <w:rsid w:val="0027658F"/>
    <w:rsid w:val="00280359"/>
    <w:rsid w:val="0028259B"/>
    <w:rsid w:val="002845B5"/>
    <w:rsid w:val="00284CB1"/>
    <w:rsid w:val="002856D7"/>
    <w:rsid w:val="00285B71"/>
    <w:rsid w:val="002943D5"/>
    <w:rsid w:val="002A1520"/>
    <w:rsid w:val="002A32BE"/>
    <w:rsid w:val="002B07FB"/>
    <w:rsid w:val="002B3376"/>
    <w:rsid w:val="002B37F4"/>
    <w:rsid w:val="002B499A"/>
    <w:rsid w:val="002B4BF3"/>
    <w:rsid w:val="002B55CA"/>
    <w:rsid w:val="002D5416"/>
    <w:rsid w:val="002E1128"/>
    <w:rsid w:val="002E1C35"/>
    <w:rsid w:val="002E39C6"/>
    <w:rsid w:val="002F0C08"/>
    <w:rsid w:val="002F5600"/>
    <w:rsid w:val="002F5931"/>
    <w:rsid w:val="002F5B07"/>
    <w:rsid w:val="002F684F"/>
    <w:rsid w:val="0030214C"/>
    <w:rsid w:val="00302848"/>
    <w:rsid w:val="003035F6"/>
    <w:rsid w:val="003067B2"/>
    <w:rsid w:val="00307CFE"/>
    <w:rsid w:val="003120A6"/>
    <w:rsid w:val="003146BB"/>
    <w:rsid w:val="003163DE"/>
    <w:rsid w:val="003176D3"/>
    <w:rsid w:val="00317D24"/>
    <w:rsid w:val="003207BA"/>
    <w:rsid w:val="003241D2"/>
    <w:rsid w:val="00324CCE"/>
    <w:rsid w:val="003279D7"/>
    <w:rsid w:val="00327A73"/>
    <w:rsid w:val="003307FF"/>
    <w:rsid w:val="00330E63"/>
    <w:rsid w:val="0033525C"/>
    <w:rsid w:val="0034515E"/>
    <w:rsid w:val="003517C6"/>
    <w:rsid w:val="00351C72"/>
    <w:rsid w:val="0035214A"/>
    <w:rsid w:val="00355C0C"/>
    <w:rsid w:val="003679EF"/>
    <w:rsid w:val="0037079D"/>
    <w:rsid w:val="00371285"/>
    <w:rsid w:val="00373A84"/>
    <w:rsid w:val="00380A5C"/>
    <w:rsid w:val="0038660E"/>
    <w:rsid w:val="00390143"/>
    <w:rsid w:val="003929D2"/>
    <w:rsid w:val="003955BA"/>
    <w:rsid w:val="00397243"/>
    <w:rsid w:val="00397D00"/>
    <w:rsid w:val="003A31EA"/>
    <w:rsid w:val="003A4480"/>
    <w:rsid w:val="003A48D5"/>
    <w:rsid w:val="003A568F"/>
    <w:rsid w:val="003A6EB6"/>
    <w:rsid w:val="003B1E95"/>
    <w:rsid w:val="003B2C53"/>
    <w:rsid w:val="003B40FD"/>
    <w:rsid w:val="003B6098"/>
    <w:rsid w:val="003B738C"/>
    <w:rsid w:val="003B7AD3"/>
    <w:rsid w:val="003B7CDD"/>
    <w:rsid w:val="003B7D3E"/>
    <w:rsid w:val="003B7EF0"/>
    <w:rsid w:val="003C2FA4"/>
    <w:rsid w:val="003C5F97"/>
    <w:rsid w:val="003D077F"/>
    <w:rsid w:val="003D0F20"/>
    <w:rsid w:val="003E2913"/>
    <w:rsid w:val="003E48A6"/>
    <w:rsid w:val="003E7269"/>
    <w:rsid w:val="003F14EA"/>
    <w:rsid w:val="003F3CD8"/>
    <w:rsid w:val="003F40CB"/>
    <w:rsid w:val="003F42AF"/>
    <w:rsid w:val="003F5B7B"/>
    <w:rsid w:val="003F5BA9"/>
    <w:rsid w:val="003F6B93"/>
    <w:rsid w:val="004010E0"/>
    <w:rsid w:val="00401F93"/>
    <w:rsid w:val="0040499B"/>
    <w:rsid w:val="004060D1"/>
    <w:rsid w:val="004072AD"/>
    <w:rsid w:val="00407DEE"/>
    <w:rsid w:val="00410873"/>
    <w:rsid w:val="00412F32"/>
    <w:rsid w:val="00412FEF"/>
    <w:rsid w:val="00417E45"/>
    <w:rsid w:val="00423282"/>
    <w:rsid w:val="004243A1"/>
    <w:rsid w:val="00433A38"/>
    <w:rsid w:val="0043511D"/>
    <w:rsid w:val="004352AA"/>
    <w:rsid w:val="004366EF"/>
    <w:rsid w:val="004400C2"/>
    <w:rsid w:val="004412FD"/>
    <w:rsid w:val="0044301E"/>
    <w:rsid w:val="00444B37"/>
    <w:rsid w:val="0045113B"/>
    <w:rsid w:val="00451876"/>
    <w:rsid w:val="004526A9"/>
    <w:rsid w:val="00452EC4"/>
    <w:rsid w:val="004551A4"/>
    <w:rsid w:val="00455329"/>
    <w:rsid w:val="00460F43"/>
    <w:rsid w:val="0046301F"/>
    <w:rsid w:val="004728F7"/>
    <w:rsid w:val="00480D92"/>
    <w:rsid w:val="004829AB"/>
    <w:rsid w:val="004854CF"/>
    <w:rsid w:val="00485945"/>
    <w:rsid w:val="00486308"/>
    <w:rsid w:val="004864E7"/>
    <w:rsid w:val="004A192F"/>
    <w:rsid w:val="004A2BF1"/>
    <w:rsid w:val="004A318C"/>
    <w:rsid w:val="004A480B"/>
    <w:rsid w:val="004A6360"/>
    <w:rsid w:val="004B3546"/>
    <w:rsid w:val="004B632A"/>
    <w:rsid w:val="004C6401"/>
    <w:rsid w:val="004C777A"/>
    <w:rsid w:val="004D1142"/>
    <w:rsid w:val="004E09D6"/>
    <w:rsid w:val="004E1231"/>
    <w:rsid w:val="004E62F8"/>
    <w:rsid w:val="004F01C9"/>
    <w:rsid w:val="004F67BE"/>
    <w:rsid w:val="004F6945"/>
    <w:rsid w:val="004F7464"/>
    <w:rsid w:val="00500119"/>
    <w:rsid w:val="005016C9"/>
    <w:rsid w:val="00502353"/>
    <w:rsid w:val="005109DB"/>
    <w:rsid w:val="005130A5"/>
    <w:rsid w:val="005143F2"/>
    <w:rsid w:val="00522335"/>
    <w:rsid w:val="0052378C"/>
    <w:rsid w:val="005248A7"/>
    <w:rsid w:val="00536AC7"/>
    <w:rsid w:val="00537243"/>
    <w:rsid w:val="00540495"/>
    <w:rsid w:val="005414C1"/>
    <w:rsid w:val="00541F00"/>
    <w:rsid w:val="00542A5A"/>
    <w:rsid w:val="00544073"/>
    <w:rsid w:val="0055353E"/>
    <w:rsid w:val="00562DB6"/>
    <w:rsid w:val="005630B1"/>
    <w:rsid w:val="005644EA"/>
    <w:rsid w:val="005665D8"/>
    <w:rsid w:val="00567B64"/>
    <w:rsid w:val="00573522"/>
    <w:rsid w:val="00575347"/>
    <w:rsid w:val="005760FA"/>
    <w:rsid w:val="00580E90"/>
    <w:rsid w:val="00583B4E"/>
    <w:rsid w:val="00583C6E"/>
    <w:rsid w:val="00586839"/>
    <w:rsid w:val="00586A43"/>
    <w:rsid w:val="00590C52"/>
    <w:rsid w:val="00590D62"/>
    <w:rsid w:val="005A5E59"/>
    <w:rsid w:val="005B7604"/>
    <w:rsid w:val="005B7E3F"/>
    <w:rsid w:val="005C2187"/>
    <w:rsid w:val="005C584A"/>
    <w:rsid w:val="005C70F1"/>
    <w:rsid w:val="005C719D"/>
    <w:rsid w:val="005D2783"/>
    <w:rsid w:val="005D3824"/>
    <w:rsid w:val="005D508B"/>
    <w:rsid w:val="005D68EA"/>
    <w:rsid w:val="005E08E7"/>
    <w:rsid w:val="005E5AC3"/>
    <w:rsid w:val="005E70D6"/>
    <w:rsid w:val="005F1FD7"/>
    <w:rsid w:val="005F417E"/>
    <w:rsid w:val="005F42E9"/>
    <w:rsid w:val="005F5411"/>
    <w:rsid w:val="00600886"/>
    <w:rsid w:val="00602922"/>
    <w:rsid w:val="006079A7"/>
    <w:rsid w:val="006139D1"/>
    <w:rsid w:val="00615E24"/>
    <w:rsid w:val="006236DA"/>
    <w:rsid w:val="00627930"/>
    <w:rsid w:val="00630471"/>
    <w:rsid w:val="00632F42"/>
    <w:rsid w:val="00633146"/>
    <w:rsid w:val="006336DE"/>
    <w:rsid w:val="0063372A"/>
    <w:rsid w:val="0063711A"/>
    <w:rsid w:val="00637341"/>
    <w:rsid w:val="00640B81"/>
    <w:rsid w:val="006418B1"/>
    <w:rsid w:val="00644A07"/>
    <w:rsid w:val="00647079"/>
    <w:rsid w:val="0065229B"/>
    <w:rsid w:val="006539B8"/>
    <w:rsid w:val="00655287"/>
    <w:rsid w:val="00660F8D"/>
    <w:rsid w:val="006610EC"/>
    <w:rsid w:val="00661287"/>
    <w:rsid w:val="00664F99"/>
    <w:rsid w:val="0066664C"/>
    <w:rsid w:val="006670DD"/>
    <w:rsid w:val="0066757C"/>
    <w:rsid w:val="00667FE9"/>
    <w:rsid w:val="00671CF1"/>
    <w:rsid w:val="006802F6"/>
    <w:rsid w:val="006804AE"/>
    <w:rsid w:val="00687AAA"/>
    <w:rsid w:val="00687CC3"/>
    <w:rsid w:val="00690F31"/>
    <w:rsid w:val="0069117E"/>
    <w:rsid w:val="006923D5"/>
    <w:rsid w:val="00694109"/>
    <w:rsid w:val="0069538A"/>
    <w:rsid w:val="00697A64"/>
    <w:rsid w:val="006A0EC2"/>
    <w:rsid w:val="006A3393"/>
    <w:rsid w:val="006A48D0"/>
    <w:rsid w:val="006A5C0B"/>
    <w:rsid w:val="006A5FE8"/>
    <w:rsid w:val="006A6A15"/>
    <w:rsid w:val="006B0045"/>
    <w:rsid w:val="006B0668"/>
    <w:rsid w:val="006B1ABC"/>
    <w:rsid w:val="006B2A11"/>
    <w:rsid w:val="006C58E5"/>
    <w:rsid w:val="006C7BE2"/>
    <w:rsid w:val="006D472D"/>
    <w:rsid w:val="006D7B8B"/>
    <w:rsid w:val="006E492C"/>
    <w:rsid w:val="006E5E19"/>
    <w:rsid w:val="006E6B90"/>
    <w:rsid w:val="006F23E4"/>
    <w:rsid w:val="00700314"/>
    <w:rsid w:val="00701DFF"/>
    <w:rsid w:val="00702B09"/>
    <w:rsid w:val="00710998"/>
    <w:rsid w:val="0071171C"/>
    <w:rsid w:val="00714103"/>
    <w:rsid w:val="00720039"/>
    <w:rsid w:val="00720090"/>
    <w:rsid w:val="00726285"/>
    <w:rsid w:val="00727AB1"/>
    <w:rsid w:val="007311B2"/>
    <w:rsid w:val="0073210C"/>
    <w:rsid w:val="0073669A"/>
    <w:rsid w:val="0073716A"/>
    <w:rsid w:val="00737467"/>
    <w:rsid w:val="0074102C"/>
    <w:rsid w:val="00742CC9"/>
    <w:rsid w:val="00742FDD"/>
    <w:rsid w:val="00743415"/>
    <w:rsid w:val="007443AC"/>
    <w:rsid w:val="00745A82"/>
    <w:rsid w:val="00745F8D"/>
    <w:rsid w:val="00747BE6"/>
    <w:rsid w:val="007501D7"/>
    <w:rsid w:val="0075174E"/>
    <w:rsid w:val="00757BC4"/>
    <w:rsid w:val="00757D3C"/>
    <w:rsid w:val="0076137D"/>
    <w:rsid w:val="007627B3"/>
    <w:rsid w:val="00767829"/>
    <w:rsid w:val="00771237"/>
    <w:rsid w:val="00780E56"/>
    <w:rsid w:val="00786257"/>
    <w:rsid w:val="00786C9D"/>
    <w:rsid w:val="007879A9"/>
    <w:rsid w:val="007922B0"/>
    <w:rsid w:val="00794BCB"/>
    <w:rsid w:val="00796318"/>
    <w:rsid w:val="007A078C"/>
    <w:rsid w:val="007A09FC"/>
    <w:rsid w:val="007A4B3C"/>
    <w:rsid w:val="007A4E87"/>
    <w:rsid w:val="007A7C70"/>
    <w:rsid w:val="007B286C"/>
    <w:rsid w:val="007B2E82"/>
    <w:rsid w:val="007B6FE0"/>
    <w:rsid w:val="007B7409"/>
    <w:rsid w:val="007C0F01"/>
    <w:rsid w:val="007C610D"/>
    <w:rsid w:val="007C6D38"/>
    <w:rsid w:val="007D2095"/>
    <w:rsid w:val="007D5D97"/>
    <w:rsid w:val="007E04D1"/>
    <w:rsid w:val="007E0AD6"/>
    <w:rsid w:val="007E1EED"/>
    <w:rsid w:val="007E35A4"/>
    <w:rsid w:val="007E41E8"/>
    <w:rsid w:val="007E651E"/>
    <w:rsid w:val="007F022A"/>
    <w:rsid w:val="007F0AD8"/>
    <w:rsid w:val="008018E8"/>
    <w:rsid w:val="00801916"/>
    <w:rsid w:val="00805BAF"/>
    <w:rsid w:val="00815B0E"/>
    <w:rsid w:val="0082184E"/>
    <w:rsid w:val="00824535"/>
    <w:rsid w:val="00825CC5"/>
    <w:rsid w:val="008271EC"/>
    <w:rsid w:val="00827E7D"/>
    <w:rsid w:val="008320B9"/>
    <w:rsid w:val="00833B19"/>
    <w:rsid w:val="00835407"/>
    <w:rsid w:val="00836720"/>
    <w:rsid w:val="008429BA"/>
    <w:rsid w:val="008464FF"/>
    <w:rsid w:val="00860049"/>
    <w:rsid w:val="00863DCE"/>
    <w:rsid w:val="0086714F"/>
    <w:rsid w:val="008716CA"/>
    <w:rsid w:val="00871AB7"/>
    <w:rsid w:val="00872666"/>
    <w:rsid w:val="00873D89"/>
    <w:rsid w:val="0087474A"/>
    <w:rsid w:val="00874A86"/>
    <w:rsid w:val="00875033"/>
    <w:rsid w:val="00877F02"/>
    <w:rsid w:val="00880837"/>
    <w:rsid w:val="00881A44"/>
    <w:rsid w:val="00882892"/>
    <w:rsid w:val="008855C2"/>
    <w:rsid w:val="00890411"/>
    <w:rsid w:val="00891961"/>
    <w:rsid w:val="00893B34"/>
    <w:rsid w:val="008A3EE5"/>
    <w:rsid w:val="008A461E"/>
    <w:rsid w:val="008A5EE0"/>
    <w:rsid w:val="008A723D"/>
    <w:rsid w:val="008B1B8C"/>
    <w:rsid w:val="008B374C"/>
    <w:rsid w:val="008B4B7F"/>
    <w:rsid w:val="008B4F8D"/>
    <w:rsid w:val="008B6561"/>
    <w:rsid w:val="008C24CC"/>
    <w:rsid w:val="008C286A"/>
    <w:rsid w:val="008C701F"/>
    <w:rsid w:val="008C7FA9"/>
    <w:rsid w:val="008D2DA3"/>
    <w:rsid w:val="008E2CAE"/>
    <w:rsid w:val="008F329A"/>
    <w:rsid w:val="008F5012"/>
    <w:rsid w:val="008F60B1"/>
    <w:rsid w:val="00902E8C"/>
    <w:rsid w:val="009056DE"/>
    <w:rsid w:val="00905D0B"/>
    <w:rsid w:val="009060EC"/>
    <w:rsid w:val="00906955"/>
    <w:rsid w:val="00910B5B"/>
    <w:rsid w:val="00910FE3"/>
    <w:rsid w:val="00911BA9"/>
    <w:rsid w:val="0091273F"/>
    <w:rsid w:val="00915230"/>
    <w:rsid w:val="00916749"/>
    <w:rsid w:val="00925731"/>
    <w:rsid w:val="00930734"/>
    <w:rsid w:val="00932172"/>
    <w:rsid w:val="00936247"/>
    <w:rsid w:val="00941D35"/>
    <w:rsid w:val="0094255D"/>
    <w:rsid w:val="0094645D"/>
    <w:rsid w:val="00947951"/>
    <w:rsid w:val="0094799C"/>
    <w:rsid w:val="00947FD9"/>
    <w:rsid w:val="00950E5B"/>
    <w:rsid w:val="00951CCF"/>
    <w:rsid w:val="00953C37"/>
    <w:rsid w:val="00954B1A"/>
    <w:rsid w:val="00954BAB"/>
    <w:rsid w:val="0095583C"/>
    <w:rsid w:val="009571C1"/>
    <w:rsid w:val="00962A63"/>
    <w:rsid w:val="009637A8"/>
    <w:rsid w:val="0096640F"/>
    <w:rsid w:val="009724CB"/>
    <w:rsid w:val="0097371A"/>
    <w:rsid w:val="00974F5D"/>
    <w:rsid w:val="00975B2D"/>
    <w:rsid w:val="00977D4D"/>
    <w:rsid w:val="009820C4"/>
    <w:rsid w:val="00982814"/>
    <w:rsid w:val="00982B0F"/>
    <w:rsid w:val="00982E49"/>
    <w:rsid w:val="009870C4"/>
    <w:rsid w:val="00991E89"/>
    <w:rsid w:val="00997587"/>
    <w:rsid w:val="00997AC5"/>
    <w:rsid w:val="009A04E8"/>
    <w:rsid w:val="009A1A39"/>
    <w:rsid w:val="009B01EE"/>
    <w:rsid w:val="009B7BF2"/>
    <w:rsid w:val="009C3670"/>
    <w:rsid w:val="009D112F"/>
    <w:rsid w:val="009D2C5C"/>
    <w:rsid w:val="009D6685"/>
    <w:rsid w:val="009D685C"/>
    <w:rsid w:val="009D7707"/>
    <w:rsid w:val="009E11DC"/>
    <w:rsid w:val="009E5334"/>
    <w:rsid w:val="009E63FF"/>
    <w:rsid w:val="009F0BDA"/>
    <w:rsid w:val="009F229E"/>
    <w:rsid w:val="009F4869"/>
    <w:rsid w:val="009F5F74"/>
    <w:rsid w:val="009F77FA"/>
    <w:rsid w:val="00A0135C"/>
    <w:rsid w:val="00A04379"/>
    <w:rsid w:val="00A12632"/>
    <w:rsid w:val="00A13400"/>
    <w:rsid w:val="00A172F1"/>
    <w:rsid w:val="00A21790"/>
    <w:rsid w:val="00A26F33"/>
    <w:rsid w:val="00A27EAE"/>
    <w:rsid w:val="00A30DF7"/>
    <w:rsid w:val="00A315EC"/>
    <w:rsid w:val="00A36DA8"/>
    <w:rsid w:val="00A412C4"/>
    <w:rsid w:val="00A421A0"/>
    <w:rsid w:val="00A44BAD"/>
    <w:rsid w:val="00A51A0D"/>
    <w:rsid w:val="00A53FF8"/>
    <w:rsid w:val="00A569F6"/>
    <w:rsid w:val="00A6409C"/>
    <w:rsid w:val="00A6504A"/>
    <w:rsid w:val="00A66A89"/>
    <w:rsid w:val="00A7205B"/>
    <w:rsid w:val="00A74B5E"/>
    <w:rsid w:val="00A75014"/>
    <w:rsid w:val="00A7556F"/>
    <w:rsid w:val="00A756A5"/>
    <w:rsid w:val="00A75EDB"/>
    <w:rsid w:val="00A76322"/>
    <w:rsid w:val="00A842D7"/>
    <w:rsid w:val="00A85085"/>
    <w:rsid w:val="00A95F20"/>
    <w:rsid w:val="00A96BD3"/>
    <w:rsid w:val="00AA057C"/>
    <w:rsid w:val="00AA1E2E"/>
    <w:rsid w:val="00AA3A44"/>
    <w:rsid w:val="00AA54E8"/>
    <w:rsid w:val="00AA57E3"/>
    <w:rsid w:val="00AA76FE"/>
    <w:rsid w:val="00AB3078"/>
    <w:rsid w:val="00AB54DE"/>
    <w:rsid w:val="00AB5B9A"/>
    <w:rsid w:val="00AC1392"/>
    <w:rsid w:val="00AC3F76"/>
    <w:rsid w:val="00AC6AEB"/>
    <w:rsid w:val="00AD0378"/>
    <w:rsid w:val="00AD140F"/>
    <w:rsid w:val="00AD1546"/>
    <w:rsid w:val="00AD17C9"/>
    <w:rsid w:val="00AE0971"/>
    <w:rsid w:val="00AE50FA"/>
    <w:rsid w:val="00AE7131"/>
    <w:rsid w:val="00AE74DB"/>
    <w:rsid w:val="00AE76FD"/>
    <w:rsid w:val="00AF0F49"/>
    <w:rsid w:val="00AF4392"/>
    <w:rsid w:val="00AF5C5D"/>
    <w:rsid w:val="00AF6757"/>
    <w:rsid w:val="00AF69E9"/>
    <w:rsid w:val="00B109CB"/>
    <w:rsid w:val="00B11AF4"/>
    <w:rsid w:val="00B1457B"/>
    <w:rsid w:val="00B17AB0"/>
    <w:rsid w:val="00B20085"/>
    <w:rsid w:val="00B25C34"/>
    <w:rsid w:val="00B31050"/>
    <w:rsid w:val="00B33CF2"/>
    <w:rsid w:val="00B342D0"/>
    <w:rsid w:val="00B349CA"/>
    <w:rsid w:val="00B3789F"/>
    <w:rsid w:val="00B425B3"/>
    <w:rsid w:val="00B46206"/>
    <w:rsid w:val="00B50531"/>
    <w:rsid w:val="00B52B4F"/>
    <w:rsid w:val="00B63641"/>
    <w:rsid w:val="00B65C65"/>
    <w:rsid w:val="00B6773F"/>
    <w:rsid w:val="00B73AFF"/>
    <w:rsid w:val="00B779E1"/>
    <w:rsid w:val="00B828B5"/>
    <w:rsid w:val="00B82A72"/>
    <w:rsid w:val="00B915B2"/>
    <w:rsid w:val="00B92520"/>
    <w:rsid w:val="00B92ACB"/>
    <w:rsid w:val="00B933C4"/>
    <w:rsid w:val="00B94B1F"/>
    <w:rsid w:val="00BA0152"/>
    <w:rsid w:val="00BA18DD"/>
    <w:rsid w:val="00BA1982"/>
    <w:rsid w:val="00BA2797"/>
    <w:rsid w:val="00BA6C11"/>
    <w:rsid w:val="00BA75AD"/>
    <w:rsid w:val="00BB0671"/>
    <w:rsid w:val="00BB3230"/>
    <w:rsid w:val="00BC18BB"/>
    <w:rsid w:val="00BC2957"/>
    <w:rsid w:val="00BD58EB"/>
    <w:rsid w:val="00BD72E0"/>
    <w:rsid w:val="00BD7BB0"/>
    <w:rsid w:val="00BE10CB"/>
    <w:rsid w:val="00BF2101"/>
    <w:rsid w:val="00BF314B"/>
    <w:rsid w:val="00BF55A0"/>
    <w:rsid w:val="00BF5EF9"/>
    <w:rsid w:val="00BF777F"/>
    <w:rsid w:val="00C011F4"/>
    <w:rsid w:val="00C02B32"/>
    <w:rsid w:val="00C04707"/>
    <w:rsid w:val="00C04AC8"/>
    <w:rsid w:val="00C053D3"/>
    <w:rsid w:val="00C1016D"/>
    <w:rsid w:val="00C35B58"/>
    <w:rsid w:val="00C432BB"/>
    <w:rsid w:val="00C4660B"/>
    <w:rsid w:val="00C50FA7"/>
    <w:rsid w:val="00C525D6"/>
    <w:rsid w:val="00C5297A"/>
    <w:rsid w:val="00C533DE"/>
    <w:rsid w:val="00C60CF8"/>
    <w:rsid w:val="00C63B34"/>
    <w:rsid w:val="00C64656"/>
    <w:rsid w:val="00C67A42"/>
    <w:rsid w:val="00C73230"/>
    <w:rsid w:val="00C73235"/>
    <w:rsid w:val="00C756A3"/>
    <w:rsid w:val="00C8168B"/>
    <w:rsid w:val="00C816AD"/>
    <w:rsid w:val="00C82D3F"/>
    <w:rsid w:val="00C82E2D"/>
    <w:rsid w:val="00C83A0F"/>
    <w:rsid w:val="00C859B4"/>
    <w:rsid w:val="00C86F32"/>
    <w:rsid w:val="00C8780B"/>
    <w:rsid w:val="00C9165B"/>
    <w:rsid w:val="00CA2D86"/>
    <w:rsid w:val="00CA6349"/>
    <w:rsid w:val="00CB2CFD"/>
    <w:rsid w:val="00CB46D1"/>
    <w:rsid w:val="00CB4A94"/>
    <w:rsid w:val="00CB61AB"/>
    <w:rsid w:val="00CC50F8"/>
    <w:rsid w:val="00CC5401"/>
    <w:rsid w:val="00CD02F1"/>
    <w:rsid w:val="00CD1E3A"/>
    <w:rsid w:val="00CD4ECA"/>
    <w:rsid w:val="00CE4719"/>
    <w:rsid w:val="00CF0B7D"/>
    <w:rsid w:val="00CF3B6A"/>
    <w:rsid w:val="00CF55DA"/>
    <w:rsid w:val="00CF61CD"/>
    <w:rsid w:val="00CF6469"/>
    <w:rsid w:val="00D03557"/>
    <w:rsid w:val="00D063E0"/>
    <w:rsid w:val="00D1020F"/>
    <w:rsid w:val="00D10707"/>
    <w:rsid w:val="00D10EED"/>
    <w:rsid w:val="00D17E59"/>
    <w:rsid w:val="00D207CE"/>
    <w:rsid w:val="00D22B19"/>
    <w:rsid w:val="00D27005"/>
    <w:rsid w:val="00D27FFC"/>
    <w:rsid w:val="00D30E28"/>
    <w:rsid w:val="00D31F7B"/>
    <w:rsid w:val="00D36D0D"/>
    <w:rsid w:val="00D37F66"/>
    <w:rsid w:val="00D4270E"/>
    <w:rsid w:val="00D50C7B"/>
    <w:rsid w:val="00D573FE"/>
    <w:rsid w:val="00D61808"/>
    <w:rsid w:val="00D61A2F"/>
    <w:rsid w:val="00D64089"/>
    <w:rsid w:val="00D64DFD"/>
    <w:rsid w:val="00D679F7"/>
    <w:rsid w:val="00D73085"/>
    <w:rsid w:val="00D7669C"/>
    <w:rsid w:val="00D77E05"/>
    <w:rsid w:val="00D808DC"/>
    <w:rsid w:val="00D80A33"/>
    <w:rsid w:val="00D81874"/>
    <w:rsid w:val="00D82408"/>
    <w:rsid w:val="00D92534"/>
    <w:rsid w:val="00D92F2E"/>
    <w:rsid w:val="00D96512"/>
    <w:rsid w:val="00DA0902"/>
    <w:rsid w:val="00DA3B75"/>
    <w:rsid w:val="00DA7B55"/>
    <w:rsid w:val="00DB0171"/>
    <w:rsid w:val="00DB1F86"/>
    <w:rsid w:val="00DB4ADB"/>
    <w:rsid w:val="00DB617D"/>
    <w:rsid w:val="00DC1982"/>
    <w:rsid w:val="00DC7404"/>
    <w:rsid w:val="00DD1E2B"/>
    <w:rsid w:val="00DD3E8A"/>
    <w:rsid w:val="00DF10CE"/>
    <w:rsid w:val="00DF36B8"/>
    <w:rsid w:val="00E00282"/>
    <w:rsid w:val="00E00F48"/>
    <w:rsid w:val="00E03495"/>
    <w:rsid w:val="00E04FE3"/>
    <w:rsid w:val="00E0517F"/>
    <w:rsid w:val="00E05C06"/>
    <w:rsid w:val="00E06216"/>
    <w:rsid w:val="00E073E9"/>
    <w:rsid w:val="00E11241"/>
    <w:rsid w:val="00E12B4F"/>
    <w:rsid w:val="00E1488F"/>
    <w:rsid w:val="00E20617"/>
    <w:rsid w:val="00E25180"/>
    <w:rsid w:val="00E30083"/>
    <w:rsid w:val="00E35955"/>
    <w:rsid w:val="00E36BA6"/>
    <w:rsid w:val="00E4144C"/>
    <w:rsid w:val="00E4184A"/>
    <w:rsid w:val="00E422F7"/>
    <w:rsid w:val="00E45968"/>
    <w:rsid w:val="00E5017E"/>
    <w:rsid w:val="00E50C64"/>
    <w:rsid w:val="00E549CE"/>
    <w:rsid w:val="00E57E6D"/>
    <w:rsid w:val="00E603BE"/>
    <w:rsid w:val="00E66EC8"/>
    <w:rsid w:val="00E709F7"/>
    <w:rsid w:val="00E763C0"/>
    <w:rsid w:val="00E76B63"/>
    <w:rsid w:val="00E811FC"/>
    <w:rsid w:val="00E83CDF"/>
    <w:rsid w:val="00E84B94"/>
    <w:rsid w:val="00E92A33"/>
    <w:rsid w:val="00E9719B"/>
    <w:rsid w:val="00EA0FA0"/>
    <w:rsid w:val="00EA263A"/>
    <w:rsid w:val="00EA27D9"/>
    <w:rsid w:val="00EA4824"/>
    <w:rsid w:val="00EA5DD2"/>
    <w:rsid w:val="00EA5EB4"/>
    <w:rsid w:val="00EA646D"/>
    <w:rsid w:val="00EA7565"/>
    <w:rsid w:val="00EB2667"/>
    <w:rsid w:val="00EB3966"/>
    <w:rsid w:val="00EB48AC"/>
    <w:rsid w:val="00EB6964"/>
    <w:rsid w:val="00EB6F1B"/>
    <w:rsid w:val="00EC283C"/>
    <w:rsid w:val="00EC6623"/>
    <w:rsid w:val="00EC6E3A"/>
    <w:rsid w:val="00EC7C0C"/>
    <w:rsid w:val="00EC7F38"/>
    <w:rsid w:val="00ED05A7"/>
    <w:rsid w:val="00ED1689"/>
    <w:rsid w:val="00ED1B31"/>
    <w:rsid w:val="00ED42A5"/>
    <w:rsid w:val="00ED439E"/>
    <w:rsid w:val="00ED79DD"/>
    <w:rsid w:val="00ED7ADD"/>
    <w:rsid w:val="00ED7BEC"/>
    <w:rsid w:val="00ED7D6D"/>
    <w:rsid w:val="00EE3204"/>
    <w:rsid w:val="00EE4CF1"/>
    <w:rsid w:val="00EE73F2"/>
    <w:rsid w:val="00EF159B"/>
    <w:rsid w:val="00EF5D3B"/>
    <w:rsid w:val="00F00C88"/>
    <w:rsid w:val="00F026F2"/>
    <w:rsid w:val="00F04860"/>
    <w:rsid w:val="00F154EB"/>
    <w:rsid w:val="00F23634"/>
    <w:rsid w:val="00F23643"/>
    <w:rsid w:val="00F256AF"/>
    <w:rsid w:val="00F263C7"/>
    <w:rsid w:val="00F37157"/>
    <w:rsid w:val="00F37A77"/>
    <w:rsid w:val="00F40635"/>
    <w:rsid w:val="00F47504"/>
    <w:rsid w:val="00F504FA"/>
    <w:rsid w:val="00F50BD0"/>
    <w:rsid w:val="00F56733"/>
    <w:rsid w:val="00F6121B"/>
    <w:rsid w:val="00F61E21"/>
    <w:rsid w:val="00F63E67"/>
    <w:rsid w:val="00F67F34"/>
    <w:rsid w:val="00F71DDF"/>
    <w:rsid w:val="00F756BD"/>
    <w:rsid w:val="00F75E18"/>
    <w:rsid w:val="00F76468"/>
    <w:rsid w:val="00F7675E"/>
    <w:rsid w:val="00F808D0"/>
    <w:rsid w:val="00F817B7"/>
    <w:rsid w:val="00F8276E"/>
    <w:rsid w:val="00F82D02"/>
    <w:rsid w:val="00F86C90"/>
    <w:rsid w:val="00F9082F"/>
    <w:rsid w:val="00F90F16"/>
    <w:rsid w:val="00F92863"/>
    <w:rsid w:val="00F93C73"/>
    <w:rsid w:val="00F957CC"/>
    <w:rsid w:val="00F966AD"/>
    <w:rsid w:val="00FA0BAE"/>
    <w:rsid w:val="00FA2B2F"/>
    <w:rsid w:val="00FA4CC4"/>
    <w:rsid w:val="00FA4D43"/>
    <w:rsid w:val="00FA5420"/>
    <w:rsid w:val="00FA7C8B"/>
    <w:rsid w:val="00FB0A52"/>
    <w:rsid w:val="00FB2438"/>
    <w:rsid w:val="00FB7559"/>
    <w:rsid w:val="00FC1973"/>
    <w:rsid w:val="00FC2AB5"/>
    <w:rsid w:val="00FC2EDA"/>
    <w:rsid w:val="00FD46D9"/>
    <w:rsid w:val="00FD4765"/>
    <w:rsid w:val="00FD6DE7"/>
    <w:rsid w:val="00FE4C9B"/>
    <w:rsid w:val="00FE5D75"/>
    <w:rsid w:val="00FE671F"/>
    <w:rsid w:val="00FF0EDD"/>
    <w:rsid w:val="00FF16C4"/>
    <w:rsid w:val="00FF44BC"/>
    <w:rsid w:val="00FF618F"/>
    <w:rsid w:val="00FF7F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DB76"/>
  <w15:chartTrackingRefBased/>
  <w15:docId w15:val="{9C497655-5132-4BE5-BFA3-6656A12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5C65"/>
    <w:pPr>
      <w:numPr>
        <w:numId w:val="5"/>
      </w:numPr>
      <w:tabs>
        <w:tab w:val="left" w:pos="3969"/>
      </w:tabs>
      <w:spacing w:before="120" w:line="360" w:lineRule="auto"/>
      <w:jc w:val="center"/>
      <w:outlineLvl w:val="0"/>
    </w:pPr>
    <w:rPr>
      <w:rFonts w:ascii="Verdana" w:hAnsi="Verdana"/>
      <w:b/>
      <w:sz w:val="24"/>
    </w:rPr>
  </w:style>
  <w:style w:type="paragraph" w:styleId="Heading2">
    <w:name w:val="heading 2"/>
    <w:basedOn w:val="ListParagraph"/>
    <w:next w:val="Normal"/>
    <w:link w:val="Heading2Char"/>
    <w:uiPriority w:val="9"/>
    <w:unhideWhenUsed/>
    <w:qFormat/>
    <w:rsid w:val="006A3393"/>
    <w:pPr>
      <w:numPr>
        <w:numId w:val="6"/>
      </w:numPr>
      <w:tabs>
        <w:tab w:val="left" w:pos="1701"/>
      </w:tabs>
      <w:spacing w:before="120" w:after="0" w:line="360" w:lineRule="auto"/>
      <w:ind w:left="426"/>
      <w:jc w:val="center"/>
      <w:outlineLvl w:val="1"/>
    </w:pPr>
    <w:rPr>
      <w:rFonts w:ascii="Verdana" w:hAnsi="Verdana"/>
      <w:b/>
      <w:color w:val="000000" w:themeColor="text1"/>
    </w:rPr>
  </w:style>
  <w:style w:type="paragraph" w:styleId="Heading3">
    <w:name w:val="heading 3"/>
    <w:basedOn w:val="ListParagraph"/>
    <w:next w:val="Normal"/>
    <w:link w:val="Heading3Char"/>
    <w:uiPriority w:val="9"/>
    <w:unhideWhenUsed/>
    <w:qFormat/>
    <w:rsid w:val="00875033"/>
    <w:pPr>
      <w:numPr>
        <w:numId w:val="8"/>
      </w:numPr>
      <w:jc w:val="center"/>
      <w:outlineLvl w:val="2"/>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9A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79A9"/>
  </w:style>
  <w:style w:type="paragraph" w:styleId="Footer">
    <w:name w:val="footer"/>
    <w:basedOn w:val="Normal"/>
    <w:link w:val="FooterChar"/>
    <w:uiPriority w:val="99"/>
    <w:unhideWhenUsed/>
    <w:rsid w:val="007879A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79A9"/>
  </w:style>
  <w:style w:type="paragraph" w:styleId="ListParagraph">
    <w:name w:val="List Paragraph"/>
    <w:aliases w:val="Paragraph,Paragraphe de liste PBLH,Normal bullet 2,Bullet list,Figure_name,Equipment,Numbered Indented Text,List Paragraph1,lp1,List Paragraph11,List Paragraph Char Char Char,List Paragraph Char Char,Citation List,List Paragraph2,Ha"/>
    <w:basedOn w:val="Normal"/>
    <w:link w:val="ListParagraphChar"/>
    <w:uiPriority w:val="34"/>
    <w:qFormat/>
    <w:rsid w:val="00A172F1"/>
    <w:pPr>
      <w:ind w:left="720"/>
      <w:contextualSpacing/>
    </w:pPr>
  </w:style>
  <w:style w:type="character" w:styleId="CommentReference">
    <w:name w:val="annotation reference"/>
    <w:basedOn w:val="DefaultParagraphFont"/>
    <w:uiPriority w:val="99"/>
    <w:semiHidden/>
    <w:unhideWhenUsed/>
    <w:rsid w:val="006418B1"/>
    <w:rPr>
      <w:sz w:val="16"/>
      <w:szCs w:val="16"/>
    </w:rPr>
  </w:style>
  <w:style w:type="paragraph" w:styleId="CommentText">
    <w:name w:val="annotation text"/>
    <w:basedOn w:val="Normal"/>
    <w:link w:val="CommentTextChar"/>
    <w:uiPriority w:val="99"/>
    <w:unhideWhenUsed/>
    <w:rsid w:val="006418B1"/>
    <w:pPr>
      <w:spacing w:line="240" w:lineRule="auto"/>
    </w:pPr>
    <w:rPr>
      <w:sz w:val="20"/>
      <w:szCs w:val="20"/>
    </w:rPr>
  </w:style>
  <w:style w:type="character" w:customStyle="1" w:styleId="CommentTextChar">
    <w:name w:val="Comment Text Char"/>
    <w:basedOn w:val="DefaultParagraphFont"/>
    <w:link w:val="CommentText"/>
    <w:uiPriority w:val="99"/>
    <w:rsid w:val="006418B1"/>
    <w:rPr>
      <w:sz w:val="20"/>
      <w:szCs w:val="20"/>
    </w:rPr>
  </w:style>
  <w:style w:type="paragraph" w:styleId="CommentSubject">
    <w:name w:val="annotation subject"/>
    <w:basedOn w:val="CommentText"/>
    <w:next w:val="CommentText"/>
    <w:link w:val="CommentSubjectChar"/>
    <w:uiPriority w:val="99"/>
    <w:semiHidden/>
    <w:unhideWhenUsed/>
    <w:rsid w:val="006418B1"/>
    <w:rPr>
      <w:b/>
      <w:bCs/>
    </w:rPr>
  </w:style>
  <w:style w:type="character" w:customStyle="1" w:styleId="CommentSubjectChar">
    <w:name w:val="Comment Subject Char"/>
    <w:basedOn w:val="CommentTextChar"/>
    <w:link w:val="CommentSubject"/>
    <w:uiPriority w:val="99"/>
    <w:semiHidden/>
    <w:rsid w:val="006418B1"/>
    <w:rPr>
      <w:b/>
      <w:bCs/>
      <w:sz w:val="20"/>
      <w:szCs w:val="20"/>
    </w:rPr>
  </w:style>
  <w:style w:type="paragraph" w:styleId="BalloonText">
    <w:name w:val="Balloon Text"/>
    <w:basedOn w:val="Normal"/>
    <w:link w:val="BalloonTextChar"/>
    <w:uiPriority w:val="99"/>
    <w:semiHidden/>
    <w:unhideWhenUsed/>
    <w:rsid w:val="00641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B1"/>
    <w:rPr>
      <w:rFonts w:ascii="Segoe UI" w:hAnsi="Segoe UI" w:cs="Segoe UI"/>
      <w:sz w:val="18"/>
      <w:szCs w:val="18"/>
    </w:rPr>
  </w:style>
  <w:style w:type="character" w:customStyle="1" w:styleId="ListParagraphChar">
    <w:name w:val="List Paragraph Char"/>
    <w:aliases w:val="Paragraph Char,Paragraphe de liste PBLH Char,Normal bullet 2 Char,Bullet list Char,Figure_name Char,Equipment Char,Numbered Indented Text Char,List Paragraph1 Char,lp1 Char,List Paragraph11 Char,List Paragraph Char Char Char Char"/>
    <w:link w:val="ListParagraph"/>
    <w:uiPriority w:val="34"/>
    <w:qFormat/>
    <w:rsid w:val="00092BC2"/>
  </w:style>
  <w:style w:type="character" w:customStyle="1" w:styleId="Heading1Char">
    <w:name w:val="Heading 1 Char"/>
    <w:basedOn w:val="DefaultParagraphFont"/>
    <w:link w:val="Heading1"/>
    <w:uiPriority w:val="9"/>
    <w:rsid w:val="00B65C65"/>
    <w:rPr>
      <w:rFonts w:ascii="Verdana" w:hAnsi="Verdana"/>
      <w:b/>
      <w:sz w:val="24"/>
    </w:rPr>
  </w:style>
  <w:style w:type="paragraph" w:customStyle="1" w:styleId="tex">
    <w:name w:val="tex"/>
    <w:basedOn w:val="Normal"/>
    <w:rsid w:val="00105C80"/>
    <w:pPr>
      <w:spacing w:before="60" w:after="60" w:line="240" w:lineRule="auto"/>
      <w:jc w:val="both"/>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4551A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4551A4"/>
    <w:rPr>
      <w:color w:val="0000FF"/>
      <w:u w:val="single"/>
    </w:rPr>
  </w:style>
  <w:style w:type="paragraph" w:styleId="Revision">
    <w:name w:val="Revision"/>
    <w:hidden/>
    <w:uiPriority w:val="99"/>
    <w:semiHidden/>
    <w:rsid w:val="00D96512"/>
    <w:pPr>
      <w:spacing w:after="0" w:line="240" w:lineRule="auto"/>
    </w:pPr>
  </w:style>
  <w:style w:type="paragraph" w:styleId="FootnoteText">
    <w:name w:val="footnote text"/>
    <w:basedOn w:val="Normal"/>
    <w:link w:val="FootnoteTextChar"/>
    <w:uiPriority w:val="99"/>
    <w:semiHidden/>
    <w:unhideWhenUsed/>
    <w:rsid w:val="00863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DCE"/>
    <w:rPr>
      <w:sz w:val="20"/>
      <w:szCs w:val="20"/>
    </w:rPr>
  </w:style>
  <w:style w:type="character" w:styleId="FootnoteReference">
    <w:name w:val="footnote reference"/>
    <w:basedOn w:val="DefaultParagraphFont"/>
    <w:uiPriority w:val="99"/>
    <w:semiHidden/>
    <w:unhideWhenUsed/>
    <w:rsid w:val="00863DCE"/>
    <w:rPr>
      <w:vertAlign w:val="superscript"/>
    </w:rPr>
  </w:style>
  <w:style w:type="paragraph" w:customStyle="1" w:styleId="CM1">
    <w:name w:val="CM1"/>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74DB"/>
    <w:pPr>
      <w:autoSpaceDE w:val="0"/>
      <w:autoSpaceDN w:val="0"/>
      <w:adjustRightInd w:val="0"/>
      <w:spacing w:after="0" w:line="240" w:lineRule="auto"/>
    </w:pPr>
    <w:rPr>
      <w:rFonts w:ascii="EUAlbertina" w:hAnsi="EUAlbertina"/>
      <w:sz w:val="24"/>
      <w:szCs w:val="24"/>
    </w:rPr>
  </w:style>
  <w:style w:type="character" w:customStyle="1" w:styleId="MenoNoResolvida1">
    <w:name w:val="Menção Não Resolvida1"/>
    <w:basedOn w:val="DefaultParagraphFont"/>
    <w:uiPriority w:val="99"/>
    <w:semiHidden/>
    <w:unhideWhenUsed/>
    <w:rsid w:val="005414C1"/>
    <w:rPr>
      <w:color w:val="605E5C"/>
      <w:shd w:val="clear" w:color="auto" w:fill="E1DFDD"/>
    </w:rPr>
  </w:style>
  <w:style w:type="paragraph" w:customStyle="1" w:styleId="Chapitre">
    <w:name w:val="Chapitre"/>
    <w:basedOn w:val="Normal"/>
    <w:qFormat/>
    <w:rsid w:val="005414C1"/>
    <w:pPr>
      <w:numPr>
        <w:numId w:val="4"/>
      </w:numPr>
      <w:spacing w:beforeLines="100" w:after="240" w:line="240" w:lineRule="auto"/>
      <w:ind w:left="720"/>
      <w:jc w:val="center"/>
    </w:pPr>
    <w:rPr>
      <w:rFonts w:ascii="Verdana" w:eastAsia="Calibri" w:hAnsi="Verdana" w:cs="TimesLTStd-Roman"/>
      <w:b/>
      <w:sz w:val="20"/>
      <w:szCs w:val="20"/>
    </w:rPr>
  </w:style>
  <w:style w:type="paragraph" w:customStyle="1" w:styleId="Section">
    <w:name w:val="Section"/>
    <w:basedOn w:val="Normal"/>
    <w:qFormat/>
    <w:rsid w:val="005414C1"/>
    <w:pPr>
      <w:numPr>
        <w:ilvl w:val="1"/>
        <w:numId w:val="4"/>
      </w:numPr>
      <w:spacing w:beforeLines="100" w:after="240" w:line="240" w:lineRule="auto"/>
      <w:jc w:val="center"/>
    </w:pPr>
    <w:rPr>
      <w:rFonts w:ascii="Verdana" w:eastAsia="Calibri" w:hAnsi="Verdana" w:cs="TimesLTStd-Roman"/>
      <w:b/>
      <w:sz w:val="20"/>
      <w:szCs w:val="20"/>
    </w:rPr>
  </w:style>
  <w:style w:type="paragraph" w:customStyle="1" w:styleId="Sous-section">
    <w:name w:val="Sous-section"/>
    <w:basedOn w:val="Normal"/>
    <w:qFormat/>
    <w:rsid w:val="005414C1"/>
    <w:pPr>
      <w:numPr>
        <w:ilvl w:val="2"/>
        <w:numId w:val="4"/>
      </w:numPr>
      <w:spacing w:beforeLines="100" w:after="240" w:line="240" w:lineRule="auto"/>
      <w:jc w:val="center"/>
    </w:pPr>
    <w:rPr>
      <w:rFonts w:ascii="Verdana" w:eastAsia="Calibri" w:hAnsi="Verdana" w:cs="TimesLTStd-Roman"/>
      <w:b/>
      <w:sz w:val="20"/>
      <w:szCs w:val="20"/>
    </w:rPr>
  </w:style>
  <w:style w:type="paragraph" w:customStyle="1" w:styleId="Article">
    <w:name w:val="Article"/>
    <w:basedOn w:val="Normal"/>
    <w:qFormat/>
    <w:rsid w:val="005414C1"/>
    <w:pPr>
      <w:numPr>
        <w:ilvl w:val="3"/>
        <w:numId w:val="4"/>
      </w:numPr>
      <w:spacing w:beforeLines="100" w:after="240" w:line="240" w:lineRule="auto"/>
      <w:jc w:val="both"/>
    </w:pPr>
    <w:rPr>
      <w:rFonts w:ascii="Verdana" w:eastAsia="Calibri" w:hAnsi="Verdana" w:cs="TimesLTStd-Roman"/>
      <w:b/>
      <w:sz w:val="20"/>
      <w:szCs w:val="20"/>
    </w:rPr>
  </w:style>
  <w:style w:type="paragraph" w:customStyle="1" w:styleId="Liste1">
    <w:name w:val="Liste (1)"/>
    <w:basedOn w:val="Normal"/>
    <w:qFormat/>
    <w:rsid w:val="005414C1"/>
    <w:pPr>
      <w:numPr>
        <w:ilvl w:val="4"/>
        <w:numId w:val="4"/>
      </w:numPr>
      <w:spacing w:beforeLines="125" w:after="240" w:line="240" w:lineRule="auto"/>
      <w:jc w:val="both"/>
    </w:pPr>
    <w:rPr>
      <w:rFonts w:ascii="Verdana" w:eastAsia="Calibri" w:hAnsi="Verdana" w:cs="TimesLTStd-Roman"/>
      <w:bCs/>
      <w:color w:val="221E1F"/>
      <w:sz w:val="20"/>
      <w:szCs w:val="20"/>
    </w:rPr>
  </w:style>
  <w:style w:type="paragraph" w:customStyle="1" w:styleId="Liste10">
    <w:name w:val="Liste 1."/>
    <w:basedOn w:val="Normal"/>
    <w:qFormat/>
    <w:rsid w:val="005414C1"/>
    <w:pPr>
      <w:numPr>
        <w:ilvl w:val="5"/>
        <w:numId w:val="4"/>
      </w:numPr>
      <w:spacing w:before="60" w:after="120" w:line="240" w:lineRule="auto"/>
      <w:jc w:val="both"/>
    </w:pPr>
    <w:rPr>
      <w:rFonts w:ascii="Verdana" w:eastAsia="Calibri" w:hAnsi="Verdana" w:cs="TimesLTStd-Roman"/>
      <w:iCs/>
      <w:sz w:val="20"/>
      <w:szCs w:val="20"/>
    </w:rPr>
  </w:style>
  <w:style w:type="paragraph" w:customStyle="1" w:styleId="Listea">
    <w:name w:val="Liste a)"/>
    <w:basedOn w:val="Liste10"/>
    <w:qFormat/>
    <w:rsid w:val="005414C1"/>
    <w:pPr>
      <w:numPr>
        <w:ilvl w:val="6"/>
      </w:numPr>
    </w:pPr>
    <w:rPr>
      <w:lang w:eastAsia="fr-BE"/>
    </w:rPr>
  </w:style>
  <w:style w:type="paragraph" w:customStyle="1" w:styleId="Numerotation1">
    <w:name w:val="Numerotation 1."/>
    <w:basedOn w:val="Liste1"/>
    <w:qFormat/>
    <w:rsid w:val="005414C1"/>
    <w:pPr>
      <w:numPr>
        <w:ilvl w:val="7"/>
      </w:numPr>
      <w:spacing w:beforeLines="0" w:before="120" w:after="120"/>
    </w:pPr>
  </w:style>
  <w:style w:type="paragraph" w:customStyle="1" w:styleId="Numerotationa">
    <w:name w:val="Numerotation a)"/>
    <w:basedOn w:val="Liste10"/>
    <w:qFormat/>
    <w:rsid w:val="005414C1"/>
    <w:pPr>
      <w:numPr>
        <w:ilvl w:val="8"/>
      </w:numPr>
      <w:spacing w:before="240" w:after="240"/>
    </w:pPr>
  </w:style>
  <w:style w:type="paragraph" w:customStyle="1" w:styleId="sti-art">
    <w:name w:val="s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per">
    <w:name w:val="super"/>
    <w:basedOn w:val="DefaultParagraphFont"/>
    <w:rsid w:val="00F256AF"/>
  </w:style>
  <w:style w:type="paragraph" w:customStyle="1" w:styleId="ti-art">
    <w:name w:val="ti-art"/>
    <w:basedOn w:val="Normal"/>
    <w:rsid w:val="00F256A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8A3EE5"/>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2Char">
    <w:name w:val="Heading 2 Char"/>
    <w:basedOn w:val="DefaultParagraphFont"/>
    <w:link w:val="Heading2"/>
    <w:uiPriority w:val="9"/>
    <w:rsid w:val="006A3393"/>
    <w:rPr>
      <w:rFonts w:ascii="Verdana" w:hAnsi="Verdana"/>
      <w:b/>
      <w:color w:val="000000" w:themeColor="text1"/>
    </w:rPr>
  </w:style>
  <w:style w:type="character" w:customStyle="1" w:styleId="Heading3Char">
    <w:name w:val="Heading 3 Char"/>
    <w:basedOn w:val="DefaultParagraphFont"/>
    <w:link w:val="Heading3"/>
    <w:uiPriority w:val="9"/>
    <w:rsid w:val="00875033"/>
    <w:rPr>
      <w:rFonts w:ascii="Verdana" w:hAnsi="Verdana"/>
    </w:rPr>
  </w:style>
  <w:style w:type="paragraph" w:customStyle="1" w:styleId="CM4">
    <w:name w:val="CM4"/>
    <w:basedOn w:val="Default"/>
    <w:next w:val="Default"/>
    <w:uiPriority w:val="99"/>
    <w:rsid w:val="00004334"/>
    <w:rPr>
      <w:rFonts w:ascii="EU Albertina" w:hAnsi="EU Albertina" w:cstheme="minorBidi"/>
      <w:color w:val="auto"/>
    </w:rPr>
  </w:style>
  <w:style w:type="character" w:customStyle="1" w:styleId="MenoNoResolvida2">
    <w:name w:val="Menção Não Resolvida2"/>
    <w:basedOn w:val="DefaultParagraphFont"/>
    <w:uiPriority w:val="99"/>
    <w:semiHidden/>
    <w:unhideWhenUsed/>
    <w:rsid w:val="00FF16C4"/>
    <w:rPr>
      <w:color w:val="605E5C"/>
      <w:shd w:val="clear" w:color="auto" w:fill="E1DFDD"/>
    </w:rPr>
  </w:style>
  <w:style w:type="character" w:styleId="FollowedHyperlink">
    <w:name w:val="FollowedHyperlink"/>
    <w:basedOn w:val="DefaultParagraphFont"/>
    <w:uiPriority w:val="99"/>
    <w:semiHidden/>
    <w:unhideWhenUsed/>
    <w:rsid w:val="003B2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2149">
      <w:bodyDiv w:val="1"/>
      <w:marLeft w:val="0"/>
      <w:marRight w:val="0"/>
      <w:marTop w:val="0"/>
      <w:marBottom w:val="0"/>
      <w:divBdr>
        <w:top w:val="none" w:sz="0" w:space="0" w:color="auto"/>
        <w:left w:val="none" w:sz="0" w:space="0" w:color="auto"/>
        <w:bottom w:val="none" w:sz="0" w:space="0" w:color="auto"/>
        <w:right w:val="none" w:sz="0" w:space="0" w:color="auto"/>
      </w:divBdr>
    </w:div>
    <w:div w:id="43602140">
      <w:bodyDiv w:val="1"/>
      <w:marLeft w:val="0"/>
      <w:marRight w:val="0"/>
      <w:marTop w:val="0"/>
      <w:marBottom w:val="0"/>
      <w:divBdr>
        <w:top w:val="none" w:sz="0" w:space="0" w:color="auto"/>
        <w:left w:val="none" w:sz="0" w:space="0" w:color="auto"/>
        <w:bottom w:val="none" w:sz="0" w:space="0" w:color="auto"/>
        <w:right w:val="none" w:sz="0" w:space="0" w:color="auto"/>
      </w:divBdr>
    </w:div>
    <w:div w:id="106044057">
      <w:bodyDiv w:val="1"/>
      <w:marLeft w:val="0"/>
      <w:marRight w:val="0"/>
      <w:marTop w:val="0"/>
      <w:marBottom w:val="0"/>
      <w:divBdr>
        <w:top w:val="none" w:sz="0" w:space="0" w:color="auto"/>
        <w:left w:val="none" w:sz="0" w:space="0" w:color="auto"/>
        <w:bottom w:val="none" w:sz="0" w:space="0" w:color="auto"/>
        <w:right w:val="none" w:sz="0" w:space="0" w:color="auto"/>
      </w:divBdr>
    </w:div>
    <w:div w:id="272711859">
      <w:bodyDiv w:val="1"/>
      <w:marLeft w:val="0"/>
      <w:marRight w:val="0"/>
      <w:marTop w:val="0"/>
      <w:marBottom w:val="0"/>
      <w:divBdr>
        <w:top w:val="none" w:sz="0" w:space="0" w:color="auto"/>
        <w:left w:val="none" w:sz="0" w:space="0" w:color="auto"/>
        <w:bottom w:val="none" w:sz="0" w:space="0" w:color="auto"/>
        <w:right w:val="none" w:sz="0" w:space="0" w:color="auto"/>
      </w:divBdr>
    </w:div>
    <w:div w:id="535002326">
      <w:bodyDiv w:val="1"/>
      <w:marLeft w:val="0"/>
      <w:marRight w:val="0"/>
      <w:marTop w:val="0"/>
      <w:marBottom w:val="0"/>
      <w:divBdr>
        <w:top w:val="none" w:sz="0" w:space="0" w:color="auto"/>
        <w:left w:val="none" w:sz="0" w:space="0" w:color="auto"/>
        <w:bottom w:val="none" w:sz="0" w:space="0" w:color="auto"/>
        <w:right w:val="none" w:sz="0" w:space="0" w:color="auto"/>
      </w:divBdr>
    </w:div>
    <w:div w:id="558907982">
      <w:bodyDiv w:val="1"/>
      <w:marLeft w:val="0"/>
      <w:marRight w:val="0"/>
      <w:marTop w:val="0"/>
      <w:marBottom w:val="0"/>
      <w:divBdr>
        <w:top w:val="none" w:sz="0" w:space="0" w:color="auto"/>
        <w:left w:val="none" w:sz="0" w:space="0" w:color="auto"/>
        <w:bottom w:val="none" w:sz="0" w:space="0" w:color="auto"/>
        <w:right w:val="none" w:sz="0" w:space="0" w:color="auto"/>
      </w:divBdr>
    </w:div>
    <w:div w:id="569727360">
      <w:bodyDiv w:val="1"/>
      <w:marLeft w:val="0"/>
      <w:marRight w:val="0"/>
      <w:marTop w:val="0"/>
      <w:marBottom w:val="0"/>
      <w:divBdr>
        <w:top w:val="none" w:sz="0" w:space="0" w:color="auto"/>
        <w:left w:val="none" w:sz="0" w:space="0" w:color="auto"/>
        <w:bottom w:val="none" w:sz="0" w:space="0" w:color="auto"/>
        <w:right w:val="none" w:sz="0" w:space="0" w:color="auto"/>
      </w:divBdr>
    </w:div>
    <w:div w:id="644966926">
      <w:bodyDiv w:val="1"/>
      <w:marLeft w:val="0"/>
      <w:marRight w:val="0"/>
      <w:marTop w:val="0"/>
      <w:marBottom w:val="0"/>
      <w:divBdr>
        <w:top w:val="none" w:sz="0" w:space="0" w:color="auto"/>
        <w:left w:val="none" w:sz="0" w:space="0" w:color="auto"/>
        <w:bottom w:val="none" w:sz="0" w:space="0" w:color="auto"/>
        <w:right w:val="none" w:sz="0" w:space="0" w:color="auto"/>
      </w:divBdr>
    </w:div>
    <w:div w:id="671301495">
      <w:bodyDiv w:val="1"/>
      <w:marLeft w:val="0"/>
      <w:marRight w:val="0"/>
      <w:marTop w:val="0"/>
      <w:marBottom w:val="0"/>
      <w:divBdr>
        <w:top w:val="none" w:sz="0" w:space="0" w:color="auto"/>
        <w:left w:val="none" w:sz="0" w:space="0" w:color="auto"/>
        <w:bottom w:val="none" w:sz="0" w:space="0" w:color="auto"/>
        <w:right w:val="none" w:sz="0" w:space="0" w:color="auto"/>
      </w:divBdr>
    </w:div>
    <w:div w:id="872226490">
      <w:bodyDiv w:val="1"/>
      <w:marLeft w:val="0"/>
      <w:marRight w:val="0"/>
      <w:marTop w:val="0"/>
      <w:marBottom w:val="0"/>
      <w:divBdr>
        <w:top w:val="none" w:sz="0" w:space="0" w:color="auto"/>
        <w:left w:val="none" w:sz="0" w:space="0" w:color="auto"/>
        <w:bottom w:val="none" w:sz="0" w:space="0" w:color="auto"/>
        <w:right w:val="none" w:sz="0" w:space="0" w:color="auto"/>
      </w:divBdr>
    </w:div>
    <w:div w:id="922838542">
      <w:bodyDiv w:val="1"/>
      <w:marLeft w:val="0"/>
      <w:marRight w:val="0"/>
      <w:marTop w:val="0"/>
      <w:marBottom w:val="0"/>
      <w:divBdr>
        <w:top w:val="none" w:sz="0" w:space="0" w:color="auto"/>
        <w:left w:val="none" w:sz="0" w:space="0" w:color="auto"/>
        <w:bottom w:val="none" w:sz="0" w:space="0" w:color="auto"/>
        <w:right w:val="none" w:sz="0" w:space="0" w:color="auto"/>
      </w:divBdr>
    </w:div>
    <w:div w:id="1004893017">
      <w:bodyDiv w:val="1"/>
      <w:marLeft w:val="0"/>
      <w:marRight w:val="0"/>
      <w:marTop w:val="0"/>
      <w:marBottom w:val="0"/>
      <w:divBdr>
        <w:top w:val="none" w:sz="0" w:space="0" w:color="auto"/>
        <w:left w:val="none" w:sz="0" w:space="0" w:color="auto"/>
        <w:bottom w:val="none" w:sz="0" w:space="0" w:color="auto"/>
        <w:right w:val="none" w:sz="0" w:space="0" w:color="auto"/>
      </w:divBdr>
    </w:div>
    <w:div w:id="1073505622">
      <w:bodyDiv w:val="1"/>
      <w:marLeft w:val="0"/>
      <w:marRight w:val="0"/>
      <w:marTop w:val="0"/>
      <w:marBottom w:val="0"/>
      <w:divBdr>
        <w:top w:val="none" w:sz="0" w:space="0" w:color="auto"/>
        <w:left w:val="none" w:sz="0" w:space="0" w:color="auto"/>
        <w:bottom w:val="none" w:sz="0" w:space="0" w:color="auto"/>
        <w:right w:val="none" w:sz="0" w:space="0" w:color="auto"/>
      </w:divBdr>
    </w:div>
    <w:div w:id="1350328602">
      <w:bodyDiv w:val="1"/>
      <w:marLeft w:val="0"/>
      <w:marRight w:val="0"/>
      <w:marTop w:val="0"/>
      <w:marBottom w:val="0"/>
      <w:divBdr>
        <w:top w:val="none" w:sz="0" w:space="0" w:color="auto"/>
        <w:left w:val="none" w:sz="0" w:space="0" w:color="auto"/>
        <w:bottom w:val="none" w:sz="0" w:space="0" w:color="auto"/>
        <w:right w:val="none" w:sz="0" w:space="0" w:color="auto"/>
      </w:divBdr>
    </w:div>
    <w:div w:id="1790584226">
      <w:bodyDiv w:val="1"/>
      <w:marLeft w:val="0"/>
      <w:marRight w:val="0"/>
      <w:marTop w:val="0"/>
      <w:marBottom w:val="0"/>
      <w:divBdr>
        <w:top w:val="none" w:sz="0" w:space="0" w:color="auto"/>
        <w:left w:val="none" w:sz="0" w:space="0" w:color="auto"/>
        <w:bottom w:val="none" w:sz="0" w:space="0" w:color="auto"/>
        <w:right w:val="none" w:sz="0" w:space="0" w:color="auto"/>
      </w:divBdr>
    </w:div>
    <w:div w:id="1869030707">
      <w:bodyDiv w:val="1"/>
      <w:marLeft w:val="0"/>
      <w:marRight w:val="0"/>
      <w:marTop w:val="0"/>
      <w:marBottom w:val="0"/>
      <w:divBdr>
        <w:top w:val="none" w:sz="0" w:space="0" w:color="auto"/>
        <w:left w:val="none" w:sz="0" w:space="0" w:color="auto"/>
        <w:bottom w:val="none" w:sz="0" w:space="0" w:color="auto"/>
        <w:right w:val="none" w:sz="0" w:space="0" w:color="auto"/>
      </w:divBdr>
    </w:div>
    <w:div w:id="20800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540820/details/normal?l=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e.pt/web/guest/pesquisa/-/search/540820/details/normal?l=1" TargetMode="External"/><Relationship Id="rId4" Type="http://schemas.openxmlformats.org/officeDocument/2006/relationships/settings" Target="settings.xml"/><Relationship Id="rId9" Type="http://schemas.openxmlformats.org/officeDocument/2006/relationships/hyperlink" Target="https://dre.pt/web/guest/pesquisa/-/search/540820/details/normal?l=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59D7-D834-47D8-AA0D-FA3895E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34</Pages>
  <Words>8692</Words>
  <Characters>49551</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c:creator>
  <cp:keywords/>
  <dc:description/>
  <cp:lastModifiedBy>Dimitris Dimitriadis</cp:lastModifiedBy>
  <cp:revision>32</cp:revision>
  <dcterms:created xsi:type="dcterms:W3CDTF">2021-03-12T18:57:00Z</dcterms:created>
  <dcterms:modified xsi:type="dcterms:W3CDTF">2021-03-30T15:05:00Z</dcterms:modified>
</cp:coreProperties>
</file>