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639"/>
      </w:tblGrid>
      <w:tr w:rsidR="00E84013" w:rsidRPr="00874914" w14:paraId="5D27D3DC" w14:textId="77777777">
        <w:trPr>
          <w:cantSplit/>
          <w:trHeight w:hRule="exact" w:val="567"/>
          <w:jc w:val="center"/>
        </w:trPr>
        <w:tc>
          <w:tcPr>
            <w:tcW w:w="9639" w:type="dxa"/>
          </w:tcPr>
          <w:p w14:paraId="5D27D3DB" w14:textId="77777777" w:rsidR="00E84013" w:rsidRPr="00874914" w:rsidRDefault="00BC6BFF">
            <w:pPr>
              <w:jc w:val="center"/>
              <w:rPr>
                <w:rFonts w:ascii="Verdana" w:hAnsi="Verdana" w:cs="Arial"/>
                <w:color w:val="000000" w:themeColor="text1"/>
                <w:sz w:val="26"/>
                <w:szCs w:val="26"/>
              </w:rPr>
            </w:pPr>
            <w:r w:rsidRPr="00874914">
              <w:rPr>
                <w:rFonts w:ascii="Verdana" w:hAnsi="Verdana"/>
                <w:color w:val="000000" w:themeColor="text1"/>
                <w:sz w:val="26"/>
              </w:rPr>
              <w:t>Tervezet</w:t>
            </w:r>
          </w:p>
        </w:tc>
      </w:tr>
      <w:tr w:rsidR="00E84013" w:rsidRPr="00874914" w14:paraId="5D27D3DE" w14:textId="77777777">
        <w:trPr>
          <w:cantSplit/>
          <w:trHeight w:hRule="exact" w:val="567"/>
          <w:jc w:val="center"/>
        </w:trPr>
        <w:tc>
          <w:tcPr>
            <w:tcW w:w="9639" w:type="dxa"/>
          </w:tcPr>
          <w:p w14:paraId="5D27D3DD" w14:textId="77777777" w:rsidR="00E84013" w:rsidRPr="00874914" w:rsidRDefault="00E84013">
            <w:pPr>
              <w:jc w:val="center"/>
              <w:rPr>
                <w:rFonts w:cs="Arial"/>
                <w:color w:val="000000" w:themeColor="text1"/>
                <w:sz w:val="28"/>
              </w:rPr>
            </w:pPr>
          </w:p>
        </w:tc>
      </w:tr>
      <w:tr w:rsidR="00E84013" w:rsidRPr="00874914" w14:paraId="5D27D3E0" w14:textId="77777777">
        <w:trPr>
          <w:cantSplit/>
          <w:trHeight w:hRule="exact" w:val="1985"/>
          <w:jc w:val="center"/>
        </w:trPr>
        <w:tc>
          <w:tcPr>
            <w:tcW w:w="9639" w:type="dxa"/>
          </w:tcPr>
          <w:p w14:paraId="5D27D3DF" w14:textId="58E47DC6" w:rsidR="00E84013" w:rsidRPr="00874914" w:rsidRDefault="00E84013" w:rsidP="003F6241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72"/>
              </w:rPr>
            </w:pPr>
            <w:r w:rsidRPr="00874914">
              <w:rPr>
                <w:rFonts w:ascii="Verdana" w:hAnsi="Verdana"/>
                <w:b/>
                <w:color w:val="000000" w:themeColor="text1"/>
                <w:sz w:val="72"/>
              </w:rPr>
              <w:t>SSB FE-OE 058</w:t>
            </w:r>
          </w:p>
        </w:tc>
      </w:tr>
      <w:tr w:rsidR="00E84013" w:rsidRPr="00874914" w14:paraId="5D27D3E7" w14:textId="77777777">
        <w:trPr>
          <w:cantSplit/>
          <w:trHeight w:val="3969"/>
          <w:jc w:val="center"/>
        </w:trPr>
        <w:tc>
          <w:tcPr>
            <w:tcW w:w="9639" w:type="dxa"/>
          </w:tcPr>
          <w:p w14:paraId="5D27D3E2" w14:textId="2237C949" w:rsidR="00E84013" w:rsidRPr="00874914" w:rsidRDefault="00E84013" w:rsidP="005E06AD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36"/>
              </w:rPr>
            </w:pPr>
            <w:r w:rsidRPr="00874914">
              <w:rPr>
                <w:rFonts w:ascii="Verdana" w:hAnsi="Verdana"/>
                <w:b/>
                <w:color w:val="000000" w:themeColor="text1"/>
                <w:sz w:val="36"/>
              </w:rPr>
              <w:t xml:space="preserve">A 6,2 GHz-es tartományban (L6) működő rádiós átjátszóberendezések interfész-előírása (ponttól pontig) </w:t>
            </w:r>
          </w:p>
          <w:p w14:paraId="5D27D3E3" w14:textId="77777777" w:rsidR="00E84013" w:rsidRPr="00874914" w:rsidRDefault="00E84013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36"/>
              </w:rPr>
            </w:pPr>
          </w:p>
          <w:p w14:paraId="5D27D3E5" w14:textId="77777777" w:rsidR="00E84013" w:rsidRPr="00874914" w:rsidRDefault="00E84013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36"/>
              </w:rPr>
            </w:pPr>
          </w:p>
          <w:p w14:paraId="5D27D3E6" w14:textId="77777777" w:rsidR="00E84013" w:rsidRPr="00874914" w:rsidRDefault="00E84013">
            <w:pPr>
              <w:jc w:val="center"/>
              <w:rPr>
                <w:rFonts w:cs="Arial"/>
                <w:b/>
                <w:bCs/>
                <w:color w:val="000000" w:themeColor="text1"/>
                <w:sz w:val="36"/>
              </w:rPr>
            </w:pPr>
          </w:p>
        </w:tc>
      </w:tr>
      <w:tr w:rsidR="00E84013" w:rsidRPr="00874914" w14:paraId="5D27D3E9" w14:textId="77777777">
        <w:trPr>
          <w:cantSplit/>
          <w:trHeight w:hRule="exact" w:val="567"/>
          <w:jc w:val="center"/>
        </w:trPr>
        <w:tc>
          <w:tcPr>
            <w:tcW w:w="9639" w:type="dxa"/>
          </w:tcPr>
          <w:p w14:paraId="5D27D3E8" w14:textId="777FBD58" w:rsidR="00E84013" w:rsidRPr="00874914" w:rsidRDefault="00E84013" w:rsidP="00300659">
            <w:pPr>
              <w:jc w:val="center"/>
              <w:rPr>
                <w:rFonts w:ascii="Verdana" w:hAnsi="Verdana" w:cs="Tahoma"/>
                <w:color w:val="000000" w:themeColor="text1"/>
                <w:sz w:val="32"/>
              </w:rPr>
            </w:pPr>
            <w:r w:rsidRPr="00874914">
              <w:rPr>
                <w:rFonts w:ascii="Verdana" w:hAnsi="Verdana"/>
                <w:color w:val="000000" w:themeColor="text1"/>
                <w:sz w:val="32"/>
              </w:rPr>
              <w:t>Kiadás: 2022. február</w:t>
            </w:r>
          </w:p>
        </w:tc>
      </w:tr>
    </w:tbl>
    <w:p w14:paraId="5D27D3EA" w14:textId="77777777" w:rsidR="00E84013" w:rsidRPr="00874914" w:rsidRDefault="00E84013">
      <w:pPr>
        <w:rPr>
          <w:rFonts w:cs="Arial"/>
        </w:rPr>
      </w:pPr>
    </w:p>
    <w:p w14:paraId="5D27D3EB" w14:textId="77777777" w:rsidR="00E84013" w:rsidRPr="00874914" w:rsidRDefault="00E84013">
      <w:pPr>
        <w:pStyle w:val="Header"/>
        <w:tabs>
          <w:tab w:val="clear" w:pos="4536"/>
          <w:tab w:val="clear" w:pos="9072"/>
        </w:tabs>
        <w:rPr>
          <w:rFonts w:cs="Arial"/>
        </w:rPr>
        <w:sectPr w:rsidR="00E84013" w:rsidRPr="00874914" w:rsidSect="0033163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851" w:footer="851" w:gutter="0"/>
          <w:cols w:space="720"/>
          <w:titlePg/>
        </w:sectPr>
      </w:pPr>
    </w:p>
    <w:p w14:paraId="5D27D3EC" w14:textId="77777777" w:rsidR="00E84013" w:rsidRPr="00874914" w:rsidRDefault="001A3007">
      <w:pPr>
        <w:pStyle w:val="Heading1"/>
        <w:rPr>
          <w:color w:val="000000" w:themeColor="text1"/>
        </w:rPr>
      </w:pPr>
      <w:bookmarkStart w:id="0" w:name="_Toc193600032"/>
      <w:r w:rsidRPr="00874914">
        <w:rPr>
          <w:color w:val="000000" w:themeColor="text1"/>
        </w:rPr>
        <w:lastRenderedPageBreak/>
        <w:t>1</w:t>
      </w:r>
      <w:r w:rsidRPr="00874914">
        <w:rPr>
          <w:color w:val="000000" w:themeColor="text1"/>
        </w:rPr>
        <w:tab/>
        <w:t>Általános rész</w:t>
      </w:r>
      <w:bookmarkEnd w:id="0"/>
    </w:p>
    <w:p w14:paraId="26A46CD4" w14:textId="77777777" w:rsidR="00571FA8" w:rsidRPr="00874914" w:rsidRDefault="00571FA8" w:rsidP="00571FA8">
      <w:r w:rsidRPr="00874914">
        <w:t>A rádióberendezések forgalmazására vonatkozó tagállami jogszabályok harmonizációjáról és az 1999/5/EK irányelv hatályon kívül helyezéséről szóló, 2014. április 16-i, 2014/53/EU európai parlamenti és tanácsi irányelvet (HL L 153., 62. o.) a Német Szövetségi Köztársaság jogrendjébe a legutóbb a 2021. június 23-i törvény (Szövetségi Jogi Közlöny I., 35. szám, 1858. o.) 52. cikkével módosított, a rádiórendszerek forgalmazásáról szóló, 2017. június 27-i törvény (FuAG) (Szövetségi Jogi Közlöny I., 42. szám, 1947. o.) ültette át.</w:t>
      </w:r>
    </w:p>
    <w:p w14:paraId="0CEFD949" w14:textId="77777777" w:rsidR="00571FA8" w:rsidRPr="00874914" w:rsidRDefault="00571FA8" w:rsidP="00571FA8">
      <w:pPr>
        <w:rPr>
          <w:color w:val="000000" w:themeColor="text1"/>
        </w:rPr>
      </w:pPr>
    </w:p>
    <w:p w14:paraId="686F77F2" w14:textId="77777777" w:rsidR="00571FA8" w:rsidRPr="00874914" w:rsidRDefault="00571FA8" w:rsidP="00571FA8">
      <w:pPr>
        <w:rPr>
          <w:rFonts w:cs="Arial"/>
          <w:color w:val="000000" w:themeColor="text1"/>
          <w:szCs w:val="22"/>
        </w:rPr>
      </w:pPr>
      <w:r w:rsidRPr="00874914">
        <w:rPr>
          <w:color w:val="000000" w:themeColor="text1"/>
        </w:rPr>
        <w:t xml:space="preserve">A FuAG 33. §-ának (1) bekezdése értelmében a Szövetségi Hálózati Ügynökség gondoskodik az egyes rádióinterfészekre vonatkozó megfelelő előírásokról az olyan frekvenciasávokban működtetett rádiórendszerek esetében, amelyek használati feltételei a Közösség egészében nincsenek egységesítve. </w:t>
      </w:r>
    </w:p>
    <w:p w14:paraId="1759621F" w14:textId="77777777" w:rsidR="00571FA8" w:rsidRPr="00874914" w:rsidRDefault="00571FA8" w:rsidP="00571FA8">
      <w:pPr>
        <w:rPr>
          <w:rFonts w:cs="Arial"/>
          <w:color w:val="000000" w:themeColor="text1"/>
          <w:szCs w:val="22"/>
        </w:rPr>
      </w:pPr>
    </w:p>
    <w:p w14:paraId="5B16059E" w14:textId="77777777" w:rsidR="00571FA8" w:rsidRPr="00874914" w:rsidRDefault="00571FA8" w:rsidP="00571FA8">
      <w:pPr>
        <w:rPr>
          <w:color w:val="000000" w:themeColor="text1"/>
        </w:rPr>
      </w:pPr>
      <w:r w:rsidRPr="00874914">
        <w:rPr>
          <w:color w:val="000000" w:themeColor="text1"/>
        </w:rPr>
        <w:t xml:space="preserve">Ez az interfészleírás (SSB) olyan információkat tartalmaz, amelyek a gyártó számára elengedhetetlenek ahhoz, hogy elvégezhesse a rádiórendszerre vonatkozó alapvető követelményekkel kapcsolatos vizsgálatokat a 4. § (2) bekezdésével és adott esetben a (3) bekezdéssel összhangban. </w:t>
      </w:r>
    </w:p>
    <w:p w14:paraId="76E26DBD" w14:textId="77777777" w:rsidR="00571FA8" w:rsidRPr="00874914" w:rsidRDefault="00571FA8" w:rsidP="00571FA8">
      <w:pPr>
        <w:rPr>
          <w:color w:val="000000" w:themeColor="text1"/>
        </w:rPr>
      </w:pPr>
    </w:p>
    <w:p w14:paraId="6798E8B7" w14:textId="77777777" w:rsidR="00571FA8" w:rsidRPr="00874914" w:rsidRDefault="00571FA8" w:rsidP="00571FA8">
      <w:pPr>
        <w:rPr>
          <w:rFonts w:cs="Arial"/>
          <w:color w:val="000000" w:themeColor="text1"/>
          <w:szCs w:val="22"/>
        </w:rPr>
      </w:pPr>
      <w:r w:rsidRPr="00874914">
        <w:rPr>
          <w:color w:val="000000" w:themeColor="text1"/>
        </w:rPr>
        <w:t>A rádiórendszerek tervezése során a FuAG 4. §-a (1) bekezdésének 1. és 2. pontja szerinti egyéb alapvető követelményeket szintén figyelembe kell venni.</w:t>
      </w:r>
    </w:p>
    <w:p w14:paraId="70249476" w14:textId="77777777" w:rsidR="00571FA8" w:rsidRPr="00874914" w:rsidRDefault="00571FA8" w:rsidP="00571FA8">
      <w:pPr>
        <w:rPr>
          <w:rFonts w:cs="Arial"/>
          <w:color w:val="000000" w:themeColor="text1"/>
        </w:rPr>
      </w:pPr>
    </w:p>
    <w:p w14:paraId="466066DB" w14:textId="77777777" w:rsidR="00571FA8" w:rsidRPr="00874914" w:rsidRDefault="00571FA8" w:rsidP="00571FA8">
      <w:pPr>
        <w:rPr>
          <w:rFonts w:cs="Arial"/>
          <w:color w:val="000000" w:themeColor="text1"/>
          <w:szCs w:val="22"/>
        </w:rPr>
      </w:pPr>
      <w:r w:rsidRPr="00874914">
        <w:rPr>
          <w:color w:val="000000" w:themeColor="text1"/>
        </w:rPr>
        <w:t xml:space="preserve">A rádiórendszerek üzembe helyezése és üzemeltetése vonatkozásában a frekvenciakiosztást érintő rendelkezések, különösen a legutóbb 2022. január 1-jén a 2021. június 23-i törvény (Szövetségi Jogi Közlöny I., 35. sz., 1858. o.) 59. cikkével módosított, 2021. június 23-i távközlési törvény </w:t>
      </w:r>
      <w:bookmarkStart w:id="1" w:name="OLE_LINK4"/>
      <w:r w:rsidRPr="00874914">
        <w:rPr>
          <w:color w:val="000000" w:themeColor="text1"/>
        </w:rPr>
        <w:t>(Szövetségi Jogi Közlöny I., 35. sz., 1858. o.)</w:t>
      </w:r>
      <w:bookmarkEnd w:id="1"/>
      <w:r w:rsidRPr="00874914">
        <w:rPr>
          <w:color w:val="000000" w:themeColor="text1"/>
        </w:rPr>
        <w:t xml:space="preserve"> 6. részének (1) bekezdésében foglalt rendelkezések változatlanul érvényben maradnak.</w:t>
      </w:r>
    </w:p>
    <w:p w14:paraId="7B56C04A" w14:textId="77777777" w:rsidR="00571FA8" w:rsidRPr="00874914" w:rsidRDefault="00571FA8" w:rsidP="00571FA8"/>
    <w:p w14:paraId="4A1BC3D4" w14:textId="77777777" w:rsidR="00571FA8" w:rsidRPr="00874914" w:rsidRDefault="00571FA8" w:rsidP="00571FA8">
      <w:r w:rsidRPr="00874914">
        <w:t>Szintén be kell tartani a legutóbb 2017. július 4-én a 2017. június 27-i törvény (Szövetségi Jogi Közlöny I., 42. szám, 1947. o.) 3. cikkének (3) bekezdésével módosított, az elektromágneses mezők korlátozása céljából történő detektálására irányuló módszerről (BEMFV) szóló, 2002. augusztus 20-i rendeletben (Szövetségi Közlöny I., 60. szám, 3366. o.) foglaltakat.</w:t>
      </w:r>
    </w:p>
    <w:p w14:paraId="26347A0D" w14:textId="77777777" w:rsidR="00571FA8" w:rsidRPr="00874914" w:rsidRDefault="00571FA8" w:rsidP="00571FA8">
      <w:pPr>
        <w:rPr>
          <w:color w:val="000000" w:themeColor="text1"/>
        </w:rPr>
      </w:pPr>
    </w:p>
    <w:p w14:paraId="463B1CFD" w14:textId="77777777" w:rsidR="00571FA8" w:rsidRPr="00874914" w:rsidRDefault="00571FA8" w:rsidP="00571FA8">
      <w:pPr>
        <w:rPr>
          <w:rFonts w:cs="Arial"/>
          <w:color w:val="000000" w:themeColor="text1"/>
          <w:szCs w:val="22"/>
        </w:rPr>
      </w:pPr>
      <w:r w:rsidRPr="00874914">
        <w:rPr>
          <w:color w:val="000000" w:themeColor="text1"/>
        </w:rPr>
        <w:t>A Szövetségi Hálózati Ügynökség a Hivatalos Lapjában elrendeli az interfész-előírás hatályba léptetését, és annak hivatkozását a Hivatalos Lapban közzéteszi; kizárólag a német kiadás bír kötelező erővel.</w:t>
      </w:r>
    </w:p>
    <w:p w14:paraId="7EC7E19C" w14:textId="77777777" w:rsidR="001671D3" w:rsidRPr="00874914" w:rsidRDefault="001671D3" w:rsidP="001671D3">
      <w:pPr>
        <w:rPr>
          <w:rFonts w:cs="Arial"/>
          <w:color w:val="000000" w:themeColor="text1"/>
          <w:szCs w:val="22"/>
        </w:rPr>
      </w:pPr>
    </w:p>
    <w:p w14:paraId="5D27D3F7" w14:textId="77777777" w:rsidR="00381B7A" w:rsidRPr="00874914" w:rsidRDefault="00381B7A">
      <w:pPr>
        <w:rPr>
          <w:color w:val="000000" w:themeColor="text1"/>
        </w:rPr>
      </w:pPr>
    </w:p>
    <w:p w14:paraId="5A7D98E0" w14:textId="77777777" w:rsidR="001E3760" w:rsidRPr="00874914" w:rsidRDefault="001E3760">
      <w:pPr>
        <w:rPr>
          <w:color w:val="000000" w:themeColor="text1"/>
        </w:rPr>
      </w:pPr>
    </w:p>
    <w:p w14:paraId="5D27D3F8" w14:textId="77777777" w:rsidR="00E84013" w:rsidRPr="00874914" w:rsidRDefault="001A3007" w:rsidP="001A3007">
      <w:pPr>
        <w:pStyle w:val="Heading1"/>
        <w:rPr>
          <w:color w:val="000000" w:themeColor="text1"/>
        </w:rPr>
      </w:pPr>
      <w:bookmarkStart w:id="2" w:name="_Toc193600035"/>
      <w:r w:rsidRPr="00874914">
        <w:rPr>
          <w:color w:val="000000" w:themeColor="text1"/>
        </w:rPr>
        <w:t>2</w:t>
      </w:r>
      <w:r w:rsidRPr="00874914">
        <w:rPr>
          <w:color w:val="000000" w:themeColor="text1"/>
        </w:rPr>
        <w:tab/>
        <w:t>Alkalmazási terület</w:t>
      </w:r>
      <w:bookmarkEnd w:id="2"/>
    </w:p>
    <w:p w14:paraId="1EC636BE" w14:textId="0CDECEB4" w:rsidR="00663106" w:rsidRPr="00874914" w:rsidRDefault="00663106" w:rsidP="000F4A2F">
      <w:pPr>
        <w:rPr>
          <w:color w:val="000000" w:themeColor="text1"/>
          <w:sz w:val="20"/>
        </w:rPr>
      </w:pPr>
      <w:r w:rsidRPr="00874914">
        <w:rPr>
          <w:color w:val="000000" w:themeColor="text1"/>
        </w:rPr>
        <w:t>Ez az interfész-előírás a 6,2 GHz-es tartományban működő, pont-pont (P-P) típusú rádiós átjátszóberendezésekhez tartozó rádiórendszerekre vonatkozóan ismerteti a FuAG 4. §-a (2) bekezdéséhez kapcsolódó alapvető követelményeket</w:t>
      </w:r>
      <w:r w:rsidRPr="00874914">
        <w:rPr>
          <w:color w:val="000000" w:themeColor="text1"/>
          <w:sz w:val="20"/>
        </w:rPr>
        <w:t>.</w:t>
      </w:r>
    </w:p>
    <w:p w14:paraId="352EEB65" w14:textId="77777777" w:rsidR="00663106" w:rsidRPr="00874914" w:rsidRDefault="00663106" w:rsidP="00663106">
      <w:pPr>
        <w:pStyle w:val="Header"/>
        <w:tabs>
          <w:tab w:val="clear" w:pos="4536"/>
          <w:tab w:val="clear" w:pos="9072"/>
        </w:tabs>
        <w:rPr>
          <w:color w:val="000000" w:themeColor="text1"/>
        </w:rPr>
      </w:pPr>
    </w:p>
    <w:p w14:paraId="64094965" w14:textId="05400DFC" w:rsidR="00663106" w:rsidRPr="00874914" w:rsidRDefault="00663106" w:rsidP="00663106">
      <w:pPr>
        <w:rPr>
          <w:color w:val="000000" w:themeColor="text1"/>
          <w:szCs w:val="22"/>
        </w:rPr>
      </w:pPr>
      <w:r w:rsidRPr="00874914">
        <w:rPr>
          <w:color w:val="000000" w:themeColor="text1"/>
        </w:rPr>
        <w:t>A jelen interfész-előírás hatálya alá tartozó rádióberendezéseket rendeltetésszerűen kell használni, és a gyártó utasításainak megfelelően kell működtetni. A 2014/53/EU irányelv előírja a gyártók számára, hogy a rádióberendezés-használók számára biztosítsák a szükséges információkat ahhoz, hogy a rádióberendezéseket rendeltetésszerűen és az említett irányelv rendelkezéseivel összhangban tudják működtetni. A tájékoztatásnak ki kell terjednie a rádióberendezéssel összefüggésben alkalmazandó kábelezésre és antennatípusokra vonatkozó megfelelő utasításokra is.</w:t>
      </w:r>
    </w:p>
    <w:p w14:paraId="5D27D3FC" w14:textId="77777777" w:rsidR="004A212D" w:rsidRPr="00874914" w:rsidRDefault="004A212D">
      <w:pPr>
        <w:rPr>
          <w:rFonts w:cs="Arial"/>
          <w:color w:val="000000" w:themeColor="text1"/>
        </w:rPr>
      </w:pPr>
    </w:p>
    <w:p w14:paraId="5D27D3FD" w14:textId="1EC1E9E6" w:rsidR="004A212D" w:rsidRPr="00874914" w:rsidRDefault="00D36D4E" w:rsidP="00FE565F">
      <w:pPr>
        <w:rPr>
          <w:rFonts w:cs="Arial"/>
        </w:rPr>
      </w:pPr>
      <w:r w:rsidRPr="00874914">
        <w:t>Ez az interfész-előírás az SSB FE-OE 030, 2011. januári kiadása helyébe lép, amelyet a 2011/0093/D számon jelentettek be.</w:t>
      </w:r>
    </w:p>
    <w:p w14:paraId="5D27D3FE" w14:textId="77777777" w:rsidR="004A212D" w:rsidRPr="00874914" w:rsidRDefault="001A3007" w:rsidP="001A3007">
      <w:pPr>
        <w:pStyle w:val="Heading1"/>
        <w:rPr>
          <w:color w:val="000000" w:themeColor="text1"/>
        </w:rPr>
      </w:pPr>
      <w:r w:rsidRPr="00874914">
        <w:br w:type="page"/>
      </w:r>
      <w:r w:rsidRPr="00874914">
        <w:rPr>
          <w:color w:val="000000" w:themeColor="text1"/>
        </w:rPr>
        <w:lastRenderedPageBreak/>
        <w:t>3</w:t>
      </w:r>
      <w:r w:rsidRPr="00874914">
        <w:rPr>
          <w:color w:val="000000" w:themeColor="text1"/>
        </w:rPr>
        <w:tab/>
        <w:t>Dokumentumok és elérhetőségek:</w:t>
      </w:r>
    </w:p>
    <w:p w14:paraId="7397C444" w14:textId="2B5CA345" w:rsidR="009402BF" w:rsidRPr="00874914" w:rsidRDefault="009402BF" w:rsidP="002C732C">
      <w:pPr>
        <w:pStyle w:val="AufzDokumente"/>
        <w:numPr>
          <w:ilvl w:val="0"/>
          <w:numId w:val="0"/>
        </w:numPr>
        <w:jc w:val="both"/>
      </w:pPr>
      <w:r w:rsidRPr="00874914">
        <w:t>E dokumentum alkalmazásához az alább hivatkozott dokumentumok szükségesek. A keltezett hivatkozások esetében kizárólag a dokumentum hivatkozott kiadása irányadó. A keltezés nélküli hivatkozások tekintetében a hivatkozott dokumentum legújabb kiadását (beleértve az esetleges módosításokat) kell alkalmazni.</w:t>
      </w:r>
    </w:p>
    <w:p w14:paraId="7686CBE5" w14:textId="34EC8BA7" w:rsidR="00336A2D" w:rsidRPr="00874914" w:rsidRDefault="00336A2D" w:rsidP="002C732C">
      <w:pPr>
        <w:pStyle w:val="AufzDokumente"/>
        <w:numPr>
          <w:ilvl w:val="0"/>
          <w:numId w:val="0"/>
        </w:numPr>
        <w:jc w:val="both"/>
      </w:pPr>
      <w:r w:rsidRPr="00874914">
        <w:t>A megfelelőség vélelme kizárólag a harmonizált európai szabványoknak a 2014/53/EU irányelv keretében a harmonizált szabványok aktuális jegyzékébe felvett és az Európai Bizottság által az Európai Unió Hivatalos Lapjában közzétett változatain alapulhat.</w:t>
      </w:r>
    </w:p>
    <w:p w14:paraId="3ABCE6F5" w14:textId="0F9AD3A4" w:rsidR="001E3760" w:rsidRPr="00874914" w:rsidRDefault="001E3760" w:rsidP="00DF32B7">
      <w:pPr>
        <w:pStyle w:val="AufzDokumente"/>
      </w:pPr>
      <w:r w:rsidRPr="00874914">
        <w:t>A 0 kHz-től 3 000 GHz-ig terjedő frekvenciatartománynak a spektrumhasználatok közötti felosztásáról és az ilyen felhasználás fogalommeghatározásairól szóló TKG 54. §-a szerinti frekvenciaterv</w:t>
      </w:r>
      <w:r w:rsidRPr="00874914">
        <w:br/>
        <w:t>Kiadta: a Szövetségi Hálózati Ügynökség</w:t>
      </w:r>
    </w:p>
    <w:p w14:paraId="12456D5A" w14:textId="596BFDB1" w:rsidR="00882122" w:rsidRPr="00874914" w:rsidRDefault="00882122" w:rsidP="00DF32B7">
      <w:pPr>
        <w:pStyle w:val="AufzDokumente"/>
      </w:pPr>
      <w:r w:rsidRPr="00874914">
        <w:t>Rádiós átjátszó alkalmazásokhoz (VV RiFu) kapcsolódó, állandó helyű rádiószolgáltatás frekvenciafelosztására vonatkozó adminisztratív rendelkezések</w:t>
      </w:r>
      <w:r w:rsidRPr="00874914">
        <w:br/>
        <w:t>Kiadta: a Szövetségi Hálózati Ügynökség</w:t>
      </w:r>
    </w:p>
    <w:p w14:paraId="0F43C18D" w14:textId="585B60E5" w:rsidR="00A02A4D" w:rsidRPr="00874914" w:rsidRDefault="00A02A4D" w:rsidP="00DF32B7">
      <w:pPr>
        <w:pStyle w:val="AufzDokumente"/>
      </w:pPr>
      <w:r w:rsidRPr="00874914">
        <w:t>A 6,2 GHz-es tartományba tartozó frekvenciák használati feltételeinek módosítása rádióátviteli csatornák megvalósítása céljából (Szövetségi Hálózati Ügynökség Hivatalos Lapja, 7/2010. sz., 10. kiadás)</w:t>
      </w:r>
    </w:p>
    <w:p w14:paraId="5D27D400" w14:textId="0BEFECEF" w:rsidR="004A212D" w:rsidRPr="00874914" w:rsidRDefault="004A212D" w:rsidP="00DF32B7">
      <w:pPr>
        <w:pStyle w:val="AufzDokumente"/>
      </w:pPr>
      <w:r w:rsidRPr="00874914">
        <w:t>Rádiószabályzat</w:t>
      </w:r>
      <w:r w:rsidRPr="00874914">
        <w:rPr>
          <w:rStyle w:val="FootnoteReference"/>
        </w:rPr>
        <w:footnoteReference w:id="1"/>
      </w:r>
      <w:r w:rsidRPr="00874914">
        <w:t xml:space="preserve"> (VO Funk)</w:t>
      </w:r>
      <w:r w:rsidRPr="00874914">
        <w:br/>
        <w:t>Nemzetközi Távközlési Egyesület (ITU), Genf</w:t>
      </w:r>
      <w:r w:rsidRPr="00874914">
        <w:br/>
        <w:t>(</w:t>
      </w:r>
      <w:r w:rsidRPr="00874914">
        <w:rPr>
          <w:i/>
        </w:rPr>
        <w:t>Règlement des radiocommunications</w:t>
      </w:r>
      <w:r w:rsidRPr="00874914">
        <w:t>, Union internationale des télécommunications (UIT), Genève)</w:t>
      </w:r>
    </w:p>
    <w:p w14:paraId="64051F00" w14:textId="77777777" w:rsidR="00874914" w:rsidRPr="00874914" w:rsidRDefault="00874914" w:rsidP="00874914">
      <w:pPr>
        <w:pStyle w:val="AufzDokumente"/>
        <w:rPr>
          <w:lang w:val="en-GB"/>
        </w:rPr>
      </w:pPr>
      <w:r w:rsidRPr="00874914">
        <w:rPr>
          <w:lang w:val="en-GB"/>
        </w:rPr>
        <w:t>ITU-R F.383-10</w:t>
      </w:r>
      <w:r w:rsidRPr="00874914">
        <w:rPr>
          <w:lang w:val="en-GB"/>
        </w:rPr>
        <w:br/>
        <w:t>Radio-frequency channel arrangements for high-capacity fixed wireless systems operating in the lower 6 GHz (5925 to 6425 MHz) band, 20/2021</w:t>
      </w:r>
    </w:p>
    <w:p w14:paraId="338335B7" w14:textId="77777777" w:rsidR="00874914" w:rsidRPr="00874914" w:rsidRDefault="00874914" w:rsidP="00874914">
      <w:pPr>
        <w:pStyle w:val="AufzDokumente"/>
        <w:rPr>
          <w:lang w:val="en-GB"/>
        </w:rPr>
      </w:pPr>
      <w:r w:rsidRPr="00874914">
        <w:rPr>
          <w:lang w:val="en-GB"/>
        </w:rPr>
        <w:t>CEPT ERC Recommendation 14-01</w:t>
      </w:r>
      <w:r w:rsidRPr="00874914">
        <w:rPr>
          <w:lang w:val="en-GB"/>
        </w:rPr>
        <w:br/>
        <w:t xml:space="preserve">Radio-frequency channel arrangements for high capacity analogue and digital radio-relay systems operating in the band 5925 to 6425 MHz, amended May 2015 </w:t>
      </w:r>
    </w:p>
    <w:p w14:paraId="4BB08AD7" w14:textId="77777777" w:rsidR="00874914" w:rsidRPr="00874914" w:rsidRDefault="00874914" w:rsidP="00874914">
      <w:pPr>
        <w:pStyle w:val="AufzDokumente"/>
        <w:rPr>
          <w:lang w:val="en-GB"/>
        </w:rPr>
      </w:pPr>
      <w:r w:rsidRPr="00874914">
        <w:rPr>
          <w:lang w:val="en-GB"/>
        </w:rPr>
        <w:t>CEPT ERC Recommendation 74-01</w:t>
      </w:r>
      <w:r w:rsidRPr="00874914">
        <w:rPr>
          <w:lang w:val="en-GB"/>
        </w:rPr>
        <w:br/>
        <w:t xml:space="preserve">Unwanted emissions in the spurious domain, 29 May 2019 </w:t>
      </w:r>
    </w:p>
    <w:p w14:paraId="4ECB4062" w14:textId="77777777" w:rsidR="00874914" w:rsidRPr="00874914" w:rsidRDefault="00874914" w:rsidP="00874914">
      <w:pPr>
        <w:pStyle w:val="AufzDokumente"/>
        <w:rPr>
          <w:lang w:val="en-GB"/>
        </w:rPr>
      </w:pPr>
      <w:r w:rsidRPr="00874914">
        <w:rPr>
          <w:lang w:val="en-GB"/>
        </w:rPr>
        <w:t>ETSI EN 302 217-1</w:t>
      </w:r>
      <w:r w:rsidRPr="00874914">
        <w:rPr>
          <w:lang w:val="en-GB"/>
        </w:rPr>
        <w:br/>
        <w:t>Fixed Radio Systems; Characteristics and requirements for point-to-point equipment and antennas; Part 1: Overview, common characteristics and system-independent requirements</w:t>
      </w:r>
    </w:p>
    <w:p w14:paraId="6671C71E" w14:textId="77777777" w:rsidR="00874914" w:rsidRPr="00874914" w:rsidRDefault="00874914" w:rsidP="00874914">
      <w:pPr>
        <w:pStyle w:val="AufzDokumente"/>
        <w:rPr>
          <w:lang w:val="en-GB"/>
        </w:rPr>
      </w:pPr>
      <w:r w:rsidRPr="00874914">
        <w:rPr>
          <w:lang w:val="en-GB"/>
        </w:rPr>
        <w:t>ETSI EN 302 217-2</w:t>
      </w:r>
      <w:r w:rsidRPr="00874914">
        <w:rPr>
          <w:lang w:val="en-GB"/>
        </w:rPr>
        <w:br/>
        <w:t>Fixed Radio Systems; Characteristics and requirements for point-to-point equipment and antennas; Part 2: Digital systems operating in frequency bands from 1 GHz to 86 GHz; Harmonised Standard for access to radio spectrum</w:t>
      </w:r>
    </w:p>
    <w:p w14:paraId="35F0A9BC" w14:textId="77777777" w:rsidR="00874914" w:rsidRPr="00874914" w:rsidRDefault="00874914" w:rsidP="00874914">
      <w:pPr>
        <w:pStyle w:val="AufzDokumente"/>
        <w:rPr>
          <w:lang w:val="en-GB"/>
        </w:rPr>
      </w:pPr>
      <w:r w:rsidRPr="00874914">
        <w:rPr>
          <w:lang w:val="en-GB"/>
        </w:rPr>
        <w:t>ETSI EN 302 217-4</w:t>
      </w:r>
      <w:r w:rsidRPr="00874914">
        <w:rPr>
          <w:lang w:val="en-GB"/>
        </w:rPr>
        <w:br/>
        <w:t>Fixed Radio Systems; Characteristics and requirements for point-to-point equipment and antennas; Part 4: Antennas</w:t>
      </w:r>
    </w:p>
    <w:p w14:paraId="4E9F50CB" w14:textId="77777777" w:rsidR="008D5EA0" w:rsidRPr="00874914" w:rsidRDefault="008D5EA0">
      <w:pPr>
        <w:overflowPunct/>
        <w:autoSpaceDE/>
        <w:autoSpaceDN/>
        <w:adjustRightInd/>
        <w:jc w:val="left"/>
        <w:textAlignment w:val="auto"/>
        <w:rPr>
          <w:rFonts w:cs="Arial"/>
          <w:color w:val="000000" w:themeColor="text1"/>
        </w:rPr>
      </w:pPr>
      <w:r w:rsidRPr="00874914">
        <w:br w:type="page"/>
      </w:r>
    </w:p>
    <w:p w14:paraId="2C3CE280" w14:textId="77777777" w:rsidR="008D5EA0" w:rsidRPr="00874914" w:rsidRDefault="008D5EA0" w:rsidP="004A212D">
      <w:pPr>
        <w:rPr>
          <w:rFonts w:cs="Arial"/>
          <w:color w:val="000000" w:themeColor="text1"/>
          <w:lang w:val="en-US"/>
        </w:rPr>
      </w:pPr>
    </w:p>
    <w:p w14:paraId="5D27D410" w14:textId="033F3E12" w:rsidR="004A212D" w:rsidRPr="00874914" w:rsidRDefault="004A212D" w:rsidP="004A212D">
      <w:pPr>
        <w:rPr>
          <w:rFonts w:cs="Arial"/>
          <w:color w:val="000000" w:themeColor="text1"/>
        </w:rPr>
      </w:pPr>
      <w:r w:rsidRPr="00874914">
        <w:rPr>
          <w:color w:val="000000" w:themeColor="text1"/>
        </w:rPr>
        <w:t>Német Szövetségi Villamosenergia-ágazati, Gázipari, Távközlési, Postai és Vasúti Hálózati Ügynökség</w:t>
      </w:r>
    </w:p>
    <w:p w14:paraId="5D27D411" w14:textId="77777777" w:rsidR="004A212D" w:rsidRPr="00874914" w:rsidRDefault="004A212D" w:rsidP="004A212D">
      <w:pPr>
        <w:rPr>
          <w:rFonts w:cs="Arial"/>
          <w:color w:val="000000" w:themeColor="text1"/>
        </w:rPr>
      </w:pPr>
      <w:r w:rsidRPr="00874914">
        <w:rPr>
          <w:color w:val="000000" w:themeColor="text1"/>
        </w:rPr>
        <w:t>Hiv. sz. 421</w:t>
      </w:r>
    </w:p>
    <w:p w14:paraId="5D27D412" w14:textId="77777777" w:rsidR="004A212D" w:rsidRPr="00874914" w:rsidRDefault="004A212D" w:rsidP="004A212D">
      <w:pPr>
        <w:rPr>
          <w:rFonts w:cs="Arial"/>
          <w:color w:val="000000" w:themeColor="text1"/>
        </w:rPr>
      </w:pPr>
      <w:r w:rsidRPr="00874914">
        <w:rPr>
          <w:color w:val="000000" w:themeColor="text1"/>
        </w:rPr>
        <w:t>Seidelstr. 49, 13405 Berlin</w:t>
      </w:r>
    </w:p>
    <w:p w14:paraId="5D27D413" w14:textId="77777777" w:rsidR="004A212D" w:rsidRPr="00874914" w:rsidRDefault="004A212D" w:rsidP="004A212D">
      <w:pPr>
        <w:rPr>
          <w:rFonts w:cs="Arial"/>
          <w:color w:val="000000" w:themeColor="text1"/>
          <w:lang w:val="de-DE"/>
        </w:rPr>
      </w:pPr>
    </w:p>
    <w:p w14:paraId="5D27D414" w14:textId="04393EC0" w:rsidR="004A212D" w:rsidRPr="00874914" w:rsidRDefault="004A212D" w:rsidP="004A212D">
      <w:pPr>
        <w:spacing w:after="60"/>
        <w:rPr>
          <w:rFonts w:cs="Arial"/>
          <w:color w:val="000000" w:themeColor="text1"/>
        </w:rPr>
      </w:pPr>
      <w:r w:rsidRPr="00874914">
        <w:rPr>
          <w:color w:val="000000" w:themeColor="text1"/>
        </w:rPr>
        <w:t>Tel.:</w:t>
      </w:r>
      <w:r w:rsidRPr="00874914">
        <w:rPr>
          <w:color w:val="000000" w:themeColor="text1"/>
        </w:rPr>
        <w:tab/>
      </w:r>
      <w:r w:rsidRPr="00874914">
        <w:rPr>
          <w:color w:val="000000" w:themeColor="text1"/>
        </w:rPr>
        <w:tab/>
        <w:t>+49 30 4374 0</w:t>
      </w:r>
    </w:p>
    <w:p w14:paraId="5D27D415" w14:textId="23290167" w:rsidR="004A212D" w:rsidRPr="00874914" w:rsidRDefault="004A212D" w:rsidP="004A212D">
      <w:pPr>
        <w:spacing w:after="60"/>
        <w:rPr>
          <w:rFonts w:cs="Arial"/>
          <w:color w:val="000000" w:themeColor="text1"/>
        </w:rPr>
      </w:pPr>
      <w:r w:rsidRPr="00874914">
        <w:rPr>
          <w:color w:val="000000" w:themeColor="text1"/>
        </w:rPr>
        <w:t>Fax:</w:t>
      </w:r>
      <w:r w:rsidRPr="00874914">
        <w:rPr>
          <w:color w:val="000000" w:themeColor="text1"/>
        </w:rPr>
        <w:tab/>
      </w:r>
      <w:r w:rsidRPr="00874914">
        <w:rPr>
          <w:color w:val="000000" w:themeColor="text1"/>
        </w:rPr>
        <w:tab/>
        <w:t>+49 30 4374 1180</w:t>
      </w:r>
    </w:p>
    <w:p w14:paraId="5D27D416" w14:textId="77777777" w:rsidR="004A212D" w:rsidRPr="00874914" w:rsidRDefault="004A212D" w:rsidP="004A212D">
      <w:pPr>
        <w:spacing w:after="60"/>
        <w:rPr>
          <w:rFonts w:cs="Arial"/>
        </w:rPr>
      </w:pPr>
      <w:r w:rsidRPr="00874914">
        <w:rPr>
          <w:color w:val="000000" w:themeColor="text1"/>
        </w:rPr>
        <w:t>E-mail:</w:t>
      </w:r>
      <w:r w:rsidRPr="00874914">
        <w:tab/>
      </w:r>
      <w:r w:rsidRPr="00874914">
        <w:tab/>
      </w:r>
      <w:hyperlink r:id="rId14" w:history="1">
        <w:r w:rsidRPr="00874914">
          <w:rPr>
            <w:rStyle w:val="Hyperlink"/>
          </w:rPr>
          <w:t>ssb@bnetza.de</w:t>
        </w:r>
      </w:hyperlink>
    </w:p>
    <w:p w14:paraId="5D27D417" w14:textId="77777777" w:rsidR="004A212D" w:rsidRPr="00874914" w:rsidRDefault="004A212D" w:rsidP="004A212D">
      <w:pPr>
        <w:rPr>
          <w:rFonts w:cs="Arial"/>
        </w:rPr>
      </w:pPr>
      <w:r w:rsidRPr="00874914">
        <w:rPr>
          <w:color w:val="000000" w:themeColor="text1"/>
        </w:rPr>
        <w:t>Internet:</w:t>
      </w:r>
      <w:r w:rsidRPr="00874914">
        <w:tab/>
      </w:r>
      <w:hyperlink r:id="rId15" w:history="1">
        <w:r w:rsidRPr="00874914">
          <w:rPr>
            <w:rStyle w:val="Hyperlink"/>
          </w:rPr>
          <w:t>www.bundesnetzagentur.de</w:t>
        </w:r>
      </w:hyperlink>
    </w:p>
    <w:p w14:paraId="5D27D419" w14:textId="77777777" w:rsidR="00E84013" w:rsidRPr="00874914" w:rsidRDefault="00E84013">
      <w:pPr>
        <w:rPr>
          <w:rFonts w:cs="Arial"/>
          <w:lang w:val="de-DE"/>
        </w:rPr>
      </w:pPr>
    </w:p>
    <w:p w14:paraId="5D27D41A" w14:textId="77777777" w:rsidR="00E84013" w:rsidRPr="00874914" w:rsidRDefault="00E84013">
      <w:pPr>
        <w:rPr>
          <w:rFonts w:cs="Arial"/>
          <w:lang w:val="de-DE"/>
        </w:rPr>
        <w:sectPr w:rsidR="00E84013" w:rsidRPr="00874914" w:rsidSect="0053074E">
          <w:headerReference w:type="first" r:id="rId16"/>
          <w:footerReference w:type="first" r:id="rId17"/>
          <w:pgSz w:w="11906" w:h="16838" w:code="9"/>
          <w:pgMar w:top="1134" w:right="1134" w:bottom="1134" w:left="1134" w:header="567" w:footer="851" w:gutter="0"/>
          <w:cols w:space="720"/>
          <w:titlePg/>
        </w:sectPr>
      </w:pPr>
    </w:p>
    <w:p w14:paraId="5D27D41B" w14:textId="77777777" w:rsidR="00E84013" w:rsidRPr="00874914" w:rsidRDefault="00022406" w:rsidP="00022406">
      <w:pPr>
        <w:pStyle w:val="Heading1"/>
        <w:rPr>
          <w:color w:val="000000" w:themeColor="text1"/>
        </w:rPr>
      </w:pPr>
      <w:r w:rsidRPr="00874914">
        <w:rPr>
          <w:color w:val="000000" w:themeColor="text1"/>
        </w:rPr>
        <w:lastRenderedPageBreak/>
        <w:t>4</w:t>
      </w:r>
      <w:r w:rsidRPr="00874914">
        <w:rPr>
          <w:color w:val="000000" w:themeColor="text1"/>
        </w:rPr>
        <w:tab/>
        <w:t>Interfészekre vonatkozó műszaki követelmények</w:t>
      </w:r>
    </w:p>
    <w:p w14:paraId="5D27D41C" w14:textId="150DEFD2" w:rsidR="00FD2DA7" w:rsidRPr="00874914" w:rsidRDefault="00FD2DA7" w:rsidP="001D0DBD">
      <w:pPr>
        <w:jc w:val="left"/>
      </w:pPr>
      <w:r w:rsidRPr="00874914">
        <w:rPr>
          <w:color w:val="000000" w:themeColor="text1"/>
        </w:rPr>
        <w:t>Ez az SSB a 6,2 GHz-es tartományban működő, pont-pont (P-P) típusú rádióberendezésekre vonatkozó műszaki interfész-követelményeket tartalmazza.</w:t>
      </w:r>
    </w:p>
    <w:p w14:paraId="5D27D422" w14:textId="77777777" w:rsidR="00FD2DA7" w:rsidRPr="00874914" w:rsidRDefault="00FD2DA7" w:rsidP="00FD2DA7"/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397"/>
        <w:gridCol w:w="2835"/>
        <w:gridCol w:w="3799"/>
        <w:gridCol w:w="2268"/>
      </w:tblGrid>
      <w:tr w:rsidR="00FD2DA7" w:rsidRPr="00874914" w14:paraId="5D27D425" w14:textId="77777777" w:rsidTr="00733135">
        <w:trPr>
          <w:jc w:val="center"/>
        </w:trPr>
        <w:tc>
          <w:tcPr>
            <w:tcW w:w="340" w:type="dxa"/>
            <w:tcBorders>
              <w:top w:val="doub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D27D423" w14:textId="77777777" w:rsidR="00FD2DA7" w:rsidRPr="00874914" w:rsidRDefault="00FD2DA7" w:rsidP="00733135">
            <w:pPr>
              <w:jc w:val="center"/>
            </w:pPr>
          </w:p>
        </w:tc>
        <w:tc>
          <w:tcPr>
            <w:tcW w:w="9299" w:type="dxa"/>
            <w:gridSpan w:val="4"/>
            <w:tcBorders>
              <w:top w:val="double" w:sz="4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D27D424" w14:textId="71EB3503" w:rsidR="00FD2DA7" w:rsidRPr="00874914" w:rsidRDefault="00FD2DA7" w:rsidP="00A75F21">
            <w:pPr>
              <w:spacing w:after="120"/>
              <w:ind w:left="1191" w:hanging="1191"/>
              <w:rPr>
                <w:b/>
              </w:rPr>
            </w:pPr>
            <w:r w:rsidRPr="00874914">
              <w:rPr>
                <w:b/>
                <w:color w:val="000000" w:themeColor="text1"/>
              </w:rPr>
              <w:t>1. táblázat:</w:t>
            </w:r>
            <w:r w:rsidRPr="00874914">
              <w:rPr>
                <w:b/>
              </w:rPr>
              <w:tab/>
              <w:t>Pont-pont típusú rádiós átjátszóberendezések az 5 925-6 425 MHz-es frekvenciatartományban</w:t>
            </w:r>
          </w:p>
        </w:tc>
      </w:tr>
      <w:tr w:rsidR="00FD2DA7" w:rsidRPr="00874914" w14:paraId="5D27D42D" w14:textId="77777777" w:rsidTr="00733135">
        <w:trPr>
          <w:jc w:val="center"/>
        </w:trPr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</w:tcPr>
          <w:p w14:paraId="5D27D426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2" w:space="0" w:color="auto"/>
            </w:tcBorders>
            <w:shd w:val="clear" w:color="auto" w:fill="C0C0C0"/>
          </w:tcPr>
          <w:p w14:paraId="5D27D427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  <w:r w:rsidRPr="00874914">
              <w:rPr>
                <w:color w:val="000000" w:themeColor="text1"/>
              </w:rPr>
              <w:t>Szám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2" w:space="0" w:color="auto"/>
            </w:tcBorders>
            <w:shd w:val="clear" w:color="auto" w:fill="C0C0C0"/>
          </w:tcPr>
          <w:p w14:paraId="5D27D428" w14:textId="77777777" w:rsidR="00FD2DA7" w:rsidRPr="00874914" w:rsidRDefault="00FD2DA7" w:rsidP="00FD2DA7">
            <w:pPr>
              <w:rPr>
                <w:color w:val="000000" w:themeColor="text1"/>
              </w:rPr>
            </w:pPr>
            <w:r w:rsidRPr="00874914">
              <w:rPr>
                <w:color w:val="000000" w:themeColor="text1"/>
              </w:rPr>
              <w:t>Paraméterek</w:t>
            </w:r>
          </w:p>
        </w:tc>
        <w:tc>
          <w:tcPr>
            <w:tcW w:w="3799" w:type="dxa"/>
            <w:tcBorders>
              <w:top w:val="single" w:sz="8" w:space="0" w:color="auto"/>
              <w:bottom w:val="single" w:sz="2" w:space="0" w:color="auto"/>
            </w:tcBorders>
            <w:shd w:val="clear" w:color="auto" w:fill="C0C0C0"/>
          </w:tcPr>
          <w:p w14:paraId="5D27D429" w14:textId="77777777" w:rsidR="00FD2DA7" w:rsidRPr="00874914" w:rsidRDefault="00FD2DA7" w:rsidP="00733135">
            <w:pPr>
              <w:jc w:val="left"/>
              <w:rPr>
                <w:color w:val="000000" w:themeColor="text1"/>
              </w:rPr>
            </w:pPr>
            <w:r w:rsidRPr="00874914">
              <w:rPr>
                <w:color w:val="000000" w:themeColor="text1"/>
              </w:rPr>
              <w:t>Leírás</w:t>
            </w:r>
          </w:p>
          <w:p w14:paraId="5D27D42A" w14:textId="77777777" w:rsidR="00FD2DA7" w:rsidRPr="00874914" w:rsidRDefault="00FD2DA7" w:rsidP="00733135">
            <w:pPr>
              <w:jc w:val="left"/>
              <w:rPr>
                <w:color w:val="000000" w:themeColor="text1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(Description)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2" w:space="0" w:color="auto"/>
            </w:tcBorders>
            <w:shd w:val="clear" w:color="auto" w:fill="C0C0C0"/>
          </w:tcPr>
          <w:p w14:paraId="5D27D42B" w14:textId="77777777" w:rsidR="00FD2DA7" w:rsidRPr="00874914" w:rsidRDefault="00FD2DA7" w:rsidP="00733135">
            <w:pPr>
              <w:jc w:val="left"/>
              <w:rPr>
                <w:color w:val="000000" w:themeColor="text1"/>
              </w:rPr>
            </w:pPr>
            <w:r w:rsidRPr="00874914">
              <w:rPr>
                <w:color w:val="000000" w:themeColor="text1"/>
              </w:rPr>
              <w:t>Megjegyzések</w:t>
            </w:r>
          </w:p>
          <w:p w14:paraId="5D27D42C" w14:textId="77777777" w:rsidR="00FD2DA7" w:rsidRPr="00874914" w:rsidRDefault="00FD2DA7" w:rsidP="00733135">
            <w:pPr>
              <w:jc w:val="left"/>
              <w:rPr>
                <w:color w:val="000000" w:themeColor="text1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(Comments)</w:t>
            </w:r>
          </w:p>
        </w:tc>
      </w:tr>
      <w:tr w:rsidR="00FD2DA7" w:rsidRPr="00874914" w14:paraId="5D27D434" w14:textId="77777777" w:rsidTr="00733135">
        <w:trPr>
          <w:cantSplit/>
          <w:trHeight w:val="454"/>
          <w:jc w:val="center"/>
        </w:trPr>
        <w:tc>
          <w:tcPr>
            <w:tcW w:w="340" w:type="dxa"/>
            <w:vMerge w:val="restart"/>
            <w:shd w:val="clear" w:color="auto" w:fill="auto"/>
            <w:textDirection w:val="btLr"/>
            <w:vAlign w:val="center"/>
          </w:tcPr>
          <w:p w14:paraId="5D27D42E" w14:textId="77777777" w:rsidR="00FD2DA7" w:rsidRPr="00874914" w:rsidRDefault="00FD2DA7" w:rsidP="00733135">
            <w:pPr>
              <w:ind w:left="113" w:right="113"/>
              <w:jc w:val="center"/>
              <w:rPr>
                <w:color w:val="000000" w:themeColor="text1"/>
              </w:rPr>
            </w:pPr>
            <w:r w:rsidRPr="00874914">
              <w:rPr>
                <w:color w:val="000000" w:themeColor="text1"/>
              </w:rPr>
              <w:t>Normatív rész</w:t>
            </w:r>
          </w:p>
        </w:tc>
        <w:tc>
          <w:tcPr>
            <w:tcW w:w="397" w:type="dxa"/>
            <w:tcBorders>
              <w:top w:val="single" w:sz="2" w:space="0" w:color="auto"/>
            </w:tcBorders>
            <w:shd w:val="clear" w:color="auto" w:fill="auto"/>
          </w:tcPr>
          <w:p w14:paraId="5D27D42F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auto"/>
          </w:tcPr>
          <w:p w14:paraId="5D27D430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Rádiószolgáltatás</w:t>
            </w:r>
          </w:p>
          <w:p w14:paraId="5D27D431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(Radiocommunication Service)</w:t>
            </w:r>
          </w:p>
        </w:tc>
        <w:tc>
          <w:tcPr>
            <w:tcW w:w="3799" w:type="dxa"/>
            <w:tcBorders>
              <w:top w:val="single" w:sz="2" w:space="0" w:color="auto"/>
            </w:tcBorders>
            <w:shd w:val="clear" w:color="auto" w:fill="auto"/>
          </w:tcPr>
          <w:p w14:paraId="5D27D432" w14:textId="42AE203A" w:rsidR="00FD2DA7" w:rsidRPr="00874914" w:rsidRDefault="005B098D" w:rsidP="005B098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HELYHEZ KÖTÖTT RÁDIÓSZOLGÁLTATÁS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14:paraId="5D27D433" w14:textId="77777777" w:rsidR="00FD2DA7" w:rsidRPr="00874914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874914" w14:paraId="5D27D43B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35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36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5D27D437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Rendeltetésszerű használat/Alkalmazás</w:t>
            </w:r>
          </w:p>
          <w:p w14:paraId="5D27D438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(Application)</w:t>
            </w:r>
          </w:p>
        </w:tc>
        <w:tc>
          <w:tcPr>
            <w:tcW w:w="3799" w:type="dxa"/>
            <w:shd w:val="clear" w:color="auto" w:fill="auto"/>
          </w:tcPr>
          <w:p w14:paraId="5D27D439" w14:textId="489A1A47" w:rsidR="00FD2DA7" w:rsidRPr="00874914" w:rsidRDefault="00F11518" w:rsidP="00F11518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 xml:space="preserve">Pont-pont típusú rádiókapcsolat </w:t>
            </w:r>
          </w:p>
        </w:tc>
        <w:tc>
          <w:tcPr>
            <w:tcW w:w="2268" w:type="dxa"/>
            <w:shd w:val="clear" w:color="auto" w:fill="auto"/>
          </w:tcPr>
          <w:p w14:paraId="5D27D43A" w14:textId="0406F747" w:rsidR="00FD2DA7" w:rsidRPr="00874914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874914" w14:paraId="5D27D442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3C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3D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D27D43E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Frekvenciasáv</w:t>
            </w:r>
          </w:p>
          <w:p w14:paraId="5D27D43F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(Frequency band)</w:t>
            </w:r>
          </w:p>
        </w:tc>
        <w:tc>
          <w:tcPr>
            <w:tcW w:w="3799" w:type="dxa"/>
            <w:shd w:val="clear" w:color="auto" w:fill="auto"/>
          </w:tcPr>
          <w:p w14:paraId="5D27D440" w14:textId="5B9B5059" w:rsidR="00FD2DA7" w:rsidRPr="00874914" w:rsidRDefault="00272A68" w:rsidP="00272A68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5 925-6 168 MHz</w:t>
            </w:r>
            <w:r w:rsidRPr="00874914">
              <w:rPr>
                <w:color w:val="000000" w:themeColor="text1"/>
                <w:sz w:val="20"/>
              </w:rPr>
              <w:br/>
              <w:t>6 182-6 425 MHz</w:t>
            </w:r>
          </w:p>
        </w:tc>
        <w:tc>
          <w:tcPr>
            <w:tcW w:w="2268" w:type="dxa"/>
            <w:shd w:val="clear" w:color="auto" w:fill="auto"/>
          </w:tcPr>
          <w:p w14:paraId="5D27D441" w14:textId="72C5261A" w:rsidR="00FD2DA7" w:rsidRPr="00874914" w:rsidRDefault="00272A68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Alsó sáv</w:t>
            </w:r>
            <w:r w:rsidRPr="00874914">
              <w:rPr>
                <w:color w:val="000000" w:themeColor="text1"/>
                <w:sz w:val="20"/>
              </w:rPr>
              <w:br/>
              <w:t>Felső sáv</w:t>
            </w:r>
          </w:p>
        </w:tc>
      </w:tr>
      <w:tr w:rsidR="00FD2DA7" w:rsidRPr="00874914" w14:paraId="5D27D449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43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44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D27D445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Csatornakiosztás</w:t>
            </w:r>
          </w:p>
          <w:p w14:paraId="5D27D446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(Channelling)</w:t>
            </w:r>
          </w:p>
        </w:tc>
        <w:tc>
          <w:tcPr>
            <w:tcW w:w="3799" w:type="dxa"/>
            <w:shd w:val="clear" w:color="auto" w:fill="auto"/>
          </w:tcPr>
          <w:p w14:paraId="5D27D447" w14:textId="0ED58D98" w:rsidR="00FD2DA7" w:rsidRPr="00874914" w:rsidRDefault="00272A68" w:rsidP="00272A68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29,65 MHz/59,30 MHz Csatornatávolság</w:t>
            </w:r>
          </w:p>
        </w:tc>
        <w:tc>
          <w:tcPr>
            <w:tcW w:w="2268" w:type="dxa"/>
            <w:shd w:val="clear" w:color="auto" w:fill="auto"/>
          </w:tcPr>
          <w:p w14:paraId="5D27D448" w14:textId="4DBCE32A" w:rsidR="00FD2DA7" w:rsidRPr="00874914" w:rsidRDefault="00272A68" w:rsidP="00457EC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59,30 MHz-es csatornasávszélesség esetén a közös csatornás, kétszeresen polarizált (CCDP) üzemmód alkalmazása előírás.</w:t>
            </w:r>
            <w:r w:rsidRPr="00874914">
              <w:rPr>
                <w:color w:val="000000" w:themeColor="text1"/>
                <w:sz w:val="20"/>
              </w:rPr>
              <w:br/>
              <w:t>A CEPT ERC/REC 14-01 vagy az ITU-R F.383-10 és CEPT ERC/REC 74-01 szerint</w:t>
            </w:r>
          </w:p>
        </w:tc>
      </w:tr>
      <w:tr w:rsidR="00FD2DA7" w:rsidRPr="00874914" w14:paraId="5D27D450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4A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4B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D27D44C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Moduláció/Elfoglalt sávszélesség</w:t>
            </w:r>
          </w:p>
          <w:p w14:paraId="5D27D44D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(Modulation/Occupied bandwidth)</w:t>
            </w:r>
          </w:p>
        </w:tc>
        <w:tc>
          <w:tcPr>
            <w:tcW w:w="3799" w:type="dxa"/>
            <w:shd w:val="clear" w:color="auto" w:fill="auto"/>
          </w:tcPr>
          <w:p w14:paraId="5D27D44E" w14:textId="1BAB0A61" w:rsidR="00FD2DA7" w:rsidRPr="00874914" w:rsidRDefault="00272A68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ACCP és CCDP üzemmód</w:t>
            </w:r>
          </w:p>
        </w:tc>
        <w:tc>
          <w:tcPr>
            <w:tcW w:w="2268" w:type="dxa"/>
            <w:shd w:val="clear" w:color="auto" w:fill="auto"/>
          </w:tcPr>
          <w:p w14:paraId="5D27D44F" w14:textId="77777777" w:rsidR="00FD2DA7" w:rsidRPr="00874914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874914" w14:paraId="5D27D457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51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52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5D27D453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Irány/elválasztás</w:t>
            </w:r>
          </w:p>
          <w:p w14:paraId="5D27D454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(Direction/Separation)</w:t>
            </w:r>
          </w:p>
        </w:tc>
        <w:tc>
          <w:tcPr>
            <w:tcW w:w="3799" w:type="dxa"/>
            <w:shd w:val="clear" w:color="auto" w:fill="auto"/>
          </w:tcPr>
          <w:p w14:paraId="5D27D455" w14:textId="235C57F9" w:rsidR="00FD2DA7" w:rsidRPr="00874914" w:rsidRDefault="00272A68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252,04 MHz</w:t>
            </w:r>
          </w:p>
        </w:tc>
        <w:tc>
          <w:tcPr>
            <w:tcW w:w="2268" w:type="dxa"/>
            <w:shd w:val="clear" w:color="auto" w:fill="auto"/>
          </w:tcPr>
          <w:p w14:paraId="5D27D456" w14:textId="2D65ADF3" w:rsidR="00FD2DA7" w:rsidRPr="00874914" w:rsidRDefault="00272A68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Duplextávolság</w:t>
            </w:r>
          </w:p>
        </w:tc>
      </w:tr>
      <w:tr w:rsidR="00FD2DA7" w:rsidRPr="00874914" w14:paraId="5D27D45E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58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59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5D27D45A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Adóteljesítmény/Teljesítménysűrűség</w:t>
            </w:r>
          </w:p>
          <w:p w14:paraId="5D27D45B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(Transmit power/Power density)</w:t>
            </w:r>
          </w:p>
        </w:tc>
        <w:tc>
          <w:tcPr>
            <w:tcW w:w="3799" w:type="dxa"/>
            <w:shd w:val="clear" w:color="auto" w:fill="auto"/>
          </w:tcPr>
          <w:p w14:paraId="5D27D45C" w14:textId="5FA40F08" w:rsidR="00FD2DA7" w:rsidRPr="00874914" w:rsidRDefault="00B81BBD" w:rsidP="00627039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Max. 316 kW (55 dBW) EIRP</w:t>
            </w:r>
          </w:p>
        </w:tc>
        <w:tc>
          <w:tcPr>
            <w:tcW w:w="2268" w:type="dxa"/>
            <w:shd w:val="clear" w:color="auto" w:fill="auto"/>
          </w:tcPr>
          <w:p w14:paraId="5D27D45D" w14:textId="64755955" w:rsidR="00FD2DA7" w:rsidRPr="00874914" w:rsidRDefault="00B81BBD" w:rsidP="00B81BB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sz w:val="20"/>
              </w:rPr>
              <w:t>A konkrét értéket a frekvenciakiosztás határozza meg.</w:t>
            </w:r>
          </w:p>
        </w:tc>
      </w:tr>
      <w:tr w:rsidR="00FD2DA7" w:rsidRPr="00874914" w14:paraId="5D27D465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5F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60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5D27D461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A csatorna-hozzáférés és a csatornafoglalás szabályai</w:t>
            </w:r>
          </w:p>
          <w:p w14:paraId="5D27D462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(Channel access and occupation rules)</w:t>
            </w:r>
          </w:p>
        </w:tc>
        <w:tc>
          <w:tcPr>
            <w:tcW w:w="3799" w:type="dxa"/>
            <w:shd w:val="clear" w:color="auto" w:fill="auto"/>
          </w:tcPr>
          <w:p w14:paraId="5D27D463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D27D464" w14:textId="0104D5B4" w:rsidR="00FD2DA7" w:rsidRPr="00874914" w:rsidRDefault="00FD2DA7" w:rsidP="002B1465">
            <w:pPr>
              <w:jc w:val="left"/>
              <w:rPr>
                <w:rFonts w:cs="Arial"/>
                <w:strike/>
                <w:color w:val="000000" w:themeColor="text1"/>
                <w:sz w:val="20"/>
              </w:rPr>
            </w:pPr>
          </w:p>
        </w:tc>
      </w:tr>
      <w:tr w:rsidR="00FD2DA7" w:rsidRPr="00874914" w14:paraId="5D27D46C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66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67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5D27D468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Engedélyezési rendszer</w:t>
            </w:r>
          </w:p>
          <w:p w14:paraId="5D27D469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(Authorisation regime)</w:t>
            </w:r>
          </w:p>
        </w:tc>
        <w:tc>
          <w:tcPr>
            <w:tcW w:w="3799" w:type="dxa"/>
            <w:shd w:val="clear" w:color="auto" w:fill="auto"/>
          </w:tcPr>
          <w:p w14:paraId="5D27D46A" w14:textId="4CDDCB92" w:rsidR="00FD2DA7" w:rsidRPr="00874914" w:rsidRDefault="00B81BBD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Egyedi frekvenciakiosztás</w:t>
            </w:r>
          </w:p>
        </w:tc>
        <w:tc>
          <w:tcPr>
            <w:tcW w:w="2268" w:type="dxa"/>
            <w:shd w:val="clear" w:color="auto" w:fill="auto"/>
          </w:tcPr>
          <w:p w14:paraId="5D27D46B" w14:textId="77777777" w:rsidR="00FD2DA7" w:rsidRPr="00874914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874914" w14:paraId="5D27D473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6D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6E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5D27D46F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További alapvető követelmények</w:t>
            </w:r>
          </w:p>
          <w:p w14:paraId="5D27D470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(Additional essential requirements)</w:t>
            </w:r>
          </w:p>
        </w:tc>
        <w:tc>
          <w:tcPr>
            <w:tcW w:w="3799" w:type="dxa"/>
            <w:shd w:val="clear" w:color="auto" w:fill="auto"/>
          </w:tcPr>
          <w:p w14:paraId="333A8934" w14:textId="1A161E5B" w:rsidR="004F4D76" w:rsidRPr="00874914" w:rsidRDefault="004F4D76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Kiterjesztett alkalmazás:</w:t>
            </w:r>
          </w:p>
          <w:p w14:paraId="5D9745D3" w14:textId="5EEC4889" w:rsidR="004F4D76" w:rsidRPr="00874914" w:rsidRDefault="004F4D76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Csatorna sávszélesség: 59,30 MHz</w:t>
            </w:r>
          </w:p>
          <w:p w14:paraId="43ECA1F0" w14:textId="77777777" w:rsidR="004F4D76" w:rsidRPr="00874914" w:rsidRDefault="004F4D76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  <w:p w14:paraId="0D327DA0" w14:textId="77777777" w:rsidR="00FD2DA7" w:rsidRPr="00874914" w:rsidRDefault="004F1EC3" w:rsidP="004F1EC3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A használatot korlátozó feltételek:</w:t>
            </w:r>
          </w:p>
          <w:p w14:paraId="5D27D471" w14:textId="2C980DF0" w:rsidR="004F1EC3" w:rsidRPr="00874914" w:rsidRDefault="004F1EC3" w:rsidP="004F1EC3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 xml:space="preserve">legalább 622 Mbit/s átviteli kapacitás, és vízszintes és függőleges polarizáció alkalmazása </w:t>
            </w:r>
          </w:p>
        </w:tc>
        <w:tc>
          <w:tcPr>
            <w:tcW w:w="2268" w:type="dxa"/>
            <w:shd w:val="clear" w:color="auto" w:fill="auto"/>
          </w:tcPr>
          <w:p w14:paraId="3691C010" w14:textId="35D5CF9F" w:rsidR="004F4D76" w:rsidRPr="00874914" w:rsidRDefault="004F4D76" w:rsidP="004F4D76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CEPT/ERC/REC 14-01</w:t>
            </w:r>
          </w:p>
          <w:p w14:paraId="1F47AFF1" w14:textId="0C72261E" w:rsidR="00FD2DA7" w:rsidRPr="00874914" w:rsidRDefault="00D51F96" w:rsidP="004F1EC3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10/2010. sz. kiadás</w:t>
            </w:r>
          </w:p>
          <w:p w14:paraId="127EEBF8" w14:textId="77777777" w:rsidR="004F1EC3" w:rsidRPr="00874914" w:rsidRDefault="004F1EC3" w:rsidP="004F1EC3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  <w:p w14:paraId="5D27D472" w14:textId="7C66A3D9" w:rsidR="004F1EC3" w:rsidRPr="00874914" w:rsidRDefault="004F1EC3" w:rsidP="008D5EA0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10/2010. sz. kiadás</w:t>
            </w:r>
          </w:p>
        </w:tc>
      </w:tr>
      <w:tr w:rsidR="00FD2DA7" w:rsidRPr="00874914" w14:paraId="5D27D47A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27D474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27D475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D27D476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A frekvenciatervezés kiinduló feltételei</w:t>
            </w:r>
          </w:p>
          <w:p w14:paraId="5D27D477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(Frequency planning assumptions)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14:paraId="53227688" w14:textId="779CCB6C" w:rsidR="006F6EDD" w:rsidRPr="00874914" w:rsidRDefault="006F6EDD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 xml:space="preserve">Spektrális hatékonysági osztály ≥ 5x(y) </w:t>
            </w:r>
          </w:p>
          <w:p w14:paraId="5534E213" w14:textId="77777777" w:rsidR="00DC7FAB" w:rsidRPr="00874914" w:rsidRDefault="00DC7FAB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  <w:p w14:paraId="5D27D478" w14:textId="28BC1947" w:rsidR="00FD2DA7" w:rsidRPr="00874914" w:rsidRDefault="006F6EDD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3. és 4. osztályú antennák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E5599C" w14:textId="2BC2A0D1" w:rsidR="006F6EDD" w:rsidRPr="00874914" w:rsidRDefault="002B1465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>EN 302 217-2</w:t>
            </w:r>
          </w:p>
          <w:p w14:paraId="64A04E76" w14:textId="77777777" w:rsidR="00DC7FAB" w:rsidRPr="00874914" w:rsidRDefault="00DC7FAB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  <w:p w14:paraId="5D27D479" w14:textId="431E225B" w:rsidR="00FD2DA7" w:rsidRPr="00874914" w:rsidRDefault="002B1465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 xml:space="preserve">EN 302 217-4 </w:t>
            </w:r>
          </w:p>
        </w:tc>
      </w:tr>
      <w:tr w:rsidR="00FD2DA7" w:rsidRPr="00874914" w14:paraId="5D27D481" w14:textId="77777777" w:rsidTr="00733135">
        <w:trPr>
          <w:cantSplit/>
          <w:trHeight w:val="454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14:paraId="5D27D47B" w14:textId="77777777" w:rsidR="00FD2DA7" w:rsidRPr="00874914" w:rsidRDefault="00FD2DA7" w:rsidP="00733135">
            <w:pPr>
              <w:ind w:left="113" w:right="113"/>
              <w:jc w:val="center"/>
              <w:rPr>
                <w:color w:val="000000" w:themeColor="text1"/>
              </w:rPr>
            </w:pPr>
            <w:r w:rsidRPr="00874914">
              <w:rPr>
                <w:color w:val="000000" w:themeColor="text1"/>
              </w:rPr>
              <w:t>Tájékoztató rész</w:t>
            </w: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</w:tcPr>
          <w:p w14:paraId="5D27D47C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</w:tcPr>
          <w:p w14:paraId="5D27D47D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Tervezett módosítások</w:t>
            </w:r>
          </w:p>
          <w:p w14:paraId="5D27D47E" w14:textId="57691D4A" w:rsidR="00FD2DA7" w:rsidRPr="00874914" w:rsidRDefault="00D16C0D" w:rsidP="00D16C0D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(Planned changes)</w:t>
            </w:r>
          </w:p>
        </w:tc>
        <w:tc>
          <w:tcPr>
            <w:tcW w:w="3799" w:type="dxa"/>
            <w:tcBorders>
              <w:top w:val="single" w:sz="8" w:space="0" w:color="auto"/>
            </w:tcBorders>
            <w:shd w:val="clear" w:color="auto" w:fill="auto"/>
          </w:tcPr>
          <w:p w14:paraId="5D27D47F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</w:tcPr>
          <w:p w14:paraId="5D27D480" w14:textId="77777777" w:rsidR="00FD2DA7" w:rsidRPr="00874914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874914" w14:paraId="5D27D488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82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83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5D27D484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Hivatkozások</w:t>
            </w:r>
          </w:p>
          <w:p w14:paraId="5D27D485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(References)</w:t>
            </w:r>
          </w:p>
        </w:tc>
        <w:tc>
          <w:tcPr>
            <w:tcW w:w="3799" w:type="dxa"/>
            <w:shd w:val="clear" w:color="auto" w:fill="auto"/>
          </w:tcPr>
          <w:p w14:paraId="0ADB1DB0" w14:textId="77777777" w:rsidR="00FD2DA7" w:rsidRPr="00874914" w:rsidRDefault="00E87A8D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 xml:space="preserve">CEPT ERC/14-01; </w:t>
            </w:r>
            <w:r w:rsidRPr="00874914">
              <w:rPr>
                <w:color w:val="000000" w:themeColor="text1"/>
                <w:sz w:val="20"/>
              </w:rPr>
              <w:br/>
              <w:t>CEPT ERC/REC 74-01; ITU-R F.383-10</w:t>
            </w:r>
          </w:p>
          <w:p w14:paraId="5D27D486" w14:textId="48AE2C1A" w:rsidR="002923BE" w:rsidRPr="00874914" w:rsidRDefault="002923BE" w:rsidP="002923B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874914">
              <w:rPr>
                <w:color w:val="000000" w:themeColor="text1"/>
                <w:sz w:val="20"/>
              </w:rPr>
              <w:t xml:space="preserve">EN 302 217-1; EN 302 217-2; </w:t>
            </w:r>
            <w:r w:rsidRPr="00874914">
              <w:rPr>
                <w:color w:val="000000" w:themeColor="text1"/>
                <w:sz w:val="20"/>
              </w:rPr>
              <w:br/>
              <w:t xml:space="preserve">EN 302 217-4 </w:t>
            </w:r>
          </w:p>
        </w:tc>
        <w:tc>
          <w:tcPr>
            <w:tcW w:w="2268" w:type="dxa"/>
            <w:shd w:val="clear" w:color="auto" w:fill="auto"/>
          </w:tcPr>
          <w:p w14:paraId="5D27D487" w14:textId="06522F1F" w:rsidR="00FD2DA7" w:rsidRPr="00874914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874914" w14:paraId="5D27D48F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89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8A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5D27D48B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Értesítési szám</w:t>
            </w:r>
          </w:p>
          <w:p w14:paraId="5D27D48C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(Notification number)</w:t>
            </w:r>
          </w:p>
        </w:tc>
        <w:tc>
          <w:tcPr>
            <w:tcW w:w="3799" w:type="dxa"/>
            <w:shd w:val="clear" w:color="auto" w:fill="auto"/>
          </w:tcPr>
          <w:p w14:paraId="5D27D48D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D27D48E" w14:textId="77777777" w:rsidR="00FD2DA7" w:rsidRPr="00874914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874914" w14:paraId="5D27D496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90" w14:textId="77777777" w:rsidR="00FD2DA7" w:rsidRPr="00874914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91" w14:textId="77777777" w:rsidR="00FD2DA7" w:rsidRPr="00874914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5D27D492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color w:val="000000" w:themeColor="text1"/>
                <w:sz w:val="18"/>
              </w:rPr>
              <w:t>Megjegyzések</w:t>
            </w:r>
          </w:p>
          <w:p w14:paraId="5D27D493" w14:textId="77777777" w:rsidR="00FD2DA7" w:rsidRPr="00874914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874914">
              <w:rPr>
                <w:rFonts w:ascii="Tahoma" w:hAnsi="Tahoma"/>
                <w:i/>
                <w:color w:val="000000" w:themeColor="text1"/>
                <w:sz w:val="14"/>
              </w:rPr>
              <w:t>(Remarks)</w:t>
            </w:r>
          </w:p>
        </w:tc>
        <w:tc>
          <w:tcPr>
            <w:tcW w:w="3799" w:type="dxa"/>
            <w:shd w:val="clear" w:color="auto" w:fill="auto"/>
          </w:tcPr>
          <w:p w14:paraId="5D27D494" w14:textId="77777777" w:rsidR="00FD2DA7" w:rsidRPr="00874914" w:rsidRDefault="00FD2DA7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D27D495" w14:textId="77777777" w:rsidR="00FD2DA7" w:rsidRPr="00874914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</w:tbl>
    <w:p w14:paraId="5D27D4A8" w14:textId="2682C789" w:rsidR="00260C39" w:rsidRDefault="00260C39">
      <w:pPr>
        <w:pStyle w:val="Header"/>
        <w:tabs>
          <w:tab w:val="clear" w:pos="4536"/>
          <w:tab w:val="clear" w:pos="9072"/>
        </w:tabs>
        <w:rPr>
          <w:rFonts w:cs="Arial"/>
        </w:rPr>
      </w:pPr>
    </w:p>
    <w:sectPr w:rsidR="00260C39" w:rsidSect="0053074E">
      <w:pgSz w:w="11906" w:h="16838" w:code="9"/>
      <w:pgMar w:top="1134" w:right="1134" w:bottom="1134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F758" w14:textId="77777777" w:rsidR="0070642D" w:rsidRDefault="0070642D">
      <w:r>
        <w:separator/>
      </w:r>
    </w:p>
  </w:endnote>
  <w:endnote w:type="continuationSeparator" w:id="0">
    <w:p w14:paraId="272CB5EC" w14:textId="77777777" w:rsidR="0070642D" w:rsidRDefault="0070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D4B4" w14:textId="526F781A" w:rsidR="009C3D7A" w:rsidRPr="00823F89" w:rsidRDefault="009C3D7A" w:rsidP="00300659">
    <w:pPr>
      <w:pStyle w:val="Footer"/>
      <w:ind w:right="-1"/>
      <w:rPr>
        <w:rFonts w:ascii="Verdana" w:hAnsi="Verdana"/>
        <w:b w:val="0"/>
        <w:color w:val="000000" w:themeColor="text1"/>
        <w:sz w:val="14"/>
        <w:szCs w:val="14"/>
      </w:rPr>
    </w:pPr>
    <w:r>
      <w:rPr>
        <w:rFonts w:ascii="Verdana" w:hAnsi="Verdana"/>
        <w:b w:val="0"/>
        <w:vanish w:val="0"/>
        <w:sz w:val="14"/>
      </w:rPr>
      <w:tab/>
    </w:r>
    <w:r>
      <w:rPr>
        <w:rFonts w:ascii="Verdana" w:hAnsi="Verdana"/>
        <w:b w:val="0"/>
        <w:vanish w:val="0"/>
        <w:color w:val="000000" w:themeColor="text1"/>
        <w:sz w:val="14"/>
      </w:rPr>
      <w:t xml:space="preserve">Feldolgozási </w:t>
    </w:r>
    <w:r>
      <w:rPr>
        <w:rFonts w:ascii="Verdana" w:hAnsi="Verdana"/>
        <w:b w:val="0"/>
        <w:vanish w:val="0"/>
        <w:color w:val="000000" w:themeColor="text1"/>
        <w:sz w:val="14"/>
      </w:rPr>
      <w:t>állapot: 2 2022. február</w:t>
    </w:r>
    <w:r>
      <w:rPr>
        <w:rFonts w:ascii="Verdana" w:hAnsi="Verdana"/>
        <w:b w:val="0"/>
        <w:vanish w:val="0"/>
        <w:color w:val="000000" w:themeColor="text1"/>
        <w:sz w:val="14"/>
      </w:rPr>
      <w:tab/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begin"/>
    </w:r>
    <w:r w:rsidRPr="00823F89">
      <w:rPr>
        <w:rFonts w:ascii="Verdana" w:hAnsi="Verdana"/>
        <w:b w:val="0"/>
        <w:vanish w:val="0"/>
        <w:color w:val="000000" w:themeColor="text1"/>
        <w:sz w:val="14"/>
      </w:rPr>
      <w:instrText xml:space="preserve"> PAGE  \* MERGEFORMAT </w:instrTex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separate"/>
    </w:r>
    <w:r w:rsidR="008D5EA0">
      <w:rPr>
        <w:rFonts w:ascii="Verdana" w:hAnsi="Verdana"/>
        <w:b w:val="0"/>
        <w:vanish w:val="0"/>
        <w:color w:val="000000" w:themeColor="text1"/>
        <w:sz w:val="14"/>
      </w:rPr>
      <w:t>3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end"/>
    </w:r>
    <w:r>
      <w:rPr>
        <w:rFonts w:ascii="Verdana" w:hAnsi="Verdana"/>
        <w:b w:val="0"/>
        <w:vanish w:val="0"/>
        <w:color w:val="000000" w:themeColor="text1"/>
        <w:sz w:val="14"/>
      </w:rPr>
      <w:t xml:space="preserve"> / 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begin"/>
    </w:r>
    <w:r w:rsidRPr="00823F89">
      <w:rPr>
        <w:rFonts w:ascii="Verdana" w:hAnsi="Verdana"/>
        <w:b w:val="0"/>
        <w:vanish w:val="0"/>
        <w:color w:val="000000" w:themeColor="text1"/>
        <w:sz w:val="14"/>
      </w:rPr>
      <w:instrText xml:space="preserve"> NUMPAGES  \* MERGEFORMAT </w:instrTex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separate"/>
    </w:r>
    <w:r w:rsidR="008D5EA0">
      <w:rPr>
        <w:rFonts w:ascii="Verdana" w:hAnsi="Verdana"/>
        <w:b w:val="0"/>
        <w:vanish w:val="0"/>
        <w:color w:val="000000" w:themeColor="text1"/>
        <w:sz w:val="14"/>
      </w:rPr>
      <w:t>5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D4B9" w14:textId="77777777" w:rsidR="009C3D7A" w:rsidRPr="00206B7E" w:rsidRDefault="009C3D7A">
    <w:pPr>
      <w:pStyle w:val="Footer"/>
      <w:rPr>
        <w:rFonts w:ascii="Verdana" w:hAnsi="Verdana"/>
        <w:b w:val="0"/>
        <w:bCs w:val="0"/>
        <w:sz w:val="14"/>
        <w:szCs w:val="14"/>
      </w:rPr>
    </w:pPr>
  </w:p>
  <w:p w14:paraId="5D27D4BA" w14:textId="77777777" w:rsidR="009C3D7A" w:rsidRPr="00CB55BF" w:rsidRDefault="009C3D7A" w:rsidP="001778D0">
    <w:pPr>
      <w:pStyle w:val="NotifizierungNr"/>
      <w:rPr>
        <w:rFonts w:ascii="Verdana" w:hAnsi="Verdana" w:cs="Tahoma"/>
        <w:color w:val="FFFFFF"/>
        <w:sz w:val="22"/>
        <w:szCs w:val="22"/>
      </w:rPr>
    </w:pPr>
    <w:r w:rsidRPr="00DF77E6">
      <w:rPr>
        <w:rFonts w:ascii="Verdana" w:hAnsi="Verdana" w:cs="Tahoma"/>
        <w:color w:val="FFFFFF"/>
        <w:sz w:val="22"/>
        <w:szCs w:val="22"/>
        <w:lang w:val="de-DE"/>
      </w:rPr>
      <w:t xml:space="preserve">Die Notifizierung ist bei der Kommission unter der Nr.  </w:t>
    </w:r>
    <w:r w:rsidRPr="00CB55BF">
      <w:rPr>
        <w:rFonts w:ascii="Verdana" w:hAnsi="Verdana" w:cs="Tahoma"/>
        <w:color w:val="FFFFFF"/>
        <w:sz w:val="22"/>
        <w:szCs w:val="22"/>
      </w:rPr>
      <w:t>xxxx/xxxx/D  registriert.</w:t>
    </w:r>
  </w:p>
  <w:p w14:paraId="5D27D4BB" w14:textId="77777777" w:rsidR="009C3D7A" w:rsidRPr="00206B7E" w:rsidRDefault="009C3D7A">
    <w:pPr>
      <w:pStyle w:val="Footer"/>
      <w:rPr>
        <w:rFonts w:ascii="Verdana" w:hAnsi="Verdana"/>
        <w:b w:val="0"/>
        <w:bCs w:val="0"/>
        <w:vanish w:val="0"/>
        <w:sz w:val="14"/>
        <w:szCs w:val="14"/>
      </w:rPr>
    </w:pPr>
  </w:p>
  <w:tbl>
    <w:tblPr>
      <w:tblW w:w="963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7" w:type="dxa"/>
        <w:left w:w="142" w:type="dxa"/>
        <w:bottom w:w="57" w:type="dxa"/>
        <w:right w:w="142" w:type="dxa"/>
      </w:tblCellMar>
      <w:tblLook w:val="0000" w:firstRow="0" w:lastRow="0" w:firstColumn="0" w:lastColumn="0" w:noHBand="0" w:noVBand="0"/>
    </w:tblPr>
    <w:tblGrid>
      <w:gridCol w:w="9639"/>
    </w:tblGrid>
    <w:tr w:rsidR="009C3D7A" w14:paraId="5D27D4BD" w14:textId="77777777" w:rsidTr="005D0E3B">
      <w:trPr>
        <w:cantSplit/>
        <w:jc w:val="center"/>
      </w:trPr>
      <w:tc>
        <w:tcPr>
          <w:tcW w:w="8505" w:type="dxa"/>
          <w:vAlign w:val="center"/>
        </w:tcPr>
        <w:p w14:paraId="5D27D4BC" w14:textId="05C148C8" w:rsidR="009C3D7A" w:rsidRPr="00823F89" w:rsidRDefault="005D0E3B" w:rsidP="005D0E3B">
          <w:pPr>
            <w:pStyle w:val="Fuzeile2"/>
            <w:rPr>
              <w:rFonts w:ascii="Verdana" w:hAnsi="Verdana"/>
              <w:color w:val="000000" w:themeColor="text1"/>
              <w:sz w:val="14"/>
              <w:szCs w:val="14"/>
            </w:rPr>
          </w:pPr>
          <w:r>
            <w:rPr>
              <w:rFonts w:ascii="Verdana" w:hAnsi="Verdana"/>
              <w:color w:val="000000" w:themeColor="text1"/>
              <w:sz w:val="14"/>
            </w:rPr>
            <w:t>Ez a dokumentum a műszaki szabályokkal és az információs társadalom szolgáltatásaira vonatkozó szabályokkal kapcsolatos információ-szolgáltatási eljárás megállapításáról szóló, 2015. szeptember 9-i (EU), 2015/1535 számú európai parlamenti és tanácsi irányelvben (HL L 241., 2015.9.17., 1. o.) foglaltak szerint bejelentés tárgyát képezte.</w:t>
          </w:r>
        </w:p>
      </w:tc>
    </w:tr>
  </w:tbl>
  <w:p w14:paraId="5D27D4BE" w14:textId="77777777" w:rsidR="009C3D7A" w:rsidRPr="00206B7E" w:rsidRDefault="009C3D7A">
    <w:pPr>
      <w:pStyle w:val="Footer"/>
      <w:rPr>
        <w:rFonts w:ascii="Verdana" w:hAnsi="Verdana"/>
        <w:b w:val="0"/>
        <w:bCs w:val="0"/>
        <w:vanish w:val="0"/>
        <w:sz w:val="14"/>
        <w:szCs w:val="14"/>
      </w:rPr>
    </w:pPr>
  </w:p>
  <w:p w14:paraId="5D27D4BF" w14:textId="77777777" w:rsidR="009C3D7A" w:rsidRPr="00206B7E" w:rsidRDefault="009C3D7A">
    <w:pPr>
      <w:pStyle w:val="Footer"/>
      <w:rPr>
        <w:rFonts w:ascii="Verdana" w:hAnsi="Verdana"/>
        <w:b w:val="0"/>
        <w:bCs w:val="0"/>
        <w:vanish w:val="0"/>
        <w:sz w:val="14"/>
        <w:szCs w:val="14"/>
      </w:rPr>
    </w:pPr>
  </w:p>
  <w:p w14:paraId="5D27D4C0" w14:textId="77777777" w:rsidR="009C3D7A" w:rsidRPr="00206B7E" w:rsidRDefault="009C3D7A">
    <w:pPr>
      <w:pStyle w:val="Footer"/>
      <w:rPr>
        <w:rFonts w:ascii="Verdana" w:hAnsi="Verdana"/>
        <w:b w:val="0"/>
        <w:bCs w:val="0"/>
        <w:vanish w:val="0"/>
        <w:sz w:val="14"/>
        <w:szCs w:val="14"/>
      </w:rPr>
    </w:pPr>
  </w:p>
  <w:p w14:paraId="5D27D4C1" w14:textId="602DCDA7" w:rsidR="009C3D7A" w:rsidRPr="00823F89" w:rsidRDefault="009C3D7A" w:rsidP="00300659">
    <w:pPr>
      <w:pStyle w:val="Footer"/>
      <w:ind w:right="-1"/>
      <w:rPr>
        <w:rFonts w:ascii="Verdana" w:hAnsi="Verdana"/>
        <w:b w:val="0"/>
        <w:color w:val="000000" w:themeColor="text1"/>
        <w:sz w:val="14"/>
        <w:szCs w:val="14"/>
      </w:rPr>
    </w:pPr>
    <w:r>
      <w:rPr>
        <w:rFonts w:ascii="Verdana" w:hAnsi="Verdana"/>
        <w:b w:val="0"/>
        <w:vanish w:val="0"/>
        <w:sz w:val="14"/>
      </w:rPr>
      <w:tab/>
    </w:r>
    <w:r>
      <w:rPr>
        <w:rFonts w:ascii="Verdana" w:hAnsi="Verdana"/>
        <w:b w:val="0"/>
        <w:vanish w:val="0"/>
        <w:color w:val="000000" w:themeColor="text1"/>
        <w:sz w:val="14"/>
      </w:rPr>
      <w:t>Feldolgozási állapot: 2 2022. február</w:t>
    </w:r>
    <w:r>
      <w:rPr>
        <w:rFonts w:ascii="Verdana" w:hAnsi="Verdana"/>
        <w:b w:val="0"/>
        <w:vanish w:val="0"/>
        <w:color w:val="000000" w:themeColor="text1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D4C9" w14:textId="55CA963E" w:rsidR="009C3D7A" w:rsidRPr="00823F89" w:rsidRDefault="009C3D7A" w:rsidP="00300659">
    <w:pPr>
      <w:pStyle w:val="Footer"/>
      <w:ind w:right="-1"/>
      <w:rPr>
        <w:rFonts w:ascii="Verdana" w:hAnsi="Verdana"/>
        <w:b w:val="0"/>
        <w:color w:val="000000" w:themeColor="text1"/>
        <w:sz w:val="14"/>
        <w:szCs w:val="14"/>
      </w:rPr>
    </w:pPr>
    <w:r>
      <w:rPr>
        <w:rFonts w:ascii="Verdana" w:hAnsi="Verdana"/>
        <w:b w:val="0"/>
        <w:vanish w:val="0"/>
        <w:sz w:val="14"/>
      </w:rPr>
      <w:tab/>
    </w:r>
    <w:r>
      <w:rPr>
        <w:rFonts w:ascii="Verdana" w:hAnsi="Verdana"/>
        <w:b w:val="0"/>
        <w:vanish w:val="0"/>
        <w:color w:val="000000" w:themeColor="text1"/>
        <w:sz w:val="14"/>
      </w:rPr>
      <w:t xml:space="preserve">Feldolgozási </w:t>
    </w:r>
    <w:r>
      <w:rPr>
        <w:rFonts w:ascii="Verdana" w:hAnsi="Verdana"/>
        <w:b w:val="0"/>
        <w:vanish w:val="0"/>
        <w:color w:val="000000" w:themeColor="text1"/>
        <w:sz w:val="14"/>
      </w:rPr>
      <w:t>állapot: 2 2022. február</w:t>
    </w:r>
    <w:r>
      <w:rPr>
        <w:rFonts w:ascii="Verdana" w:hAnsi="Verdana"/>
        <w:b w:val="0"/>
        <w:vanish w:val="0"/>
        <w:color w:val="000000" w:themeColor="text1"/>
        <w:sz w:val="14"/>
      </w:rPr>
      <w:tab/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begin"/>
    </w:r>
    <w:r w:rsidRPr="00823F89">
      <w:rPr>
        <w:rFonts w:ascii="Verdana" w:hAnsi="Verdana"/>
        <w:b w:val="0"/>
        <w:vanish w:val="0"/>
        <w:color w:val="000000" w:themeColor="text1"/>
        <w:sz w:val="14"/>
      </w:rPr>
      <w:instrText xml:space="preserve"> PAGE  \* MERGEFORMAT </w:instrTex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separate"/>
    </w:r>
    <w:r w:rsidR="008D5EA0">
      <w:rPr>
        <w:rFonts w:ascii="Verdana" w:hAnsi="Verdana"/>
        <w:b w:val="0"/>
        <w:vanish w:val="0"/>
        <w:color w:val="000000" w:themeColor="text1"/>
        <w:sz w:val="14"/>
      </w:rPr>
      <w:t>2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end"/>
    </w:r>
    <w:r>
      <w:rPr>
        <w:rFonts w:ascii="Verdana" w:hAnsi="Verdana"/>
        <w:b w:val="0"/>
        <w:vanish w:val="0"/>
        <w:color w:val="000000" w:themeColor="text1"/>
        <w:sz w:val="14"/>
      </w:rPr>
      <w:t xml:space="preserve"> / 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begin"/>
    </w:r>
    <w:r w:rsidRPr="00823F89">
      <w:rPr>
        <w:rFonts w:ascii="Verdana" w:hAnsi="Verdana"/>
        <w:b w:val="0"/>
        <w:vanish w:val="0"/>
        <w:color w:val="000000" w:themeColor="text1"/>
        <w:sz w:val="14"/>
      </w:rPr>
      <w:instrText xml:space="preserve"> NUMPAGES  \* MERGEFORMAT </w:instrTex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separate"/>
    </w:r>
    <w:r w:rsidR="008D5EA0">
      <w:rPr>
        <w:rFonts w:ascii="Verdana" w:hAnsi="Verdana"/>
        <w:b w:val="0"/>
        <w:vanish w:val="0"/>
        <w:color w:val="000000" w:themeColor="text1"/>
        <w:sz w:val="14"/>
      </w:rPr>
      <w:t>5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AEA5" w14:textId="77777777" w:rsidR="0070642D" w:rsidRDefault="0070642D">
      <w:r>
        <w:separator/>
      </w:r>
    </w:p>
  </w:footnote>
  <w:footnote w:type="continuationSeparator" w:id="0">
    <w:p w14:paraId="45321E21" w14:textId="77777777" w:rsidR="0070642D" w:rsidRDefault="0070642D">
      <w:r>
        <w:continuationSeparator/>
      </w:r>
    </w:p>
  </w:footnote>
  <w:footnote w:id="1">
    <w:p w14:paraId="5D27D4CF" w14:textId="77777777" w:rsidR="009C3D7A" w:rsidRDefault="009C3D7A" w:rsidP="004A212D">
      <w:pPr>
        <w:pStyle w:val="FootnoteText"/>
      </w:pPr>
      <w:r>
        <w:rPr>
          <w:rStyle w:val="FootnoteReference"/>
          <w:szCs w:val="18"/>
        </w:rPr>
        <w:footnoteRef/>
      </w:r>
      <w:r>
        <w:tab/>
      </w:r>
      <w:r>
        <w:rPr>
          <w:color w:val="000000"/>
        </w:rPr>
        <w:t>A Rádiószabályzat arab, kínai, angol, francia, orosz és spanyol nyelven érhető el. Minden vitás kérdésben vagy kétség esetén a francia szöveg az irányadó.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Layout w:type="fixed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397"/>
      <w:gridCol w:w="1701"/>
      <w:gridCol w:w="5160"/>
      <w:gridCol w:w="1247"/>
      <w:gridCol w:w="1134"/>
    </w:tblGrid>
    <w:tr w:rsidR="009C3D7A" w:rsidRPr="00733135" w14:paraId="5D27D4B2" w14:textId="77777777" w:rsidTr="00733135">
      <w:trPr>
        <w:cantSplit/>
        <w:trHeight w:val="113"/>
      </w:trPr>
      <w:tc>
        <w:tcPr>
          <w:tcW w:w="397" w:type="dxa"/>
          <w:shd w:val="clear" w:color="auto" w:fill="auto"/>
          <w:vAlign w:val="center"/>
        </w:tcPr>
        <w:p w14:paraId="5D27D4AD" w14:textId="77777777" w:rsidR="009C3D7A" w:rsidRPr="00823F89" w:rsidRDefault="009C3D7A" w:rsidP="00733135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DE</w:t>
          </w:r>
        </w:p>
      </w:tc>
      <w:tc>
        <w:tcPr>
          <w:tcW w:w="1701" w:type="dxa"/>
          <w:shd w:val="clear" w:color="auto" w:fill="auto"/>
          <w:vAlign w:val="center"/>
        </w:tcPr>
        <w:p w14:paraId="5D27D4AE" w14:textId="77777777" w:rsidR="009C3D7A" w:rsidRPr="00823F89" w:rsidRDefault="009C3D7A" w:rsidP="00733135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Interfész-előírás</w:t>
          </w:r>
        </w:p>
      </w:tc>
      <w:tc>
        <w:tcPr>
          <w:tcW w:w="5160" w:type="dxa"/>
          <w:shd w:val="clear" w:color="auto" w:fill="auto"/>
          <w:vAlign w:val="center"/>
        </w:tcPr>
        <w:p w14:paraId="5D27D4AF" w14:textId="6558BD2D" w:rsidR="009C3D7A" w:rsidRPr="00823F89" w:rsidRDefault="008A4D11" w:rsidP="000F4A2F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Rádiós átjátszóberendezések a 6,2 GHz-es tartományban (P-P)</w:t>
          </w:r>
        </w:p>
      </w:tc>
      <w:tc>
        <w:tcPr>
          <w:tcW w:w="1247" w:type="dxa"/>
          <w:shd w:val="clear" w:color="auto" w:fill="auto"/>
          <w:vAlign w:val="center"/>
        </w:tcPr>
        <w:p w14:paraId="5D27D4B0" w14:textId="10FE496A" w:rsidR="009C3D7A" w:rsidRPr="00823F89" w:rsidRDefault="009C3D7A" w:rsidP="003F6241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SSB FE-OE 058</w:t>
          </w:r>
        </w:p>
      </w:tc>
      <w:tc>
        <w:tcPr>
          <w:tcW w:w="1134" w:type="dxa"/>
          <w:shd w:val="clear" w:color="auto" w:fill="auto"/>
          <w:vAlign w:val="center"/>
        </w:tcPr>
        <w:p w14:paraId="5D27D4B1" w14:textId="704F1E79" w:rsidR="009C3D7A" w:rsidRPr="00823F89" w:rsidRDefault="00300659" w:rsidP="00300659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2022. február</w:t>
          </w:r>
        </w:p>
      </w:tc>
    </w:tr>
  </w:tbl>
  <w:p w14:paraId="5D27D4B3" w14:textId="7BB166FB" w:rsidR="009C3D7A" w:rsidRPr="0013052E" w:rsidRDefault="000F4A2F" w:rsidP="00445475">
    <w:pPr>
      <w:pStyle w:val="Header"/>
      <w:rPr>
        <w:sz w:val="12"/>
        <w:szCs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D27D4CA" wp14:editId="1399507C">
              <wp:simplePos x="0" y="0"/>
              <wp:positionH relativeFrom="margin">
                <wp:posOffset>360045</wp:posOffset>
              </wp:positionH>
              <wp:positionV relativeFrom="margin">
                <wp:posOffset>3780790</wp:posOffset>
              </wp:positionV>
              <wp:extent cx="6047740" cy="1473200"/>
              <wp:effectExtent l="1390015" t="0" r="1270635" b="0"/>
              <wp:wrapNone/>
              <wp:docPr id="4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3626559">
                        <a:off x="0" y="0"/>
                        <a:ext cx="6047740" cy="1473200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25000"/>
                              </a:srgb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8DD1238" w14:textId="77777777" w:rsidR="000F4A2F" w:rsidRDefault="000F4A2F" w:rsidP="000F4A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/>
                              <w:outline/>
                              <w:color w:val="808080"/>
                              <w:sz w:val="72"/>
                              <w14:textOutline w14:w="2540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7D4CA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left:0;text-align:left;margin-left:28.35pt;margin-top:297.7pt;width:476.2pt;height:116pt;rotation:-3961170fd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" filled="f" fillcolor="silver" stroked="f">
              <v:fill opacity="16448f"/>
              <o:lock v:ext="edit" shapetype="t"/>
              <v:textbox style="mso-fit-shape-to-text:t">
                <w:txbxContent>
                  <w:p w14:paraId="68DD1238" w14:textId="77777777" w:rsidR="000F4A2F" w:rsidRDefault="000F4A2F" w:rsidP="000F4A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/>
                        <w:outline/>
                        <w:color w:val="808080"/>
                        <w:sz w:val="72"/>
                        <w14:textOutline w14:w="2540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top w:w="28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9C3D7A" w14:paraId="5D27D4B7" w14:textId="77777777">
      <w:trPr>
        <w:cantSplit/>
        <w:trHeight w:val="1843"/>
        <w:jc w:val="center"/>
      </w:trPr>
      <w:tc>
        <w:tcPr>
          <w:tcW w:w="3969" w:type="dxa"/>
        </w:tcPr>
        <w:p w14:paraId="5D27D4B5" w14:textId="52EEFDF6" w:rsidR="009C3D7A" w:rsidRDefault="009F6793" w:rsidP="00BB5F61">
          <w:pPr>
            <w:pStyle w:val="Header"/>
            <w:spacing w:before="20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C6ACCAF" wp14:editId="00F7A6EB">
                    <wp:simplePos x="0" y="0"/>
                    <wp:positionH relativeFrom="column">
                      <wp:posOffset>720187</wp:posOffset>
                    </wp:positionH>
                    <wp:positionV relativeFrom="paragraph">
                      <wp:posOffset>10746</wp:posOffset>
                    </wp:positionV>
                    <wp:extent cx="1740877" cy="762000"/>
                    <wp:effectExtent l="0" t="0" r="0" b="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40877" cy="762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B9AFC9" w14:textId="571CBADB" w:rsidR="009F6793" w:rsidRPr="009F6793" w:rsidRDefault="009F679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Német </w:t>
                                </w:r>
                                <w:r>
                                  <w:rPr>
                                    <w:b/>
                                  </w:rPr>
                                  <w:t>Szövetségi</w:t>
                                </w:r>
                                <w:r>
                                  <w:rPr>
                                    <w:b/>
                                  </w:rPr>
                                  <w:br/>
                                  <w:t>Hálózati Ügynökség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C6ACCA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style="position:absolute;margin-left:56.7pt;margin-top:.85pt;width:137.1pt;height:6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" fillcolor="white [3201]" stroked="f" strokeweight=".5pt">
                    <v:textbox>
                      <w:txbxContent>
                        <w:p w14:paraId="40B9AFC9" w14:textId="571CBADB" w:rsidR="009F6793" w:rsidRPr="009F6793" w:rsidRDefault="009F679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t xml:space="preserve">Német </w:t>
                          </w:r>
                          <w:r>
                            <w:rPr>
                              <w:b/>
                            </w:rPr>
                            <w:t>Szövetségi</w:t>
                          </w:r>
                          <w:r>
                            <w:rPr>
                              <w:b/>
                            </w:rPr>
                            <w:br/>
                            <w:t>Hálózati Ügynökség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 xml:space="preserve">  </w:t>
          </w:r>
          <w:r>
            <w:rPr>
              <w:noProof/>
            </w:rPr>
            <w:drawing>
              <wp:inline distT="0" distB="0" distL="0" distR="0" wp14:anchorId="5D27D4CB" wp14:editId="2E99924E">
                <wp:extent cx="2246630" cy="1125855"/>
                <wp:effectExtent l="0" t="0" r="1270" b="0"/>
                <wp:docPr id="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663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6704" behindDoc="1" locked="1" layoutInCell="1" allowOverlap="1" wp14:anchorId="5D27D4CD" wp14:editId="091A6066">
                    <wp:simplePos x="0" y="0"/>
                    <wp:positionH relativeFrom="margin">
                      <wp:posOffset>360045</wp:posOffset>
                    </wp:positionH>
                    <wp:positionV relativeFrom="margin">
                      <wp:posOffset>3780790</wp:posOffset>
                    </wp:positionV>
                    <wp:extent cx="6047740" cy="1473200"/>
                    <wp:effectExtent l="1390015" t="0" r="1270635" b="0"/>
                    <wp:wrapNone/>
                    <wp:docPr id="3" name="WordAr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-3626559">
                              <a:off x="0" y="0"/>
                              <a:ext cx="6047740" cy="1473200"/>
                            </a:xfrm>
                            <a:prstGeom prst="rect">
                              <a:avLst/>
                            </a:prstGeom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>
                                      <a:alpha val="25000"/>
                                    </a:srgbClr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852AB6D" w14:textId="77777777" w:rsidR="000F4A2F" w:rsidRDefault="000F4A2F" w:rsidP="000F4A2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/>
                                    <w:outline/>
                                    <w:color w:val="808080"/>
                                    <w:sz w:val="72"/>
                                    <w14:textOutline w14:w="2540" w14:cap="flat" w14:cmpd="sng" w14:algn="ctr">
                                      <w14:solidFill>
                                        <w14:srgbClr w14:val="80808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Tervezet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27D4CD" id="WordArt 1" o:spid="_x0000_s1028" type="#_x0000_t202" style="position:absolute;margin-left:28.35pt;margin-top:297.7pt;width:476.2pt;height:116pt;rotation:-3961170fd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" filled="f" fillcolor="silver" stroked="f">
                    <v:fill opacity="16448f"/>
                    <o:lock v:ext="edit" shapetype="t"/>
                    <v:textbox style="mso-fit-shape-to-text:t">
                      <w:txbxContent>
                        <w:p w14:paraId="5852AB6D" w14:textId="77777777" w:rsidR="000F4A2F" w:rsidRDefault="000F4A2F" w:rsidP="000F4A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/>
                              <w:outline/>
                              <w:color w:val="808080"/>
                              <w:sz w:val="72"/>
                              <w14:textOutline w14:w="2540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Tervezet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  <w:tc>
        <w:tcPr>
          <w:tcW w:w="5670" w:type="dxa"/>
        </w:tcPr>
        <w:p w14:paraId="5D27D4B6" w14:textId="77777777" w:rsidR="009C3D7A" w:rsidRPr="00823F89" w:rsidRDefault="009C3D7A" w:rsidP="00386B9F">
          <w:pPr>
            <w:pStyle w:val="Header"/>
            <w:suppressAutoHyphens/>
            <w:spacing w:before="500"/>
            <w:jc w:val="center"/>
            <w:rPr>
              <w:rFonts w:ascii="Verdana" w:hAnsi="Verdana" w:cs="Arial"/>
              <w:color w:val="000000" w:themeColor="text1"/>
              <w:w w:val="110"/>
              <w:kern w:val="24"/>
              <w:szCs w:val="22"/>
            </w:rPr>
          </w:pPr>
          <w:r>
            <w:rPr>
              <w:rFonts w:ascii="Verdana" w:hAnsi="Verdana"/>
              <w:color w:val="000000" w:themeColor="text1"/>
            </w:rPr>
            <w:t>Német Szövetségi Villamosenergia-ágazati, Gázipari, Távközlési, Postai és Vasúti Hálózati Ügynökség</w:t>
          </w:r>
        </w:p>
      </w:tc>
    </w:tr>
  </w:tbl>
  <w:p w14:paraId="5D27D4B8" w14:textId="0EC5BCF7" w:rsidR="009C3D7A" w:rsidRDefault="009C3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Layout w:type="fixed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397"/>
      <w:gridCol w:w="1701"/>
      <w:gridCol w:w="5160"/>
      <w:gridCol w:w="1247"/>
      <w:gridCol w:w="1134"/>
    </w:tblGrid>
    <w:tr w:rsidR="009C3D7A" w:rsidRPr="00733135" w14:paraId="5D27D4C7" w14:textId="77777777" w:rsidTr="00733135">
      <w:trPr>
        <w:cantSplit/>
        <w:trHeight w:val="113"/>
      </w:trPr>
      <w:tc>
        <w:tcPr>
          <w:tcW w:w="397" w:type="dxa"/>
          <w:shd w:val="clear" w:color="auto" w:fill="auto"/>
          <w:vAlign w:val="center"/>
        </w:tcPr>
        <w:p w14:paraId="5D27D4C2" w14:textId="77777777" w:rsidR="009C3D7A" w:rsidRPr="00823F89" w:rsidRDefault="009C3D7A" w:rsidP="00733135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DE</w:t>
          </w:r>
        </w:p>
      </w:tc>
      <w:tc>
        <w:tcPr>
          <w:tcW w:w="1701" w:type="dxa"/>
          <w:shd w:val="clear" w:color="auto" w:fill="auto"/>
          <w:vAlign w:val="center"/>
        </w:tcPr>
        <w:p w14:paraId="5D27D4C3" w14:textId="77777777" w:rsidR="009C3D7A" w:rsidRPr="00823F89" w:rsidRDefault="009C3D7A" w:rsidP="00733135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Interfész-előírás</w:t>
          </w:r>
        </w:p>
      </w:tc>
      <w:tc>
        <w:tcPr>
          <w:tcW w:w="5160" w:type="dxa"/>
          <w:shd w:val="clear" w:color="auto" w:fill="auto"/>
          <w:vAlign w:val="center"/>
        </w:tcPr>
        <w:p w14:paraId="5D27D4C4" w14:textId="6BC24BC9" w:rsidR="009C3D7A" w:rsidRPr="00823F89" w:rsidRDefault="008A4D11" w:rsidP="000F4A2F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Rádiós átjátszóberendezések a 6,2 GHz-es tartományban (P-P)</w:t>
          </w:r>
        </w:p>
      </w:tc>
      <w:tc>
        <w:tcPr>
          <w:tcW w:w="1247" w:type="dxa"/>
          <w:shd w:val="clear" w:color="auto" w:fill="auto"/>
          <w:vAlign w:val="center"/>
        </w:tcPr>
        <w:p w14:paraId="5D27D4C5" w14:textId="43B8FD08" w:rsidR="009C3D7A" w:rsidRPr="00823F89" w:rsidRDefault="009C3D7A" w:rsidP="003F6241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SSB FE-OE 058</w:t>
          </w:r>
        </w:p>
      </w:tc>
      <w:tc>
        <w:tcPr>
          <w:tcW w:w="1134" w:type="dxa"/>
          <w:shd w:val="clear" w:color="auto" w:fill="auto"/>
          <w:vAlign w:val="center"/>
        </w:tcPr>
        <w:p w14:paraId="5D27D4C6" w14:textId="39C951A7" w:rsidR="009C3D7A" w:rsidRPr="00823F89" w:rsidRDefault="00300659" w:rsidP="000F4A2F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2022. február</w:t>
          </w:r>
        </w:p>
      </w:tc>
    </w:tr>
  </w:tbl>
  <w:p w14:paraId="5D27D4C8" w14:textId="28622EE0" w:rsidR="009C3D7A" w:rsidRPr="0013052E" w:rsidRDefault="000F4A2F" w:rsidP="0013052E">
    <w:pPr>
      <w:pStyle w:val="Header"/>
      <w:rPr>
        <w:sz w:val="12"/>
        <w:szCs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D27D4CE" wp14:editId="628BCDC7">
              <wp:simplePos x="0" y="0"/>
              <wp:positionH relativeFrom="margin">
                <wp:posOffset>360045</wp:posOffset>
              </wp:positionH>
              <wp:positionV relativeFrom="margin">
                <wp:posOffset>3780790</wp:posOffset>
              </wp:positionV>
              <wp:extent cx="6047740" cy="1473200"/>
              <wp:effectExtent l="1390015" t="0" r="1270635" b="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3626559">
                        <a:off x="0" y="0"/>
                        <a:ext cx="6047740" cy="1473200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25000"/>
                              </a:srgb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303147" w14:textId="77777777" w:rsidR="000F4A2F" w:rsidRDefault="000F4A2F" w:rsidP="000F4A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/>
                              <w:outline/>
                              <w:color w:val="808080"/>
                              <w:sz w:val="72"/>
                              <w14:textOutline w14:w="2540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7D4CE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9" type="#_x0000_t202" style="position:absolute;left:0;text-align:left;margin-left:28.35pt;margin-top:297.7pt;width:476.2pt;height:116pt;rotation:-3961170fd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" filled="f" fillcolor="silver" stroked="f">
              <v:fill opacity="16448f"/>
              <o:lock v:ext="edit" shapetype="t"/>
              <v:textbox style="mso-fit-shape-to-text:t">
                <w:txbxContent>
                  <w:p w14:paraId="4F303147" w14:textId="77777777" w:rsidR="000F4A2F" w:rsidRDefault="000F4A2F" w:rsidP="000F4A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/>
                        <w:outline/>
                        <w:color w:val="808080"/>
                        <w:sz w:val="72"/>
                        <w14:textOutline w14:w="2540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AD9"/>
    <w:multiLevelType w:val="hybridMultilevel"/>
    <w:tmpl w:val="CA5849F6"/>
    <w:lvl w:ilvl="0" w:tplc="CDCCC89C">
      <w:start w:val="1"/>
      <w:numFmt w:val="bullet"/>
      <w:pStyle w:val="AufzDokumen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A90"/>
    <w:multiLevelType w:val="hybridMultilevel"/>
    <w:tmpl w:val="BBE2453C"/>
    <w:lvl w:ilvl="0" w:tplc="1E68ED7C">
      <w:start w:val="1"/>
      <w:numFmt w:val="bullet"/>
      <w:lvlText w:val=""/>
      <w:lvlJc w:val="left"/>
      <w:pPr>
        <w:tabs>
          <w:tab w:val="num" w:pos="709"/>
        </w:tabs>
        <w:ind w:left="720" w:hanging="32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12D7"/>
    <w:multiLevelType w:val="hybridMultilevel"/>
    <w:tmpl w:val="D972A784"/>
    <w:lvl w:ilvl="0" w:tplc="E65283B6">
      <w:start w:val="1"/>
      <w:numFmt w:val="bullet"/>
      <w:pStyle w:val="AufzSonstDoku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87EC2"/>
    <w:multiLevelType w:val="hybridMultilevel"/>
    <w:tmpl w:val="70280FA4"/>
    <w:lvl w:ilvl="0" w:tplc="0407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617807E4"/>
    <w:multiLevelType w:val="hybridMultilevel"/>
    <w:tmpl w:val="5F78F1F2"/>
    <w:lvl w:ilvl="0" w:tplc="C6A674F6">
      <w:start w:val="4"/>
      <w:numFmt w:val="decimal"/>
      <w:lvlText w:val="%1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DC3E69"/>
    <w:multiLevelType w:val="multilevel"/>
    <w:tmpl w:val="5F20D43A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0F371C7"/>
    <w:multiLevelType w:val="multilevel"/>
    <w:tmpl w:val="5F20D43A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31D6BF7"/>
    <w:multiLevelType w:val="hybridMultilevel"/>
    <w:tmpl w:val="CB96C69C"/>
    <w:lvl w:ilvl="0" w:tplc="F648D50C">
      <w:start w:val="1"/>
      <w:numFmt w:val="bullet"/>
      <w:pStyle w:val="AufzPunk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0EB6"/>
    <w:multiLevelType w:val="hybridMultilevel"/>
    <w:tmpl w:val="4B288EBE"/>
    <w:lvl w:ilvl="0" w:tplc="842AC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01419">
    <w:abstractNumId w:val="5"/>
  </w:num>
  <w:num w:numId="2" w16cid:durableId="1389381659">
    <w:abstractNumId w:val="5"/>
  </w:num>
  <w:num w:numId="3" w16cid:durableId="912086691">
    <w:abstractNumId w:val="5"/>
  </w:num>
  <w:num w:numId="4" w16cid:durableId="245313286">
    <w:abstractNumId w:val="5"/>
  </w:num>
  <w:num w:numId="5" w16cid:durableId="2038843826">
    <w:abstractNumId w:val="5"/>
  </w:num>
  <w:num w:numId="6" w16cid:durableId="1573349531">
    <w:abstractNumId w:val="5"/>
  </w:num>
  <w:num w:numId="7" w16cid:durableId="1381440427">
    <w:abstractNumId w:val="5"/>
  </w:num>
  <w:num w:numId="8" w16cid:durableId="1276868272">
    <w:abstractNumId w:val="5"/>
  </w:num>
  <w:num w:numId="9" w16cid:durableId="1471559769">
    <w:abstractNumId w:val="5"/>
  </w:num>
  <w:num w:numId="10" w16cid:durableId="1793553954">
    <w:abstractNumId w:val="2"/>
  </w:num>
  <w:num w:numId="11" w16cid:durableId="1418209285">
    <w:abstractNumId w:val="7"/>
  </w:num>
  <w:num w:numId="12" w16cid:durableId="70660043">
    <w:abstractNumId w:val="3"/>
  </w:num>
  <w:num w:numId="13" w16cid:durableId="1950552387">
    <w:abstractNumId w:val="0"/>
  </w:num>
  <w:num w:numId="14" w16cid:durableId="628512237">
    <w:abstractNumId w:val="1"/>
  </w:num>
  <w:num w:numId="15" w16cid:durableId="424807502">
    <w:abstractNumId w:val="6"/>
  </w:num>
  <w:num w:numId="16" w16cid:durableId="1666007582">
    <w:abstractNumId w:val="4"/>
  </w:num>
  <w:num w:numId="17" w16cid:durableId="600720408">
    <w:abstractNumId w:val="8"/>
  </w:num>
  <w:num w:numId="18" w16cid:durableId="546204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97"/>
  <w:doNotHyphenateCaps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6F"/>
    <w:rsid w:val="00007ABA"/>
    <w:rsid w:val="00020AE1"/>
    <w:rsid w:val="00021D7B"/>
    <w:rsid w:val="00022406"/>
    <w:rsid w:val="00022D74"/>
    <w:rsid w:val="000308FE"/>
    <w:rsid w:val="00031C1D"/>
    <w:rsid w:val="00044334"/>
    <w:rsid w:val="00050A92"/>
    <w:rsid w:val="00052E9A"/>
    <w:rsid w:val="00057623"/>
    <w:rsid w:val="000620AF"/>
    <w:rsid w:val="0006783B"/>
    <w:rsid w:val="00071881"/>
    <w:rsid w:val="00072236"/>
    <w:rsid w:val="00073A07"/>
    <w:rsid w:val="000764DA"/>
    <w:rsid w:val="00081894"/>
    <w:rsid w:val="000A152B"/>
    <w:rsid w:val="000A6B1E"/>
    <w:rsid w:val="000B29BC"/>
    <w:rsid w:val="000B4360"/>
    <w:rsid w:val="000B5AF4"/>
    <w:rsid w:val="000C4CA0"/>
    <w:rsid w:val="000C5D86"/>
    <w:rsid w:val="000C6F36"/>
    <w:rsid w:val="000D1030"/>
    <w:rsid w:val="000E4F09"/>
    <w:rsid w:val="000F4A2F"/>
    <w:rsid w:val="000F6C9A"/>
    <w:rsid w:val="00111A32"/>
    <w:rsid w:val="00115FE7"/>
    <w:rsid w:val="00126D18"/>
    <w:rsid w:val="00127977"/>
    <w:rsid w:val="0013052E"/>
    <w:rsid w:val="00133CE4"/>
    <w:rsid w:val="00141D5A"/>
    <w:rsid w:val="00150229"/>
    <w:rsid w:val="00153CDE"/>
    <w:rsid w:val="00162073"/>
    <w:rsid w:val="00164BF0"/>
    <w:rsid w:val="001651AB"/>
    <w:rsid w:val="001671D3"/>
    <w:rsid w:val="001778D0"/>
    <w:rsid w:val="001852BF"/>
    <w:rsid w:val="001A3007"/>
    <w:rsid w:val="001A3F63"/>
    <w:rsid w:val="001B36E0"/>
    <w:rsid w:val="001B69C9"/>
    <w:rsid w:val="001C54E4"/>
    <w:rsid w:val="001D0DBD"/>
    <w:rsid w:val="001D3270"/>
    <w:rsid w:val="001D5044"/>
    <w:rsid w:val="001D7BDA"/>
    <w:rsid w:val="001E0B6B"/>
    <w:rsid w:val="001E3760"/>
    <w:rsid w:val="001F0496"/>
    <w:rsid w:val="001F1A97"/>
    <w:rsid w:val="0020117C"/>
    <w:rsid w:val="002042FB"/>
    <w:rsid w:val="002059A7"/>
    <w:rsid w:val="00206B7E"/>
    <w:rsid w:val="00221F77"/>
    <w:rsid w:val="00234456"/>
    <w:rsid w:val="00235C2E"/>
    <w:rsid w:val="0024253A"/>
    <w:rsid w:val="00243A64"/>
    <w:rsid w:val="00251893"/>
    <w:rsid w:val="00253E8E"/>
    <w:rsid w:val="00254813"/>
    <w:rsid w:val="00254DA1"/>
    <w:rsid w:val="002576F0"/>
    <w:rsid w:val="002577A0"/>
    <w:rsid w:val="00260C39"/>
    <w:rsid w:val="002708EC"/>
    <w:rsid w:val="00272A68"/>
    <w:rsid w:val="00274E8B"/>
    <w:rsid w:val="00277B66"/>
    <w:rsid w:val="00283BA1"/>
    <w:rsid w:val="002923BE"/>
    <w:rsid w:val="00293B41"/>
    <w:rsid w:val="0029404A"/>
    <w:rsid w:val="002941E5"/>
    <w:rsid w:val="002B0C2B"/>
    <w:rsid w:val="002B1465"/>
    <w:rsid w:val="002B4688"/>
    <w:rsid w:val="002C0240"/>
    <w:rsid w:val="002C0F8E"/>
    <w:rsid w:val="002C732C"/>
    <w:rsid w:val="002D7D87"/>
    <w:rsid w:val="002E3536"/>
    <w:rsid w:val="002E7B1D"/>
    <w:rsid w:val="00300659"/>
    <w:rsid w:val="00306065"/>
    <w:rsid w:val="00313156"/>
    <w:rsid w:val="00331634"/>
    <w:rsid w:val="00335953"/>
    <w:rsid w:val="00336A2D"/>
    <w:rsid w:val="00346081"/>
    <w:rsid w:val="0035141B"/>
    <w:rsid w:val="00363A44"/>
    <w:rsid w:val="00364BC2"/>
    <w:rsid w:val="0037662B"/>
    <w:rsid w:val="0037774B"/>
    <w:rsid w:val="00381B7A"/>
    <w:rsid w:val="0038577C"/>
    <w:rsid w:val="00386B9F"/>
    <w:rsid w:val="00391B26"/>
    <w:rsid w:val="003A12FA"/>
    <w:rsid w:val="003B2E13"/>
    <w:rsid w:val="003C0E56"/>
    <w:rsid w:val="003C38F2"/>
    <w:rsid w:val="003C54C5"/>
    <w:rsid w:val="003C7CBE"/>
    <w:rsid w:val="003E5965"/>
    <w:rsid w:val="003E72C7"/>
    <w:rsid w:val="003F5625"/>
    <w:rsid w:val="003F6241"/>
    <w:rsid w:val="004036CB"/>
    <w:rsid w:val="00404C8C"/>
    <w:rsid w:val="00420F40"/>
    <w:rsid w:val="00435C3B"/>
    <w:rsid w:val="00444FEB"/>
    <w:rsid w:val="004451DC"/>
    <w:rsid w:val="00445475"/>
    <w:rsid w:val="004459C5"/>
    <w:rsid w:val="00447506"/>
    <w:rsid w:val="004511DD"/>
    <w:rsid w:val="00455AEA"/>
    <w:rsid w:val="004576DD"/>
    <w:rsid w:val="00457ECD"/>
    <w:rsid w:val="00474396"/>
    <w:rsid w:val="00484F2D"/>
    <w:rsid w:val="00491AC1"/>
    <w:rsid w:val="00496B3C"/>
    <w:rsid w:val="00496FAA"/>
    <w:rsid w:val="004A0A0B"/>
    <w:rsid w:val="004A212D"/>
    <w:rsid w:val="004B1CA4"/>
    <w:rsid w:val="004B2043"/>
    <w:rsid w:val="004D130D"/>
    <w:rsid w:val="004D3D05"/>
    <w:rsid w:val="004D540F"/>
    <w:rsid w:val="004D6FFE"/>
    <w:rsid w:val="004E235B"/>
    <w:rsid w:val="004E5B45"/>
    <w:rsid w:val="004F1EC3"/>
    <w:rsid w:val="004F1EF4"/>
    <w:rsid w:val="004F4D76"/>
    <w:rsid w:val="004F6BEE"/>
    <w:rsid w:val="0051062F"/>
    <w:rsid w:val="00515625"/>
    <w:rsid w:val="0053074E"/>
    <w:rsid w:val="00530926"/>
    <w:rsid w:val="005311E0"/>
    <w:rsid w:val="00532280"/>
    <w:rsid w:val="005340EA"/>
    <w:rsid w:val="005413D3"/>
    <w:rsid w:val="00551317"/>
    <w:rsid w:val="005525FD"/>
    <w:rsid w:val="00564C37"/>
    <w:rsid w:val="00571FA8"/>
    <w:rsid w:val="005843DA"/>
    <w:rsid w:val="00586393"/>
    <w:rsid w:val="0059521D"/>
    <w:rsid w:val="005A214F"/>
    <w:rsid w:val="005A29DA"/>
    <w:rsid w:val="005A4233"/>
    <w:rsid w:val="005B098D"/>
    <w:rsid w:val="005B3478"/>
    <w:rsid w:val="005B513C"/>
    <w:rsid w:val="005B6205"/>
    <w:rsid w:val="005C09FD"/>
    <w:rsid w:val="005C2459"/>
    <w:rsid w:val="005C4406"/>
    <w:rsid w:val="005D0E3B"/>
    <w:rsid w:val="005E06AD"/>
    <w:rsid w:val="005F149A"/>
    <w:rsid w:val="005F75ED"/>
    <w:rsid w:val="00602EF8"/>
    <w:rsid w:val="006123DD"/>
    <w:rsid w:val="006156B9"/>
    <w:rsid w:val="00627039"/>
    <w:rsid w:val="006327DA"/>
    <w:rsid w:val="00656A0D"/>
    <w:rsid w:val="00661AC1"/>
    <w:rsid w:val="00663106"/>
    <w:rsid w:val="00665EC0"/>
    <w:rsid w:val="006664ED"/>
    <w:rsid w:val="006670FB"/>
    <w:rsid w:val="0067482D"/>
    <w:rsid w:val="00677CD0"/>
    <w:rsid w:val="00681445"/>
    <w:rsid w:val="00692A69"/>
    <w:rsid w:val="00694981"/>
    <w:rsid w:val="006972BC"/>
    <w:rsid w:val="006A6DCC"/>
    <w:rsid w:val="006B5B95"/>
    <w:rsid w:val="006C44CC"/>
    <w:rsid w:val="006D383E"/>
    <w:rsid w:val="006D6BFF"/>
    <w:rsid w:val="006D7C76"/>
    <w:rsid w:val="006D7FA8"/>
    <w:rsid w:val="006E1DAD"/>
    <w:rsid w:val="006E33A6"/>
    <w:rsid w:val="006E5F3A"/>
    <w:rsid w:val="006F0908"/>
    <w:rsid w:val="006F6EDD"/>
    <w:rsid w:val="0070027B"/>
    <w:rsid w:val="00701BE3"/>
    <w:rsid w:val="0070642D"/>
    <w:rsid w:val="007074BB"/>
    <w:rsid w:val="00707FD3"/>
    <w:rsid w:val="00720A3F"/>
    <w:rsid w:val="00731948"/>
    <w:rsid w:val="00731E34"/>
    <w:rsid w:val="007320D5"/>
    <w:rsid w:val="00733135"/>
    <w:rsid w:val="0073481E"/>
    <w:rsid w:val="007454E0"/>
    <w:rsid w:val="00751E6F"/>
    <w:rsid w:val="007615D0"/>
    <w:rsid w:val="0076261E"/>
    <w:rsid w:val="00767778"/>
    <w:rsid w:val="0077281B"/>
    <w:rsid w:val="00772B2F"/>
    <w:rsid w:val="00777190"/>
    <w:rsid w:val="00784731"/>
    <w:rsid w:val="00787F9B"/>
    <w:rsid w:val="007979DE"/>
    <w:rsid w:val="007A7600"/>
    <w:rsid w:val="007B0108"/>
    <w:rsid w:val="007B163D"/>
    <w:rsid w:val="007D42D2"/>
    <w:rsid w:val="007D7F5E"/>
    <w:rsid w:val="007E7706"/>
    <w:rsid w:val="007F67F0"/>
    <w:rsid w:val="00823F89"/>
    <w:rsid w:val="00833377"/>
    <w:rsid w:val="00833ED6"/>
    <w:rsid w:val="00841CDC"/>
    <w:rsid w:val="00844484"/>
    <w:rsid w:val="00844F5D"/>
    <w:rsid w:val="008479A4"/>
    <w:rsid w:val="008543D8"/>
    <w:rsid w:val="00874914"/>
    <w:rsid w:val="00874EC9"/>
    <w:rsid w:val="00880ABE"/>
    <w:rsid w:val="00882122"/>
    <w:rsid w:val="00885299"/>
    <w:rsid w:val="0089380B"/>
    <w:rsid w:val="0089445D"/>
    <w:rsid w:val="008952C3"/>
    <w:rsid w:val="00896574"/>
    <w:rsid w:val="008A188D"/>
    <w:rsid w:val="008A2903"/>
    <w:rsid w:val="008A4D11"/>
    <w:rsid w:val="008A4F55"/>
    <w:rsid w:val="008A5965"/>
    <w:rsid w:val="008D1EAC"/>
    <w:rsid w:val="008D5EA0"/>
    <w:rsid w:val="008D79F8"/>
    <w:rsid w:val="008E3918"/>
    <w:rsid w:val="008F3BF6"/>
    <w:rsid w:val="008F75CC"/>
    <w:rsid w:val="00903BFC"/>
    <w:rsid w:val="00907FFB"/>
    <w:rsid w:val="009224C9"/>
    <w:rsid w:val="0093089E"/>
    <w:rsid w:val="009343D0"/>
    <w:rsid w:val="00936CF0"/>
    <w:rsid w:val="009402BF"/>
    <w:rsid w:val="009414CE"/>
    <w:rsid w:val="00943FEA"/>
    <w:rsid w:val="009453C2"/>
    <w:rsid w:val="00945A87"/>
    <w:rsid w:val="00946662"/>
    <w:rsid w:val="00965555"/>
    <w:rsid w:val="00976F73"/>
    <w:rsid w:val="009B23F4"/>
    <w:rsid w:val="009B689B"/>
    <w:rsid w:val="009B6A9A"/>
    <w:rsid w:val="009C3D7A"/>
    <w:rsid w:val="009C41EF"/>
    <w:rsid w:val="009D0752"/>
    <w:rsid w:val="009D29B2"/>
    <w:rsid w:val="009E13A5"/>
    <w:rsid w:val="009F3A41"/>
    <w:rsid w:val="009F4FE4"/>
    <w:rsid w:val="009F6793"/>
    <w:rsid w:val="00A00A97"/>
    <w:rsid w:val="00A01AF5"/>
    <w:rsid w:val="00A02A4D"/>
    <w:rsid w:val="00A1083A"/>
    <w:rsid w:val="00A14FBA"/>
    <w:rsid w:val="00A25EC4"/>
    <w:rsid w:val="00A32928"/>
    <w:rsid w:val="00A3511E"/>
    <w:rsid w:val="00A40F00"/>
    <w:rsid w:val="00A517D3"/>
    <w:rsid w:val="00A5286E"/>
    <w:rsid w:val="00A55CAF"/>
    <w:rsid w:val="00A561A5"/>
    <w:rsid w:val="00A60899"/>
    <w:rsid w:val="00A62B80"/>
    <w:rsid w:val="00A67646"/>
    <w:rsid w:val="00A705C9"/>
    <w:rsid w:val="00A71AE6"/>
    <w:rsid w:val="00A744F1"/>
    <w:rsid w:val="00A75F21"/>
    <w:rsid w:val="00A80A10"/>
    <w:rsid w:val="00AA3C1C"/>
    <w:rsid w:val="00AA64CB"/>
    <w:rsid w:val="00AB1AA0"/>
    <w:rsid w:val="00AB47A2"/>
    <w:rsid w:val="00AB5E22"/>
    <w:rsid w:val="00AB60C7"/>
    <w:rsid w:val="00AB63D2"/>
    <w:rsid w:val="00AB77F4"/>
    <w:rsid w:val="00AC0B1F"/>
    <w:rsid w:val="00AC0F70"/>
    <w:rsid w:val="00AC159C"/>
    <w:rsid w:val="00AD5627"/>
    <w:rsid w:val="00AE531F"/>
    <w:rsid w:val="00AF4BC1"/>
    <w:rsid w:val="00B03779"/>
    <w:rsid w:val="00B07D5E"/>
    <w:rsid w:val="00B210A9"/>
    <w:rsid w:val="00B21221"/>
    <w:rsid w:val="00B27BF2"/>
    <w:rsid w:val="00B3095D"/>
    <w:rsid w:val="00B316A0"/>
    <w:rsid w:val="00B3175D"/>
    <w:rsid w:val="00B34B8D"/>
    <w:rsid w:val="00B3581B"/>
    <w:rsid w:val="00B4128C"/>
    <w:rsid w:val="00B41D5B"/>
    <w:rsid w:val="00B5001A"/>
    <w:rsid w:val="00B73187"/>
    <w:rsid w:val="00B80892"/>
    <w:rsid w:val="00B8128B"/>
    <w:rsid w:val="00B81BBD"/>
    <w:rsid w:val="00B854D9"/>
    <w:rsid w:val="00B87DBA"/>
    <w:rsid w:val="00B92E22"/>
    <w:rsid w:val="00BB1EC3"/>
    <w:rsid w:val="00BB2BA8"/>
    <w:rsid w:val="00BB5F61"/>
    <w:rsid w:val="00BC6BFF"/>
    <w:rsid w:val="00BD34B2"/>
    <w:rsid w:val="00BD64E5"/>
    <w:rsid w:val="00BE7E8B"/>
    <w:rsid w:val="00BF32D0"/>
    <w:rsid w:val="00C004EA"/>
    <w:rsid w:val="00C053BF"/>
    <w:rsid w:val="00C0669A"/>
    <w:rsid w:val="00C1089E"/>
    <w:rsid w:val="00C12261"/>
    <w:rsid w:val="00C33649"/>
    <w:rsid w:val="00C3416A"/>
    <w:rsid w:val="00C3586F"/>
    <w:rsid w:val="00C423A7"/>
    <w:rsid w:val="00C55182"/>
    <w:rsid w:val="00C55DF3"/>
    <w:rsid w:val="00C713E5"/>
    <w:rsid w:val="00C717F4"/>
    <w:rsid w:val="00C71C91"/>
    <w:rsid w:val="00C82459"/>
    <w:rsid w:val="00C872AA"/>
    <w:rsid w:val="00C92C9A"/>
    <w:rsid w:val="00CB215A"/>
    <w:rsid w:val="00CB3D46"/>
    <w:rsid w:val="00CB55BF"/>
    <w:rsid w:val="00CC0984"/>
    <w:rsid w:val="00CC11BC"/>
    <w:rsid w:val="00CC2F52"/>
    <w:rsid w:val="00CE6375"/>
    <w:rsid w:val="00CE6429"/>
    <w:rsid w:val="00D01B97"/>
    <w:rsid w:val="00D03DCA"/>
    <w:rsid w:val="00D14F57"/>
    <w:rsid w:val="00D1554A"/>
    <w:rsid w:val="00D16C0D"/>
    <w:rsid w:val="00D17AB7"/>
    <w:rsid w:val="00D22A1C"/>
    <w:rsid w:val="00D26A2B"/>
    <w:rsid w:val="00D30822"/>
    <w:rsid w:val="00D32095"/>
    <w:rsid w:val="00D36D4E"/>
    <w:rsid w:val="00D45990"/>
    <w:rsid w:val="00D46DF8"/>
    <w:rsid w:val="00D50BF1"/>
    <w:rsid w:val="00D51177"/>
    <w:rsid w:val="00D51F96"/>
    <w:rsid w:val="00D77E00"/>
    <w:rsid w:val="00D96BCE"/>
    <w:rsid w:val="00DB4DA1"/>
    <w:rsid w:val="00DB5D7B"/>
    <w:rsid w:val="00DC6A8E"/>
    <w:rsid w:val="00DC7FAB"/>
    <w:rsid w:val="00DD759C"/>
    <w:rsid w:val="00DF32B7"/>
    <w:rsid w:val="00DF763B"/>
    <w:rsid w:val="00DF77E6"/>
    <w:rsid w:val="00E01F39"/>
    <w:rsid w:val="00E06CA8"/>
    <w:rsid w:val="00E116C6"/>
    <w:rsid w:val="00E14299"/>
    <w:rsid w:val="00E16AA5"/>
    <w:rsid w:val="00E17E83"/>
    <w:rsid w:val="00E200F0"/>
    <w:rsid w:val="00E30575"/>
    <w:rsid w:val="00E31DD2"/>
    <w:rsid w:val="00E31FF6"/>
    <w:rsid w:val="00E330CB"/>
    <w:rsid w:val="00E35583"/>
    <w:rsid w:val="00E35A6B"/>
    <w:rsid w:val="00E47F27"/>
    <w:rsid w:val="00E50DFB"/>
    <w:rsid w:val="00E524CB"/>
    <w:rsid w:val="00E5791B"/>
    <w:rsid w:val="00E60CB3"/>
    <w:rsid w:val="00E60EF8"/>
    <w:rsid w:val="00E70E11"/>
    <w:rsid w:val="00E80824"/>
    <w:rsid w:val="00E84013"/>
    <w:rsid w:val="00E87A8D"/>
    <w:rsid w:val="00E907ED"/>
    <w:rsid w:val="00E939BB"/>
    <w:rsid w:val="00EA5A4B"/>
    <w:rsid w:val="00EB62B7"/>
    <w:rsid w:val="00EC1F02"/>
    <w:rsid w:val="00EC4534"/>
    <w:rsid w:val="00ED35D8"/>
    <w:rsid w:val="00EE1543"/>
    <w:rsid w:val="00EF03E3"/>
    <w:rsid w:val="00EF23F1"/>
    <w:rsid w:val="00EF2590"/>
    <w:rsid w:val="00F03C7E"/>
    <w:rsid w:val="00F11518"/>
    <w:rsid w:val="00F22B65"/>
    <w:rsid w:val="00F36617"/>
    <w:rsid w:val="00F4429F"/>
    <w:rsid w:val="00F44DE1"/>
    <w:rsid w:val="00F503BD"/>
    <w:rsid w:val="00F533FE"/>
    <w:rsid w:val="00F66DF8"/>
    <w:rsid w:val="00F76E98"/>
    <w:rsid w:val="00F779BA"/>
    <w:rsid w:val="00F855F4"/>
    <w:rsid w:val="00F86533"/>
    <w:rsid w:val="00F8689D"/>
    <w:rsid w:val="00F927C3"/>
    <w:rsid w:val="00FA1AC6"/>
    <w:rsid w:val="00FB2D03"/>
    <w:rsid w:val="00FC18F0"/>
    <w:rsid w:val="00FC718A"/>
    <w:rsid w:val="00FD0614"/>
    <w:rsid w:val="00FD2DA7"/>
    <w:rsid w:val="00FD3035"/>
    <w:rsid w:val="00FE1C09"/>
    <w:rsid w:val="00FE1F9D"/>
    <w:rsid w:val="00FE565F"/>
    <w:rsid w:val="00FF24C8"/>
    <w:rsid w:val="00FF3CA3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7D3DB"/>
  <w15:docId w15:val="{F2F3774A-A866-46E2-8866-9241C3FF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8EC"/>
    <w:pPr>
      <w:keepNext/>
      <w:keepLines/>
      <w:tabs>
        <w:tab w:val="left" w:pos="851"/>
      </w:tabs>
      <w:overflowPunct/>
      <w:autoSpaceDE/>
      <w:autoSpaceDN/>
      <w:adjustRightInd/>
      <w:spacing w:after="240"/>
      <w:textAlignment w:val="auto"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tabs>
        <w:tab w:val="clear" w:pos="576"/>
      </w:tabs>
      <w:ind w:left="1418" w:hanging="1418"/>
      <w:outlineLvl w:val="1"/>
    </w:pPr>
    <w:rPr>
      <w:color w:val="000000"/>
    </w:rPr>
  </w:style>
  <w:style w:type="paragraph" w:styleId="Heading3">
    <w:name w:val="heading 3"/>
    <w:basedOn w:val="Heading2"/>
    <w:next w:val="Normal"/>
    <w:qFormat/>
    <w:pPr>
      <w:numPr>
        <w:ilvl w:val="2"/>
        <w:numId w:val="4"/>
      </w:numPr>
      <w:tabs>
        <w:tab w:val="clear" w:pos="720"/>
      </w:tabs>
      <w:ind w:left="1418" w:hanging="1418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  <w:numId w:val="5"/>
      </w:numPr>
      <w:tabs>
        <w:tab w:val="clear" w:pos="864"/>
      </w:tabs>
      <w:ind w:left="1418" w:hanging="1418"/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  <w:numId w:val="6"/>
      </w:numPr>
      <w:tabs>
        <w:tab w:val="clear" w:pos="1008"/>
      </w:tabs>
      <w:ind w:left="1418" w:hanging="1418"/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  <w:numId w:val="7"/>
      </w:numPr>
      <w:tabs>
        <w:tab w:val="clear" w:pos="1152"/>
      </w:tabs>
      <w:ind w:left="1418" w:hanging="1418"/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  <w:numId w:val="8"/>
      </w:numPr>
      <w:tabs>
        <w:tab w:val="clear" w:pos="1800"/>
      </w:tabs>
      <w:ind w:left="0" w:firstLine="1418"/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  <w:numId w:val="9"/>
      </w:numPr>
      <w:tabs>
        <w:tab w:val="clear" w:pos="1440"/>
        <w:tab w:val="left" w:pos="1418"/>
      </w:tabs>
      <w:ind w:left="1418" w:hanging="1418"/>
      <w:outlineLvl w:val="7"/>
    </w:pPr>
  </w:style>
  <w:style w:type="paragraph" w:styleId="Heading9">
    <w:name w:val="heading 9"/>
    <w:basedOn w:val="Normal"/>
    <w:next w:val="Normal"/>
    <w:qFormat/>
    <w:pPr>
      <w:keepNext/>
      <w:keepLines/>
      <w:overflowPunct/>
      <w:autoSpaceDE/>
      <w:autoSpaceDN/>
      <w:adjustRightInd/>
      <w:spacing w:after="240"/>
      <w:textAlignment w:val="auto"/>
      <w:outlineLvl w:val="8"/>
    </w:pPr>
    <w:rPr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820"/>
        <w:tab w:val="right" w:pos="9639"/>
      </w:tabs>
    </w:pPr>
    <w:rPr>
      <w:rFonts w:cs="Arial"/>
      <w:b/>
      <w:bCs/>
      <w:vanish/>
      <w:sz w:val="16"/>
    </w:rPr>
  </w:style>
  <w:style w:type="paragraph" w:styleId="TOC2">
    <w:name w:val="toc 2"/>
    <w:basedOn w:val="Normal"/>
    <w:next w:val="Normal"/>
    <w:autoRedefine/>
    <w:semiHidden/>
    <w:pPr>
      <w:keepNext/>
      <w:keepLines/>
      <w:tabs>
        <w:tab w:val="left" w:pos="1418"/>
        <w:tab w:val="right" w:leader="dot" w:pos="9639"/>
      </w:tabs>
      <w:spacing w:before="120"/>
      <w:ind w:left="1418" w:right="566" w:hanging="1418"/>
    </w:pPr>
    <w:rPr>
      <w:rFonts w:cs="Arial"/>
      <w:noProof/>
      <w:szCs w:val="24"/>
    </w:rPr>
  </w:style>
  <w:style w:type="character" w:styleId="Hyperlink">
    <w:name w:val="Hyperlink"/>
    <w:rsid w:val="00AD5627"/>
    <w:rPr>
      <w:color w:val="0000FF"/>
      <w:u w:val="none"/>
    </w:rPr>
  </w:style>
  <w:style w:type="paragraph" w:customStyle="1" w:styleId="Fuzeile2">
    <w:name w:val="Fußzeile2"/>
    <w:basedOn w:val="Footer"/>
    <w:rPr>
      <w:b w:val="0"/>
      <w:bCs w:val="0"/>
      <w:vanish w:val="0"/>
    </w:rPr>
  </w:style>
  <w:style w:type="paragraph" w:customStyle="1" w:styleId="Fuzeile3">
    <w:name w:val="Fußzeile3"/>
    <w:basedOn w:val="Footer"/>
    <w:pPr>
      <w:jc w:val="center"/>
    </w:pPr>
    <w:rPr>
      <w:vanish w:val="0"/>
      <w:sz w:val="26"/>
    </w:rPr>
  </w:style>
  <w:style w:type="paragraph" w:styleId="TOC1">
    <w:name w:val="toc 1"/>
    <w:basedOn w:val="Normal"/>
    <w:next w:val="Normal"/>
    <w:semiHidden/>
    <w:pPr>
      <w:keepNext/>
      <w:keepLines/>
      <w:tabs>
        <w:tab w:val="left" w:pos="1418"/>
        <w:tab w:val="right" w:leader="dot" w:pos="9638"/>
      </w:tabs>
      <w:overflowPunct/>
      <w:autoSpaceDE/>
      <w:autoSpaceDN/>
      <w:adjustRightInd/>
      <w:spacing w:before="240"/>
      <w:ind w:left="1418" w:right="707" w:hanging="1417"/>
      <w:textAlignment w:val="auto"/>
    </w:pPr>
    <w:rPr>
      <w:noProof/>
    </w:rPr>
  </w:style>
  <w:style w:type="paragraph" w:styleId="TOC3">
    <w:name w:val="toc 3"/>
    <w:basedOn w:val="TOC2"/>
    <w:next w:val="Normal"/>
    <w:semiHidden/>
    <w:pPr>
      <w:spacing w:before="0"/>
    </w:pPr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4"/>
    <w:next w:val="Normal"/>
    <w:semiHidden/>
  </w:style>
  <w:style w:type="paragraph" w:styleId="TOC6">
    <w:name w:val="toc 6"/>
    <w:basedOn w:val="TOC5"/>
    <w:next w:val="Normal"/>
    <w:semiHidden/>
  </w:style>
  <w:style w:type="paragraph" w:styleId="TOC9">
    <w:name w:val="toc 9"/>
    <w:basedOn w:val="Normal"/>
    <w:next w:val="Normal"/>
    <w:autoRedefine/>
    <w:semiHidden/>
    <w:pPr>
      <w:keepNext/>
      <w:keepLines/>
      <w:tabs>
        <w:tab w:val="left" w:pos="1418"/>
        <w:tab w:val="right" w:leader="dot" w:pos="9639"/>
      </w:tabs>
      <w:overflowPunct/>
      <w:autoSpaceDE/>
      <w:autoSpaceDN/>
      <w:adjustRightInd/>
      <w:spacing w:before="240"/>
      <w:ind w:left="1418" w:right="567" w:hanging="1418"/>
      <w:textAlignment w:val="auto"/>
      <w:outlineLvl w:val="8"/>
    </w:pPr>
    <w:rPr>
      <w:noProof/>
      <w:szCs w:val="24"/>
    </w:rPr>
  </w:style>
  <w:style w:type="paragraph" w:customStyle="1" w:styleId="BeschriftungTabelle">
    <w:name w:val="Beschriftung_Tabelle"/>
    <w:basedOn w:val="Caption"/>
    <w:pPr>
      <w:keepNext/>
      <w:keepLines/>
      <w:spacing w:after="0"/>
      <w:jc w:val="center"/>
    </w:pPr>
    <w:rPr>
      <w:sz w:val="18"/>
    </w:rPr>
  </w:style>
  <w:style w:type="paragraph" w:customStyle="1" w:styleId="BeschriftungBild">
    <w:name w:val="Beschriftung_Bild"/>
    <w:basedOn w:val="BeschriftungTabelle"/>
  </w:style>
  <w:style w:type="paragraph" w:customStyle="1" w:styleId="Bild">
    <w:name w:val="Bild"/>
    <w:basedOn w:val="Normal"/>
    <w:next w:val="BeschriftungBild"/>
    <w:pPr>
      <w:keepNext/>
      <w:keepLines/>
      <w:overflowPunct/>
      <w:autoSpaceDE/>
      <w:autoSpaceDN/>
      <w:adjustRightInd/>
      <w:jc w:val="center"/>
      <w:textAlignment w:val="auto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customStyle="1" w:styleId="HyperlinkSSB">
    <w:name w:val="Hyperlink_SSB"/>
    <w:basedOn w:val="Normal"/>
    <w:pPr>
      <w:keepNext/>
      <w:keepLines/>
      <w:tabs>
        <w:tab w:val="left" w:pos="426"/>
        <w:tab w:val="left" w:pos="851"/>
        <w:tab w:val="left" w:leader="dot" w:pos="7088"/>
      </w:tabs>
    </w:pPr>
    <w:rPr>
      <w:b/>
      <w:bCs/>
      <w:u w:val="single"/>
    </w:rPr>
  </w:style>
  <w:style w:type="paragraph" w:styleId="BodyText">
    <w:name w:val="Body Text"/>
    <w:basedOn w:val="Normal"/>
    <w:pPr>
      <w:jc w:val="center"/>
    </w:pPr>
    <w:rPr>
      <w:i/>
    </w:rPr>
  </w:style>
  <w:style w:type="paragraph" w:customStyle="1" w:styleId="AufzPunkt">
    <w:name w:val="AufzPunkt"/>
    <w:basedOn w:val="Normal"/>
    <w:pPr>
      <w:numPr>
        <w:numId w:val="11"/>
      </w:numPr>
      <w:spacing w:after="120"/>
      <w:ind w:left="568" w:hanging="284"/>
    </w:pPr>
  </w:style>
  <w:style w:type="paragraph" w:customStyle="1" w:styleId="Hinweistext">
    <w:name w:val="Hinweistext"/>
    <w:basedOn w:val="Normal"/>
    <w:pPr>
      <w:tabs>
        <w:tab w:val="left" w:pos="992"/>
      </w:tabs>
      <w:suppressAutoHyphens/>
      <w:ind w:left="992" w:hanging="992"/>
    </w:pPr>
    <w:rPr>
      <w:color w:val="0000FF"/>
      <w:sz w:val="18"/>
    </w:rPr>
  </w:style>
  <w:style w:type="paragraph" w:customStyle="1" w:styleId="AufzDokumente">
    <w:name w:val="AufzDokumente"/>
    <w:basedOn w:val="Normal"/>
    <w:autoRedefine/>
    <w:rsid w:val="00DF32B7"/>
    <w:pPr>
      <w:numPr>
        <w:numId w:val="13"/>
      </w:numPr>
      <w:tabs>
        <w:tab w:val="clear" w:pos="720"/>
      </w:tabs>
      <w:spacing w:after="120"/>
      <w:ind w:left="426" w:hanging="426"/>
      <w:jc w:val="left"/>
    </w:pPr>
    <w:rPr>
      <w:color w:val="000000" w:themeColor="text1"/>
    </w:rPr>
  </w:style>
  <w:style w:type="paragraph" w:customStyle="1" w:styleId="AufzSonstDoku">
    <w:name w:val="AufzSonstDoku"/>
    <w:basedOn w:val="Normal"/>
    <w:pPr>
      <w:numPr>
        <w:numId w:val="10"/>
      </w:numPr>
      <w:tabs>
        <w:tab w:val="clear" w:pos="720"/>
        <w:tab w:val="num" w:pos="284"/>
      </w:tabs>
      <w:spacing w:after="120"/>
      <w:ind w:left="284" w:hanging="284"/>
    </w:p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60C3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ifizierungNr">
    <w:name w:val="Notifizierung_Nr"/>
    <w:basedOn w:val="Fuzeile3"/>
    <w:rsid w:val="001778D0"/>
    <w:rPr>
      <w:b w:val="0"/>
      <w:bCs w:val="0"/>
      <w:vanish/>
    </w:rPr>
  </w:style>
  <w:style w:type="paragraph" w:styleId="BalloonText">
    <w:name w:val="Balloon Text"/>
    <w:basedOn w:val="Normal"/>
    <w:semiHidden/>
    <w:rsid w:val="001C54E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06B7E"/>
    <w:pPr>
      <w:ind w:left="142" w:hanging="142"/>
    </w:pPr>
    <w:rPr>
      <w:sz w:val="16"/>
    </w:rPr>
  </w:style>
  <w:style w:type="character" w:styleId="FootnoteReference">
    <w:name w:val="footnote reference"/>
    <w:semiHidden/>
    <w:rsid w:val="00206B7E"/>
    <w:rPr>
      <w:rFonts w:ascii="Tahoma" w:hAnsi="Tahoma"/>
      <w:sz w:val="18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F4A2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EastAsia" w:hAnsi="Times New Roman"/>
      <w:sz w:val="24"/>
      <w:szCs w:val="24"/>
    </w:rPr>
  </w:style>
  <w:style w:type="paragraph" w:styleId="Revision">
    <w:name w:val="Revision"/>
    <w:hidden/>
    <w:uiPriority w:val="99"/>
    <w:semiHidden/>
    <w:rsid w:val="00C92C9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sp-portal.intranet.intern.adns/orge/421/Documents/Dokumentvorlagen/www.bundesnetzagentur.de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sb@bnetza.de?subject=Interf&#233;szle&#237;r&#225;s..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E868F0985F24DA2F60A801C8ECF25" ma:contentTypeVersion="1" ma:contentTypeDescription="Ein neues Dokument erstellen." ma:contentTypeScope="" ma:versionID="78bdecbeea2ab5a124998467e97a69c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c6e23c278689328c8d8f644e9394df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internalName="PublishingStartDate">
      <xsd:simpleType>
        <xsd:restriction base="dms:Unknown"/>
      </xsd:simpleType>
    </xsd:element>
    <xsd:element name="PublishingExpirationDate" ma:index="9" nillable="true" ma:displayName="Geplantes End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Kurzbezeichnung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DCF1B0-C7EA-46D0-A9F1-7FF6F1AD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545A0BF-98F4-4838-9191-7CA318D50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8E1C1-69D4-4175-B92A-BAC015E1A9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992</Words>
  <Characters>7315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SSB FE-OE 058</vt:lpstr>
    </vt:vector>
  </TitlesOfParts>
  <Manager>Oliver Gecke</Manager>
  <Company>Bundesnetzagentur</Company>
  <LinksUpToDate>false</LinksUpToDate>
  <CharactersWithSpaces>8291</CharactersWithSpaces>
  <SharedDoc>false</SharedDoc>
  <HLinks>
    <vt:vector size="12" baseType="variant">
      <vt:variant>
        <vt:i4>2424942</vt:i4>
      </vt:variant>
      <vt:variant>
        <vt:i4>3</vt:i4>
      </vt:variant>
      <vt:variant>
        <vt:i4>0</vt:i4>
      </vt:variant>
      <vt:variant>
        <vt:i4>5</vt:i4>
      </vt:variant>
      <vt:variant>
        <vt:lpwstr>http://sp-portal.intranet.intern.adns/orge/421/Documents/Dokumentvorlagen/www.bundesnetzagentur.de</vt:lpwstr>
      </vt:variant>
      <vt:variant>
        <vt:lpwstr/>
      </vt:variant>
      <vt:variant>
        <vt:i4>1966135</vt:i4>
      </vt:variant>
      <vt:variant>
        <vt:i4>0</vt:i4>
      </vt:variant>
      <vt:variant>
        <vt:i4>0</vt:i4>
      </vt:variant>
      <vt:variant>
        <vt:i4>5</vt:i4>
      </vt:variant>
      <vt:variant>
        <vt:lpwstr>mailto:ssb@bnetza.de?subject=Schnitstellenbeschreibung%20...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SSB FE-OE 058</dc:title>
  <dc:subject>Schnittstellenbeschreibung für Richtfunkanlagen im 6,2 GHz-Bereich (L6) (Punkt-zu-Punkt)</dc:subject>
  <dc:creator>Bundesnetzagentur</dc:creator>
  <cp:keywords/>
  <dc:description/>
  <cp:lastModifiedBy>Liana Brili</cp:lastModifiedBy>
  <cp:revision>7</cp:revision>
  <cp:lastPrinted>2020-01-16T11:50:00Z</cp:lastPrinted>
  <dcterms:created xsi:type="dcterms:W3CDTF">2022-02-02T08:40:00Z</dcterms:created>
  <dcterms:modified xsi:type="dcterms:W3CDTF">2022-06-23T08:39:00Z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>
    <vt:lpwstr>4</vt:lpwstr>
  </property>
  <property fmtid="{D5CDD505-2E9C-101B-9397-08002B2CF9AE}" pid="3" name="Bearbeiter">
    <vt:lpwstr>421-1b</vt:lpwstr>
  </property>
  <property fmtid="{D5CDD505-2E9C-101B-9397-08002B2CF9AE}" pid="4" name="Erstellt von">
    <vt:lpwstr>421-1b</vt:lpwstr>
  </property>
  <property fmtid="{D5CDD505-2E9C-101B-9397-08002B2CF9AE}" pid="5" name="Herausgeber">
    <vt:lpwstr>421-1b</vt:lpwstr>
  </property>
  <property fmtid="{D5CDD505-2E9C-101B-9397-08002B2CF9AE}" pid="6" name="Status">
    <vt:lpwstr>Release</vt:lpwstr>
  </property>
  <property fmtid="{D5CDD505-2E9C-101B-9397-08002B2CF9AE}" pid="7" name="Version">
    <vt:lpwstr>3.0.18.0208</vt:lpwstr>
  </property>
  <property fmtid="{D5CDD505-2E9C-101B-9397-08002B2CF9AE}" pid="8" name="Ausgabedatum">
    <vt:filetime>2011-01-20T23:00:00Z</vt:filetime>
  </property>
  <property fmtid="{D5CDD505-2E9C-101B-9397-08002B2CF9AE}" pid="9" name="ContentTypeId">
    <vt:lpwstr>0x01010010EE868F0985F24DA2F60A801C8ECF25</vt:lpwstr>
  </property>
</Properties>
</file>