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BC8E4" w14:textId="77777777" w:rsidR="00FF1A38" w:rsidRPr="00FF1A38" w:rsidRDefault="00FF1A38" w:rsidP="00FF1A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Digriet tal-20 ta’ Novembru 2021 dwar il-protezzjoni tan-naħal u ta’ insetti oħra li jdakkru u dwar il-preservazzjoni tas-servizzi tad-dakkir meta jintużaw prodotti għall-protezzjoni tal-pjanti</w:t>
      </w:r>
    </w:p>
    <w:p w14:paraId="6496B0C9" w14:textId="77777777" w:rsidR="00FF1A38" w:rsidRPr="00FF1A38" w:rsidRDefault="00FF1A38" w:rsidP="00FF1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NOR: AGRG2134356A</w:t>
      </w:r>
      <w:r>
        <w:rPr>
          <w:rFonts w:ascii="Times New Roman" w:hAnsi="Times New Roman"/>
          <w:sz w:val="24"/>
        </w:rPr>
        <w:br/>
        <w:t>ELI: https://www.legifrance.gouv.fr/eli/arrete/2021/11/20/AGRG2134356A/jo/texte</w:t>
      </w:r>
      <w:r>
        <w:rPr>
          <w:rFonts w:ascii="Times New Roman" w:hAnsi="Times New Roman"/>
          <w:sz w:val="24"/>
        </w:rPr>
        <w:br/>
        <w:t>JORF Nru 0271 tal-21 ta’ Novembru 2021</w:t>
      </w:r>
      <w:r>
        <w:rPr>
          <w:rFonts w:ascii="Times New Roman" w:hAnsi="Times New Roman"/>
          <w:sz w:val="24"/>
        </w:rPr>
        <w:br/>
        <w:t>Test Nru 17</w:t>
      </w:r>
    </w:p>
    <w:p w14:paraId="040906AF" w14:textId="77777777" w:rsidR="00FF1A38" w:rsidRPr="00FF1A38" w:rsidRDefault="00FF1A38" w:rsidP="00FF1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Titolu I: QAFAS GĦALL-AWTORIZZAZZJONI TA’ PRODOTTI GĦALL-PROTEZZJONI TAL-PJANTI MATUL IL-PERJODI TAL-FJORITURA (Artikolu 2)</w:t>
      </w:r>
    </w:p>
    <w:p w14:paraId="69521E1F" w14:textId="77777777" w:rsidR="00FF1A38" w:rsidRPr="00FF1A38" w:rsidRDefault="00FF1A38" w:rsidP="00FF1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Titolu II: SUPERVIŻJONI TAL-UŻU TA’ PRODOTTI GĦALL-PROTEZZJONI TAL-PJANTI MATUL IL-PERJODI TAL-FJORITURA (Artikolu 3 sa 7)</w:t>
      </w:r>
    </w:p>
    <w:p w14:paraId="0E5A6E18" w14:textId="77777777" w:rsidR="00FF1A38" w:rsidRPr="00FF1A38" w:rsidRDefault="00FF1A38" w:rsidP="00FF1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Titolu III: DISPOŻIZZJONIJIET TRANŻITORJI (Artikoli 8 sa 11)</w:t>
      </w:r>
    </w:p>
    <w:p w14:paraId="3E3E5899" w14:textId="77777777" w:rsidR="00FF1A38" w:rsidRPr="00FF1A38" w:rsidRDefault="00FF1A38" w:rsidP="00FF1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Anness</w:t>
      </w:r>
    </w:p>
    <w:p w14:paraId="78D9C32A" w14:textId="22149B94" w:rsidR="00FF1A38" w:rsidRPr="00FF1A38" w:rsidRDefault="00FF1A38" w:rsidP="00FF1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Udjenzi fil-mira: L-applikanti u d-detenturi tal-awtorizzazzjoni tas-suq, l-utenti tal-prodotti għall-protezzjoni tal-pjanti, il-benefiċjarji tas-servizzi tad-dakkir. </w:t>
      </w:r>
      <w:r>
        <w:rPr>
          <w:rFonts w:ascii="Times New Roman" w:hAnsi="Times New Roman"/>
          <w:sz w:val="24"/>
        </w:rPr>
        <w:br/>
        <w:t xml:space="preserve">Suġġett: Dan id-Digriet jistabbilixxi miżuri għall-protezzjoni tal-insetti li jdakkru u s-servizzi agrikoli u tal-ekosistema mogħtija mir-riskji assoċjati mal-użu ta’ prodotti għall-protezzjoni tal-pjanti. </w:t>
      </w:r>
      <w:r>
        <w:rPr>
          <w:rFonts w:ascii="Times New Roman" w:hAnsi="Times New Roman"/>
          <w:sz w:val="24"/>
        </w:rPr>
        <w:br/>
        <w:t>Dħul fis-seħħ : Dan id-Digriet jidħol fis-seħħ fl-1 ta’ Jannar 2022.</w:t>
      </w:r>
      <w:r>
        <w:rPr>
          <w:rFonts w:ascii="Times New Roman" w:hAnsi="Times New Roman"/>
          <w:sz w:val="24"/>
        </w:rPr>
        <w:br/>
        <w:t xml:space="preserve">Notifika: Id-digriet jestendi għall-prodotti kollha għall-protezzjoni tal-pjanti l-prinċipju tal-evalwazzjoni tal-possibbiltà tal-użu ta’ prodott għall-protezzjoni tal-pjanti matul il-perjodu tal-fjoritura fuq għelejjel attraenti għad-dakkara u għaż-żoni tal-għalf fir-rigward tar-riskju għad-dakkara. Jekk il-prodott ikun awtorizzat mill-Anses għall-użu fil-fjoritura, it-trattament għandu, ħlief f’każijiet speċjali, jitwettaq fi żmien sagħtejn qabel inżul ix-xemx u fi żmien 3 sigħat wara nżul ix-xemx. Id-Digriet jipprevedi miżuri tranżitorji u skeda ta’ żmien għall-implimentazzjoni ta’ dawn id-dispożizzjonijiet il-ġodda. </w:t>
      </w:r>
      <w:r>
        <w:rPr>
          <w:rFonts w:ascii="Times New Roman" w:hAnsi="Times New Roman"/>
          <w:sz w:val="24"/>
        </w:rPr>
        <w:br/>
        <w:t xml:space="preserve">Referenzi: dan id-Digriet jinħareġ skont l-Artikolu L. 253-7 tal-Kodiċi Rurali u tas-Sajd Marittimu. Dan huwa disponibbli fuq is-sit web ta’ Légifrance fuq: https://www.legifrance.gouv.fr/. </w:t>
      </w:r>
    </w:p>
    <w:p w14:paraId="55211D70" w14:textId="77777777" w:rsidR="00FF1A38" w:rsidRPr="00FF1A38" w:rsidRDefault="00FF1A38" w:rsidP="00FF1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Il-Ministru għat-Tranżizzjoni Ekoloġika, il-Ministru tal-Ekonomija, il-Finanzi u l-Irkupru, il-Ministru għas-Solidarjetà u s-Saħħa u l-Ministru tal-Agrikoltura u l-Ikel,</w:t>
      </w:r>
      <w:r>
        <w:rPr>
          <w:rFonts w:ascii="Times New Roman" w:hAnsi="Times New Roman"/>
          <w:sz w:val="24"/>
        </w:rPr>
        <w:br/>
        <w:t>Wara li kkunsidraw ir-Regolament (KE) Nru 1107/2009 tal-Parlament Ewropew u tal-Kunsill tal-21 ta’ Ottubru 2009, kif emendat, dwar it-tqegħid fis-suq ta’ prodotti għall-protezzjoni tal-pjanti u li jħassar id-Direttivi tal-Kunsill 79/117/KEE u 91/414/KEE;</w:t>
      </w:r>
      <w:r>
        <w:rPr>
          <w:rFonts w:ascii="Times New Roman" w:hAnsi="Times New Roman"/>
          <w:sz w:val="24"/>
        </w:rPr>
        <w:br/>
        <w:t>Wara li kkunsidraw ir-Regolament tal-Kummissjoni (UE) Nru 547/2011 tat-8 ta’ Ġunju 2011 li jimplimenta r-Regolament (KE) Nru 1107/2009 tal-Parlament Ewropew u tal-Kunsill fir-rigward tar-rekwiżiti ta’ tikkettjar tal-prodotti għall-protezzjoni tal-pjanti;</w:t>
      </w:r>
      <w:r>
        <w:rPr>
          <w:rFonts w:ascii="Times New Roman" w:hAnsi="Times New Roman"/>
          <w:sz w:val="24"/>
        </w:rPr>
        <w:br/>
        <w:t>Wara li kkunsidraw id-Direttiva (UE) 2015/1535 tal-Parlament Ewropew u tal-Kunsill tad-9 ta’ Settembru 2015 li tistabbilixxi proċedura għall-għoti ta' informazzjoni fil-qasam tar-regolamenti tekniċi u tar-regoli dwar is-servizzi tas-Soċjetà tal-Informatika;</w:t>
      </w:r>
      <w:r>
        <w:rPr>
          <w:rFonts w:ascii="Times New Roman" w:hAnsi="Times New Roman"/>
          <w:sz w:val="24"/>
        </w:rPr>
        <w:br/>
        <w:t>Wara li kkunsidraw il-Kodiċi Rurali u tas-Sajd Marittimu, b’mod partikolari l-Artikoli L. 201-</w:t>
      </w:r>
      <w:r>
        <w:rPr>
          <w:rFonts w:ascii="Times New Roman" w:hAnsi="Times New Roman"/>
          <w:sz w:val="24"/>
        </w:rPr>
        <w:lastRenderedPageBreak/>
        <w:t>4, L. 251-3, L. 253-1, L. 253-7, D. 253-8, R. 253-43 u R. 253-45;</w:t>
      </w:r>
      <w:r>
        <w:rPr>
          <w:rFonts w:ascii="Times New Roman" w:hAnsi="Times New Roman"/>
          <w:sz w:val="24"/>
        </w:rPr>
        <w:br/>
        <w:t>Wara li kkunsidraw id-Digriet tas-16 ta’ Ġunju 2009 dwar il-kundizzjonijiet li taħthom l-operaturi msemmija fl-Artikolu L. 257-1 iżommu r-reġistru msemmi fl-Artikolu L. 257-3 tal-Kodiċi Rurali;</w:t>
      </w:r>
      <w:r>
        <w:rPr>
          <w:rFonts w:ascii="Times New Roman" w:hAnsi="Times New Roman"/>
          <w:sz w:val="24"/>
        </w:rPr>
        <w:br/>
        <w:t>Wara li kkunsidraw in-notifika Nru 2021/448/F;</w:t>
      </w:r>
      <w:r>
        <w:rPr>
          <w:rFonts w:ascii="Times New Roman" w:hAnsi="Times New Roman"/>
          <w:sz w:val="24"/>
        </w:rPr>
        <w:br/>
        <w:t>Wara li kkunsidraw l-osservazzjonijiet li saru matul il-konsultazzjoni pubblika li saret bejn it-28 ta’ Ġunju 2021 u l-20 ta’ Lulju 2021, skont l-Artikolu L. 123-19-1 tal-Kodiċi Ambjentali,</w:t>
      </w:r>
      <w:r>
        <w:rPr>
          <w:rFonts w:ascii="Times New Roman" w:hAnsi="Times New Roman"/>
          <w:sz w:val="24"/>
        </w:rPr>
        <w:br/>
        <w:t>Jordnaw kif ġej:</w:t>
      </w:r>
    </w:p>
    <w:p w14:paraId="72734333" w14:textId="77777777" w:rsidR="00FF1A38" w:rsidRPr="00FF1A38" w:rsidRDefault="00FF1A38" w:rsidP="00FF1A38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 1</w:t>
      </w:r>
    </w:p>
    <w:p w14:paraId="4AE602D9" w14:textId="77777777" w:rsidR="00FF1A38" w:rsidRPr="00FF1A38" w:rsidRDefault="00FF1A38" w:rsidP="00FF1A38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Għall-finijiet ta’ dan id-Digriet, għandhom japplikaw id-definizzjonijiet li ġejjin:</w:t>
      </w:r>
      <w:r>
        <w:rPr>
          <w:rFonts w:ascii="Times New Roman" w:hAnsi="Times New Roman"/>
          <w:sz w:val="24"/>
        </w:rPr>
        <w:br/>
        <w:t>“Naħal”: Naħal domestiku, naħal selvaġġ u naħal bagħli;</w:t>
      </w:r>
      <w:r>
        <w:rPr>
          <w:rFonts w:ascii="Times New Roman" w:hAnsi="Times New Roman"/>
          <w:sz w:val="24"/>
        </w:rPr>
        <w:br/>
        <w:t>“Inżul ix-xemx”: Il-ħin definit mill-effemerisi tal-post l-eqreb għall-impjantazzjoni tas-sit tat-trattament;</w:t>
      </w:r>
      <w:r>
        <w:rPr>
          <w:rFonts w:ascii="Times New Roman" w:hAnsi="Times New Roman"/>
          <w:sz w:val="24"/>
        </w:rPr>
        <w:br/>
        <w:t>“Kultura attraenti”: Għalla attraenti hija għalla li, min-natura tagħha stess, hija attraenti għan-naħal jew insetti oħra li jdakkru. L-għelejjel elenkati fil-Bulettin Uffiċjali tal-Ministeru tal-Agrikoltura ma għandhomx jitqiesu attraenti skont it-tifsira ta’ dan id-Digriet;</w:t>
      </w:r>
      <w:r>
        <w:rPr>
          <w:rFonts w:ascii="Times New Roman" w:hAnsi="Times New Roman"/>
          <w:sz w:val="24"/>
        </w:rPr>
        <w:br/>
        <w:t>“Data ta’ skadenza”: Il-qtar tal-għasel, it-tnixxijiet ħelwin prodotti mill-pjanti u n-nektar extraflorali tal-pjanti, li jinħasdu min-naħal jew minn insetti oħra li jdakkru;</w:t>
      </w:r>
      <w:r>
        <w:rPr>
          <w:rFonts w:ascii="Times New Roman" w:hAnsi="Times New Roman"/>
          <w:sz w:val="24"/>
        </w:rPr>
        <w:br/>
        <w:t>“Fjoritura”: Perjodu veġetattiv li jestendi mill-ftuħ tal-ewwel fjuri sal-waqgħa tal-petali tal-aħħar fjuri;</w:t>
      </w:r>
      <w:r>
        <w:rPr>
          <w:rFonts w:ascii="Times New Roman" w:hAnsi="Times New Roman"/>
          <w:sz w:val="24"/>
        </w:rPr>
        <w:br/>
        <w:t>“Prodotti”: Il-prodotti għall-protezzjoni tal-pjanti, bl-eċċezzjoni tal-prodotti tat-traqqiq, u l-aġġuvanti tagħhom imsemmija fl-Artikolu L.253-1 tal-Kodiċi Rurali u tas-Sajd Marittimu;</w:t>
      </w:r>
      <w:r>
        <w:rPr>
          <w:rFonts w:ascii="Times New Roman" w:hAnsi="Times New Roman"/>
          <w:sz w:val="24"/>
        </w:rPr>
        <w:br/>
        <w:t>“Reġistru”: Reġistru dwar l-użu ta’ prodotti għall-protezzjoni tal-pjanti kif previst fid-Digriet tas-16 ta’ Ġunju 2009 dwar il-kundizzjonijiet li taħthom l-operaturi msemmija fl-Artikolu L. 257-1 tal-Kodiċi Rurali u tas-Sajd Marittimu jżommu r-reġistru msemmi fl-Artikolu 67 tar-Regolament (KE) Nru 1107/2009 tal-21 ta’ Ottubru 2009 dwar it-tqegħid fis-suq ta’ prodotti għall-protezzjoni tal-pjanti;</w:t>
      </w:r>
      <w:r>
        <w:rPr>
          <w:rFonts w:ascii="Times New Roman" w:hAnsi="Times New Roman"/>
          <w:sz w:val="24"/>
        </w:rPr>
        <w:br/>
        <w:t>“Użu” tfisser: L-użu ta’ prodott għall-protezzjoni tal-pjanti jew aġġuvant fuq pjanta, prodott mill-pjanti jew familja ta’ pjanti, sabiex jiġi kkontrollat pest, grupp ta’ pesti, marda jew grupp ta’ mard, f’konformità ma’ funzjoni definita sew u regoli dettaljati ta’ applikazzjoni, kif elenkati fil-katalgu msemmi fl-Artikolu D.253-8 tal-Artikolu D.253-8 tal-Kodiċi Rurali u tas-Sajd Marittimu;</w:t>
      </w:r>
      <w:r>
        <w:rPr>
          <w:rFonts w:ascii="Times New Roman" w:hAnsi="Times New Roman"/>
          <w:sz w:val="24"/>
        </w:rPr>
        <w:br/>
        <w:t>“Użu tal-Prodott”: Kwalunkwe applikazzjoni ta’ prodott għall-protezzjoni tal-pjanti jew aġġuvant għal ċiklu veġetattiv skont użu awtorizzat, irrispettivament mill-metodu ta’ applikazzjoni u l-parti tal-pjanta li tkun qed tiġi ttrattata, bl-eċċezzjoni ta’ applikazzjonijiet kif definiti fl-Anness 1 li jeskludu l-esponiment tad-dakkara matul il-fjoritura;</w:t>
      </w:r>
      <w:r>
        <w:rPr>
          <w:rFonts w:ascii="Times New Roman" w:hAnsi="Times New Roman"/>
          <w:sz w:val="24"/>
        </w:rPr>
        <w:br/>
        <w:t>“Żona tal-foraġġ”: Minbarra l-għelejjel fil-produzzjoni, żona tal-foraġġ hija żona agrikola jew mhux agrikola okkupata minn grupp ta’ pjanti kkultivati jew spontanji, li hija ta’ interess ovvju għan-naħal jew insetti oħra li jdakkru minħabba l-preżenza ta’ fjuri jew effużjonijiet. Għall-finijiet ta’ dan id-Digriet, l-użi tal-prodotti fiż-żoni tal-għalf huma dawk maħsuba biex jittrattaw b’mod speċifiku dawk iż-żoni, irrispettivament mill-użu fuq l-għelejjel fil-produzzjoni.</w:t>
      </w:r>
    </w:p>
    <w:p w14:paraId="75081A77" w14:textId="77777777" w:rsidR="00FF1A38" w:rsidRPr="00FF1A38" w:rsidRDefault="00FF1A38" w:rsidP="00FF1A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</w:rPr>
        <w:lastRenderedPageBreak/>
        <w:t>Titolu I: QAFAS GĦALL-AWTORIZZAZZJONI TA’ PRODOTTI GĦALL-PROTEZZJONI TAL-PJANTI MATUL IL-PERJODI TAL-FJORITURA (Artikolu 2)</w:t>
      </w:r>
    </w:p>
    <w:p w14:paraId="52EC4D0D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 2</w:t>
      </w:r>
    </w:p>
    <w:p w14:paraId="4E54D572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Meta tinħareġ jew tiġġedded l-awtorizzazzjoni msemmija fl-Artikolu L. 253-1 tal-Kodiċi Rurali u tas-Sajd Marittimu, l-Anses għandha tivvaluta r-riskji assoċjati mal-użu tal-prodott fuq għelejjel attraenti matul il-fjoritura.</w:t>
      </w:r>
      <w:r>
        <w:rPr>
          <w:rFonts w:ascii="Times New Roman" w:hAnsi="Times New Roman"/>
          <w:sz w:val="24"/>
        </w:rPr>
        <w:br/>
        <w:t>Għal dan il-għan, l-applikant għandu jehmeż mal-fajl tiegħu t-testijiet u l-valutazzjonijiet tar-riskju meħtieġa mir-regolamenti fis-seħħ u l-informazzjoni meħtieġa biex l-Anses jiddeċiedu dwar il-valutazzjoni msemmija fl-ewwel subparagrafu.</w:t>
      </w:r>
      <w:r>
        <w:rPr>
          <w:rFonts w:ascii="Times New Roman" w:hAnsi="Times New Roman"/>
          <w:sz w:val="24"/>
        </w:rPr>
        <w:br/>
        <w:t>Jekk il-valutazzjoni tar-riskju mwettqa mill-Anses tikkonkludi li l-użu jirriżulta f’esponiment negliġibbli tan-naħal jew ma jikkawżax effett inaċċettabbli, akut jew kroniku fuq in-naħal jew effetti fuq is-sopravivenza u l-iżvilupp tal-kolonja, l-użu tal-prodott jista’ jkun permess fuq l-għelejjel attraenti korrispondenti meta jkunu qed jiffjorixxu u fuq iż-żoni tal-foraġġ. Dan l-użu għandu jkun soġġett għall-konformità mal-miżuri stabbiliti fl-Artikolu 3.</w:t>
      </w:r>
      <w:r>
        <w:rPr>
          <w:rFonts w:ascii="Times New Roman" w:hAnsi="Times New Roman"/>
          <w:sz w:val="24"/>
        </w:rPr>
        <w:br/>
        <w:t>Inkella, l-użu tal-prodott huwa pprojbit fuq l-għelejjel attraenti korrispondenti meta jkunu qed jiffjorixxu u fiż-żoni tal-foraġġ.</w:t>
      </w:r>
    </w:p>
    <w:p w14:paraId="278D5B92" w14:textId="77777777" w:rsidR="00FF1A38" w:rsidRPr="00FF1A38" w:rsidRDefault="00FF1A38" w:rsidP="00FF1A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</w:rPr>
        <w:t>Titolu II: SUPERVIŻJONI TAL-UŻU TA’ PRODOTTI GĦALL-PROTEZZJONI TAL-PJANTI MATUL IL-PERJODI TAL-FJORITURA (Artikolu 3 sa 7)</w:t>
      </w:r>
    </w:p>
    <w:p w14:paraId="74FEABC1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 3</w:t>
      </w:r>
    </w:p>
    <w:p w14:paraId="69100266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Prodott awtorizzat skont l-Artikolu 2 għandu jintuża fuq għalla attraenti matul il-fjoritura jew f’żona tal-foraġġ fi żmien sagħtejn qabel inżul ix-xemx u fi żmien 3 sigħat wara nżul ix-xemx.</w:t>
      </w:r>
      <w:r>
        <w:rPr>
          <w:rFonts w:ascii="Times New Roman" w:hAnsi="Times New Roman"/>
          <w:sz w:val="24"/>
        </w:rPr>
        <w:br/>
        <w:t>Dan il-perjodu jista’ jiġi aġġustat jew abolit f’konformità mal-proċeduri li jipprovdu garanziji ekwivalenti għall-esponiment tan-naħal u ta’ dakkara oħra. Dawn il-proċeduri se jiġu stabbiliti fl-Anness wara l-opinjoni tal-Anses, b’mod partioklari bl-għan li jkunu permessi t-trattamenti filgħodu jew taħt limitu tat-temperatura.</w:t>
      </w:r>
      <w:r>
        <w:rPr>
          <w:rFonts w:ascii="Times New Roman" w:hAnsi="Times New Roman"/>
          <w:sz w:val="24"/>
        </w:rPr>
        <w:br/>
        <w:t>B’deroga mill-ewwel paragrafu, l-esperimentazzjoni bl-użu ta’ prodotti għall-protezzjoni tal-pjanti lil hinn mill-iskeda taż-żmien imsemmija titwettaq sabiex jiġu identifikati l-għodod ta’ appoġġ għad-deċiżjonijiet jew teknoloġiji oħra li l-użu tagħhom jipprovdi garanziji ekwivalenti f’termini ta’ esponiment tan-naħal u dakkara oħra . Dan l-esperiment b’tul massimu ta’ tliet snin, li huwa s-suġġett ta’ evalwazzjoni minn Anses, jitwettaq skont il-kundizzjonijiet u l-modalitajiet definiti mid-digriet konġunt tal-Ministri responsabbli għall-Ambjent u l-Agrikoltura.</w:t>
      </w:r>
    </w:p>
    <w:p w14:paraId="2638E37D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 4</w:t>
      </w:r>
    </w:p>
    <w:p w14:paraId="6F7C037B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Meta kopertura ta’ pjanta preżenti taħt għalla perenni tikkostitwixxi żona tal-foraġġ, </w:t>
      </w:r>
      <w:r>
        <w:rPr>
          <w:rFonts w:ascii="Times New Roman" w:hAnsi="Times New Roman"/>
          <w:sz w:val="24"/>
        </w:rPr>
        <w:lastRenderedPageBreak/>
        <w:t>din ma għandhiex tkun attraenti għad-dakkara qabel kwalunkwe trattament ta’ insettiċida jew akariċida.</w:t>
      </w:r>
    </w:p>
    <w:p w14:paraId="039E740F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 5</w:t>
      </w:r>
    </w:p>
    <w:p w14:paraId="70D705FD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Il-perjodu ta’ applikazzjoni previst fl-Artikolu 3 jista’ jiġi emendat fil-każijiet li ġejjin:</w:t>
      </w:r>
    </w:p>
    <w:p w14:paraId="040DB100" w14:textId="7A7F82D5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305C99" w:rsidRPr="00305C99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jekk, minħabba l-attività esklussivament ta’ matul il-jum tal-bijoaggressuri, it-trattament imwettaq matul il-perjodu definit fl-Artikolu 3 ma jiżgurax protezzjoni effettiva tal-kultura ttrattata;</w:t>
      </w:r>
      <w:r>
        <w:rPr>
          <w:rFonts w:ascii="Times New Roman" w:hAnsi="Times New Roman"/>
          <w:sz w:val="24"/>
        </w:rPr>
        <w:br/>
        <w:t>- jekk, fid-dawl tal-iżvilupp ta’ marda, l-effettività ta’ trattament fungiċida tkun ikkundizzjonata bit-tlestija tiegħu f’perjodu ristrett li ma jkunx kompatibbli mal-perjodu stabbilit fl-Artikolu 3.</w:t>
      </w:r>
    </w:p>
    <w:p w14:paraId="1C4C0AAB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Fiż-żewġ każijiet, l-applikazzjoni tista’ titwettaq mingħajr restrizzjonijiet ta’ żmien.</w:t>
      </w:r>
      <w:r>
        <w:rPr>
          <w:rFonts w:ascii="Times New Roman" w:hAnsi="Times New Roman"/>
          <w:sz w:val="24"/>
        </w:rPr>
        <w:br/>
        <w:t>Fuq bażi temporanja, għal perjodu ta’ tmien xhur mid-data tal-pubblikazzjoni ta’ dan id-Digriet, l-applikazzjoni tista’ ssir ukoll mingħajr restrizzjoni fis-siegħa sakemm it-temperatura tkun baxxa biżżejjed biex tiġi evitata l-preżenza tan-naħal.</w:t>
      </w:r>
      <w:r>
        <w:rPr>
          <w:rFonts w:ascii="Times New Roman" w:hAnsi="Times New Roman"/>
          <w:sz w:val="24"/>
        </w:rPr>
        <w:br/>
        <w:t>Il-ħin tal-bidu u l-ħin tat-tmiem tal-ipproċessar u r-raġuni għall-bidla fil-perjodu previst fl-Artikolu 3 għandhom jiġu rreġistrati fir-reġistru.</w:t>
      </w:r>
    </w:p>
    <w:p w14:paraId="2C420868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 6</w:t>
      </w:r>
    </w:p>
    <w:p w14:paraId="7C493FCA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Jistgħu jsiru derogi mill-projbizzjoni prevista fir-raba’ paragrafu tal-Artikolu 2 u mill-miżuri ta’ ġestjoni previsti fl-Artikolu 3 b’digriet maħruġ skont II tal-Artikolu L. 201-4 tal-Kodiċi Rurali u tas-Sajd Marittimu għall-korpi rregolati mill-Artikolu L. 251-3 tal-istess Kodiċi.</w:t>
      </w:r>
    </w:p>
    <w:p w14:paraId="21212990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 7</w:t>
      </w:r>
    </w:p>
    <w:p w14:paraId="1044327C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I. - It-tikkettar ta’ prodotti li għalihom ma huwa awtorizzat l-ebda użu fuq għalla li qed tiffjorixxi skont l-Artikolu 2 għandu jinkludi l-frażi “Perikoluż għan-naħal. Biex tipproteġi n-naħal u insetti oħra li jdakkru, tapplikax matul il-fjoritura u tużax f’żoni tal-foraġġ.</w:t>
      </w:r>
      <w:r>
        <w:rPr>
          <w:rFonts w:ascii="Times New Roman" w:hAnsi="Times New Roman"/>
          <w:sz w:val="24"/>
        </w:rPr>
        <w:br/>
        <w:t>II -. It-tikkettar ta’ prodotti li għalihom huwa awtorizzat tal-inqas użu wieħed fuq għalla li qed tiffjorixxi skont l-Artikolu 2, għandu jinkludi l-frażi “Jista’ jkun perikoluż għan-naħal. Applikazzjoni possibbli matul iż-żoni tal-fjuri u tal-forġa fi żmien 2 siegħat qabel it-tixmix jew 3 sigħat wara l-estinzjoni, għall-użu/i li ġej(jin): […] L-arranġamenti fis-siegħa jistgħu jiġu aġġustati f’konformità mad-Digriet tal-20 ta’ Novembru 2021 dwar il-protezzjoni tan-naħal u insetti oħra li jdakkru u l-preservazzjoni tas-servizzi tad-dakkir meta jintużaw prodotti għall-protezzjoni tal-pjanti.”</w:t>
      </w:r>
    </w:p>
    <w:p w14:paraId="2351893A" w14:textId="77777777" w:rsidR="00FF1A38" w:rsidRPr="00FF1A38" w:rsidRDefault="00FF1A38" w:rsidP="00FF1A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</w:rPr>
        <w:t>Titolu III: DISPOŻIZZJONIJIET TRANŻITORJI (Artikoli 8 sa 11)</w:t>
      </w:r>
    </w:p>
    <w:p w14:paraId="0A0A492B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>Artikolu 8</w:t>
      </w:r>
    </w:p>
    <w:p w14:paraId="47A5BAF5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I. Bħala miżura tranżitorja, l-insettiċidi u l-prodotti akariċidi li l-awtorizzazzjoni għat-tqegħid fis-suq tagħhom tinkludi, fid-data tad-dħul fis-seħħ ta’ dan id-Digriet, waħda mid-dettalji li ġejjin:</w:t>
      </w:r>
    </w:p>
    <w:p w14:paraId="3C0215A8" w14:textId="7897A300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“</w:t>
      </w:r>
      <w:r w:rsidR="00305C99" w:rsidRPr="00305C99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użu awtorizzat matul il-fjoritura, għajr fil-preżenza ta’ naħal”;</w:t>
      </w:r>
      <w:r>
        <w:rPr>
          <w:rFonts w:ascii="Times New Roman" w:hAnsi="Times New Roman"/>
          <w:sz w:val="24"/>
        </w:rPr>
        <w:br/>
        <w:t>“</w:t>
      </w:r>
      <w:r w:rsidR="00305C99" w:rsidRPr="00305C99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użu awtorizzat matul perjodi ta’ produzzjoni exudate, għajr fil-preżenza ta’ naħal”;</w:t>
      </w:r>
      <w:r>
        <w:rPr>
          <w:rFonts w:ascii="Times New Roman" w:hAnsi="Times New Roman"/>
          <w:sz w:val="24"/>
        </w:rPr>
        <w:br/>
        <w:t>“</w:t>
      </w:r>
      <w:r w:rsidR="00305C99">
        <w:rPr>
          <w:rFonts w:ascii="Times New Roman" w:hAnsi="Times New Roman"/>
          <w:sz w:val="24"/>
          <w:lang w:val="en-US"/>
        </w:rPr>
        <w:t>-</w:t>
      </w:r>
      <w:r>
        <w:rPr>
          <w:rFonts w:ascii="Times New Roman" w:hAnsi="Times New Roman"/>
          <w:sz w:val="24"/>
        </w:rPr>
        <w:t>użu awtorizzat matul il-fjuri, u matul perjodi ta’ produzzjoni ta’ effużjoni għajr fil-preżenza ta’ naħal”;</w:t>
      </w:r>
    </w:p>
    <w:p w14:paraId="3705A0E7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jistgħu jintużaw għall-użi kkonċernati fuq għelejjel attraenti matul il-fjoritura u fiż-żoni tal-foraġġ, skont il-kundizzjonijiet stabbiliti fl-Artikoli 3 sa 5, sakemm l-awtorizzazzjoni għat-tqegħid fis-suq tkun ġiet imġedda.</w:t>
      </w:r>
      <w:r>
        <w:rPr>
          <w:rFonts w:ascii="Times New Roman" w:hAnsi="Times New Roman"/>
          <w:sz w:val="24"/>
        </w:rPr>
        <w:br/>
        <w:t>II. - Bħala miżura tranżitorja, jekk il-preżentazzjoni tat-tiġdid tal-awtorizzazzjoni għat-tqegħid fis-suq ta’ prodott għajr l-insettiċidi u l-akariċidi sseħħ f’perjodu ta’ inqas minn 30 xahar wara d-dħul fis-seħħ ta’ dan id-Digriet, dak il-prodott jista’ jintuża fuq għelejjel attraenti matul il-fjoritura u fiż-żoni tal-foraġġ skont il-kundizzjonijiet stabbiliti fl-Artikoli 3 sa 5 sakemm l-Anses tkun iddeċidiet dwar il-valutazzjoni tar-riskju prevista fl-Artikolu 2, soġġett għall-elementi addizzjonali li jkunu ġew ippreżentati fi żmien 30 xahar mid-dħul fis-seħħ ta’ dan id-Digriet.</w:t>
      </w:r>
      <w:r>
        <w:rPr>
          <w:rFonts w:ascii="Times New Roman" w:hAnsi="Times New Roman"/>
          <w:sz w:val="24"/>
        </w:rPr>
        <w:br/>
        <w:t>III. Bħala miżura tranżitorja, jekk il-preżentazzjoni tat-tiġdid tal-awtorizzazzjoni għat-tqegħid fis-suq ta’ prodott għajr l-insettiċidi u l-akariċidi sseħħ f’perjodu ta’ aktar minn 30 xahar wara d-dħul fis-seħħ ta’ dan id-Digriet, dak il-prodott jista’ jintuża fuq għelejjel attraenti matul il-fjoritura u fiż-żoni tal-foraġġ skont il-kundizzjonijiet stabbiliti fl-Artikoli 3 sa 5 sakemm l-Anses tkun iddeċidiet dwar il-valutazzjoni tar-riskju prevista fl-Artikolu 2, dment li l-elementi addizzjonali jkunu ġew ippreżentati fi żmien 48 xahar mid-dħul fis-seħħ ta’ dan id-Digriet.</w:t>
      </w:r>
      <w:r>
        <w:rPr>
          <w:rFonts w:ascii="Times New Roman" w:hAnsi="Times New Roman"/>
          <w:sz w:val="24"/>
        </w:rPr>
        <w:br/>
        <w:t>IV. - Fin-nuqqas ta’ sottomissjoni ta’ informazzjoni addizzjonali fil-limiti ta’ żmien stabbiliti fi II u III ta’ dan l-Artikolu, l-użu fuq għelejjel attraenti matul il-fjoritura u fiż-żoni tal-foraġġ għandu jiġi pprojbit u t-tikketti tal-prodotti kkonċernati għandhom jiġu aġġornati skont il-paragrafu I tal-Artikolu 7.</w:t>
      </w:r>
      <w:r>
        <w:rPr>
          <w:rFonts w:ascii="Times New Roman" w:hAnsi="Times New Roman"/>
          <w:sz w:val="24"/>
        </w:rPr>
        <w:br/>
        <w:t>V. L-applikanti għandhom jinnotifikaw lil Anses, 18-il xahar qabel il-preżentazzjoni tal-elementi addizzjonali previsti fil-punti II u III ta’ dan l-Artikolu, bl-intenzjoni tagħhom li jissottomettu dawn l-elementi addizzjonali, filwaqt li jispeċifikaw l-użi kkonċernati.</w:t>
      </w:r>
      <w:r>
        <w:rPr>
          <w:rFonts w:ascii="Times New Roman" w:hAnsi="Times New Roman"/>
          <w:sz w:val="24"/>
        </w:rPr>
        <w:br/>
        <w:t>VI. Id-dispożizzjonijiet stabbiliti fil-paragrafi III sa V ma għandhomx japplikaw għal għelejjel li mhumiex meqjusa ta’ importanza kbira f’waħda miż-żoni tat-Tramuntana jew tan-Nofsinhar ta’ Franza permezz tal-katalgu tal-użi previst fl-Artikolu D. 253-8 tal-Kodiċi Rurali u tas-Sajd Marittimu. Għal dawn l-għelejjel, it-testijiet u l-valutazzjonijiet tar-riskju għad-dakkara meħtieġa mir-regolamenti fis-seħħ huma mitluba fiż-żmien tat-tiġdid tal-awtorizzazzjoni għat-tqegħid fis-suq u l-prodotti kkonċernati jistgħu jintużaw fuq għelejjel attraenti matul il-fjoritura u fiż-żoni tal-foraġġ skont il-kundizzjonijiet previsti fl-Artikoli 3 sa 5 sakemm l-Anses ikunu ddeċidew dwar il-valutazzjoni tar-riskju prevista fl-Artikolu 2.</w:t>
      </w:r>
      <w:r>
        <w:rPr>
          <w:rFonts w:ascii="Times New Roman" w:hAnsi="Times New Roman"/>
          <w:sz w:val="24"/>
        </w:rPr>
        <w:br/>
        <w:t>VII. Anses tippubblika u taġġorna regolarment il-lista tal-użi ta’ prodotti awtorizzati skont il-kundizzjonijiet stabbiliti fl-Artikolu 2.</w:t>
      </w:r>
    </w:p>
    <w:p w14:paraId="6DFA93B5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>Artikolu 9</w:t>
      </w:r>
    </w:p>
    <w:p w14:paraId="41018622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Id-Digriet tat-28 ta’ Novembru 2003 dwar il-kundizzjonijiet tal-użu ta’ insettiċidi u akariċidi agrikoli għall-protezzjoni tan-naħal u ta’ insetti oħra li jdakkru huwa mħassar.</w:t>
      </w:r>
    </w:p>
    <w:p w14:paraId="72839818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 10</w:t>
      </w:r>
    </w:p>
    <w:p w14:paraId="3D6ED771" w14:textId="405850D3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Din l-Ordni għandha tidħol fis-seħħ fl-1 ta’ Jannar 2022.</w:t>
      </w:r>
    </w:p>
    <w:p w14:paraId="604BD44E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 11</w:t>
      </w:r>
    </w:p>
    <w:p w14:paraId="581C8E66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Id-Direttur Ġenerali għall-Ikel, id-Direttur Ġenerali għall-Prevenzjoni tar-Riskju, id-Direttur Ġenerali għall-Kompetizzjoni, l-Affarijiet tal-Konsumatur u l-Kontroll tal-Frodi u d-Direttur Ġenerali għas-Saħħa għandhom, sa fejn huwa kkonċernat, ikunu responsabbli għall-implimentazzjoni ta’ dan id-Digriet, li se jiġi ppubblikat f’Il-Ġurnal Uffiċjali tar-Repubblika Franċiża.</w:t>
      </w:r>
    </w:p>
    <w:p w14:paraId="5A8FC5A1" w14:textId="77777777" w:rsidR="00FF1A38" w:rsidRPr="00FF1A38" w:rsidRDefault="00FF1A38" w:rsidP="00FF1A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</w:rPr>
        <w:t>Anness</w:t>
      </w:r>
    </w:p>
    <w:p w14:paraId="589DA4E0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</w:t>
      </w:r>
    </w:p>
    <w:p w14:paraId="32CB1B17" w14:textId="6385E57D" w:rsidR="00FF1A38" w:rsidRPr="00462526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aps/>
          <w:sz w:val="24"/>
        </w:rPr>
        <w:t>Anness 1 – Lista ta’ applikazzjonijiet li jeskludu l-esponiment tad-dakkara matul l-istaġun tal-fjoritura</w:t>
      </w:r>
    </w:p>
    <w:p w14:paraId="34DB028B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L-applikazzjonijiet li jsiru fuq l-għalla tas-serra u dawk protetti, peress li jsiru inaċċessibbli għad-dakkara matul il-fjoritura.</w:t>
      </w:r>
    </w:p>
    <w:p w14:paraId="50FD6962" w14:textId="77777777" w:rsidR="00FF1A38" w:rsidRPr="00FF1A38" w:rsidRDefault="00FF1A38" w:rsidP="00FF1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Magħmul fl-20 ta’ Novembru 2021.</w:t>
      </w:r>
    </w:p>
    <w:p w14:paraId="24C0BB1B" w14:textId="77777777" w:rsidR="00FF1A38" w:rsidRPr="00FF1A38" w:rsidRDefault="00FF1A38" w:rsidP="00FF1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Il-Ministru għall-Agrikoltura u l-Ikel,</w:t>
      </w:r>
      <w:r>
        <w:rPr>
          <w:rFonts w:ascii="Times New Roman" w:hAnsi="Times New Roman"/>
          <w:sz w:val="24"/>
        </w:rPr>
        <w:br/>
        <w:t>Għall-Ministru u b’delega:</w:t>
      </w:r>
      <w:r>
        <w:rPr>
          <w:rFonts w:ascii="Times New Roman" w:hAnsi="Times New Roman"/>
          <w:sz w:val="24"/>
        </w:rPr>
        <w:br/>
        <w:t>Id-Direttur Ġenerali għall-Ikel,</w:t>
      </w:r>
      <w:r>
        <w:rPr>
          <w:rFonts w:ascii="Times New Roman" w:hAnsi="Times New Roman"/>
          <w:sz w:val="24"/>
        </w:rPr>
        <w:br/>
        <w:t>B. Ferreira</w:t>
      </w:r>
    </w:p>
    <w:p w14:paraId="10D6C0DF" w14:textId="77777777" w:rsidR="00FF1A38" w:rsidRPr="00FF1A38" w:rsidRDefault="00FF1A38" w:rsidP="00FF1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Il-Ministru għat-Tranżizzjoni Ekoloġika,</w:t>
      </w:r>
      <w:r>
        <w:rPr>
          <w:rFonts w:ascii="Times New Roman" w:hAnsi="Times New Roman"/>
          <w:sz w:val="24"/>
        </w:rPr>
        <w:br/>
        <w:t>Għall-Ministru u b’delega:</w:t>
      </w:r>
      <w:r>
        <w:rPr>
          <w:rFonts w:ascii="Times New Roman" w:hAnsi="Times New Roman"/>
          <w:sz w:val="24"/>
        </w:rPr>
        <w:br/>
        <w:t>Id-Direttur Ġenerali għall-Prevenzjoni tar-Riskju,</w:t>
      </w:r>
      <w:r>
        <w:rPr>
          <w:rFonts w:ascii="Times New Roman" w:hAnsi="Times New Roman"/>
          <w:sz w:val="24"/>
        </w:rPr>
        <w:br/>
        <w:t>C. Bourillet</w:t>
      </w:r>
    </w:p>
    <w:p w14:paraId="19B1D81F" w14:textId="77777777" w:rsidR="00FF1A38" w:rsidRPr="00FF1A38" w:rsidRDefault="00FF1A38" w:rsidP="00FF1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Il-Ministru għall-Ekonomija, il-Finanzi u l-Irkupru,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lastRenderedPageBreak/>
        <w:t>Għal u f’isem il-Ministru:</w:t>
      </w:r>
      <w:r>
        <w:rPr>
          <w:rFonts w:ascii="Times New Roman" w:hAnsi="Times New Roman"/>
          <w:sz w:val="24"/>
        </w:rPr>
        <w:br/>
        <w:t>Id-Direttur Ġenerali għall-Kompetizzjoni, l-Affarijiet tal-Konsumatur u l-Kontroll tal-Frodi,</w:t>
      </w:r>
      <w:r>
        <w:rPr>
          <w:rFonts w:ascii="Times New Roman" w:hAnsi="Times New Roman"/>
          <w:sz w:val="24"/>
        </w:rPr>
        <w:br/>
        <w:t>V. Beaumeunier</w:t>
      </w:r>
    </w:p>
    <w:p w14:paraId="56BCDE13" w14:textId="77777777" w:rsidR="00FF1A38" w:rsidRPr="00FF1A38" w:rsidRDefault="00FF1A38" w:rsidP="00FF1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Il-Ministru għas-Solidarjetà u s-Saħħa,</w:t>
      </w:r>
      <w:r>
        <w:rPr>
          <w:rFonts w:ascii="Times New Roman" w:hAnsi="Times New Roman"/>
          <w:sz w:val="24"/>
        </w:rPr>
        <w:br/>
        <w:t>Għal u f’isem il-Ministru:</w:t>
      </w:r>
      <w:r>
        <w:rPr>
          <w:rFonts w:ascii="Times New Roman" w:hAnsi="Times New Roman"/>
          <w:sz w:val="24"/>
        </w:rPr>
        <w:br/>
        <w:t>Id-Direttur Ġenerali għas-Saħħa,</w:t>
      </w:r>
      <w:r>
        <w:rPr>
          <w:rFonts w:ascii="Times New Roman" w:hAnsi="Times New Roman"/>
          <w:sz w:val="24"/>
        </w:rPr>
        <w:br/>
        <w:t>J. Salomon</w:t>
      </w:r>
    </w:p>
    <w:p w14:paraId="26A05D50" w14:textId="77777777" w:rsidR="00C74177" w:rsidRDefault="00C74177"/>
    <w:sectPr w:rsidR="00C74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3A2779"/>
    <w:multiLevelType w:val="multilevel"/>
    <w:tmpl w:val="FFAC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A38"/>
    <w:rsid w:val="00305C99"/>
    <w:rsid w:val="00462526"/>
    <w:rsid w:val="007A2F67"/>
    <w:rsid w:val="00906B70"/>
    <w:rsid w:val="00C74177"/>
    <w:rsid w:val="00FF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7BB62"/>
  <w15:chartTrackingRefBased/>
  <w15:docId w15:val="{A5F8F7E5-8A34-4C24-8DDC-26EB8C4D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2357</Words>
  <Characters>13440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Secrétariat Général</Company>
  <LinksUpToDate>false</LinksUpToDate>
  <CharactersWithSpaces>15766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Dimitris Dimitriadis</cp:lastModifiedBy>
  <cp:revision>5</cp:revision>
  <dcterms:created xsi:type="dcterms:W3CDTF">2021-11-22T16:03:00Z</dcterms:created>
  <dcterms:modified xsi:type="dcterms:W3CDTF">2022-03-10T16:00:00Z</dcterms:modified>
</cp:coreProperties>
</file>