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>A Svéd Közegészségügyi Hivatal rendelete a dohánymentes</w:t>
      </w:r>
      <w:r>
        <w:br/>
        <w:t xml:space="preserve">nikotintermékekről;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elfogadás dátuma: 2023. </w:t>
      </w:r>
      <w:r>
        <w:rPr>
          <w:highlight w:val="yellow"/>
        </w:rPr>
        <w:t>MM DD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A dohánymentes nikotintermékekről szóló rendelet (2022:1263) 4. szakasza értelmében a Svéd Közegészségügyi Hivatal a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következőket állapítja meg.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Bevezető rendelkezések</w:t>
      </w:r>
    </w:p>
    <w:p w14:paraId="78C85C8F" w14:textId="77777777" w:rsidR="009902B0" w:rsidRDefault="009902B0" w:rsidP="000509F1">
      <w:pPr>
        <w:pStyle w:val="HSLF-FS-Rubrik-3"/>
      </w:pPr>
      <w:r>
        <w:t>Hatály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1. szakasz</w:t>
      </w:r>
      <w:r>
        <w:t xml:space="preserve"> Ez a rendelet kiegészíti a dohánymentes nikotintermékekről szóló törvény (2022:1257) és a dohánymentes nikotintermékekről szóló rendelet (2022:1263) rendelkezéseit.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2. szakasz</w:t>
      </w:r>
      <w:r>
        <w:t xml:space="preserve"> Ezt a rendeletet a fogyasztók számára a piacon forgalmazandó dohánymentes nikotintermékek gyártóinak, importőreinek és forgalmazóinak kell alkalmazniuk.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A rendelet rendelkezéseket tartalmaz a termékbejelentésre, a címkézésre, a jelentéstételi kötelezettségekre és a bejelentési kötelezettségekre vonatkozóan.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Fogalommeghatározások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3. szakasz</w:t>
      </w:r>
      <w:r>
        <w:t xml:space="preserve"> A dohánymentes nikotintermékekről szóló törvény (2022:1257) és a dohánymentes nikotintermékekről szóló rendelet (2022:1263) által használt kifejezések és fogalmak azonos jelentéssel bírnak ebben a rendeletben.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4. szakasz</w:t>
      </w:r>
      <w:r>
        <w:t xml:space="preserve"> Ez a rendelet a következő kifejezéseket is használja: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forgalmazó:</w:t>
      </w:r>
      <w:r>
        <w:t xml:space="preserve"> bármely természetes vagy jogi személy az ellátási láncban, kivéve a dohánymentes nikotintermékeket forgalmazó gyártót és importőrt;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marketing terület:</w:t>
      </w:r>
      <w:r>
        <w:t xml:space="preserve"> a dohánymentes nikotintermékekről szóló törvény (2022:1257) 10. cikke első bekezdésének 1. és 2. pontjában említett, a médiában történő kereskedelmi reklámozásra szánt terület;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csomagolási egység:</w:t>
      </w:r>
      <w:r>
        <w:t xml:space="preserve"> a forgalomba hozott dohánymentes nikotintermékek legkisebb egyedi csomagolása;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külső csomagolás:</w:t>
      </w:r>
      <w:r>
        <w:t xml:space="preserve"> minden olyan csomagolás, amelyben dohánymentes nikotintermékeket hoznak forgalomba, amelyek egy csomagolási egységet vagy több csomagolási egységet tartalmaznak; az átlátszó csomagolás nem minősül külső csomagolásnak.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Termékbejelentés</w:t>
      </w:r>
    </w:p>
    <w:p w14:paraId="2EBE1B3B" w14:textId="77777777" w:rsidR="00B274C8" w:rsidRDefault="00B274C8" w:rsidP="00B274C8">
      <w:r>
        <w:rPr>
          <w:b/>
          <w:bCs/>
        </w:rPr>
        <w:t>5. szakasz</w:t>
      </w:r>
      <w:r>
        <w:t xml:space="preserve"> A dohánymentes nikotintermékekről szóló törvény (2022:1257) 5. szakasza szerinti termékbejelentést a Svéd Közegészségügyi Hivatal által a termékbejelentés technikai megoldásában használt formátumban kell benyújtani.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Címkézés</w:t>
      </w:r>
    </w:p>
    <w:p w14:paraId="37B24B72" w14:textId="77777777" w:rsidR="00B274C8" w:rsidRDefault="00B274C8" w:rsidP="00B274C8">
      <w:pPr>
        <w:pStyle w:val="HSLF-FS-Rubrik-3"/>
      </w:pPr>
      <w:r>
        <w:t>Tartalomismertető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</w:rPr>
        <w:t>6. szakasz</w:t>
      </w:r>
      <w:r>
        <w:t xml:space="preserve"> A </w:t>
      </w:r>
      <w:r>
        <w:rPr>
          <w:sz w:val="21"/>
        </w:rPr>
        <w:t>dohánymentes nikotintermékekről szóló rendelet (2022:1263) 11. szakasza szerinti tartalomismertetőt a csomagolási egység és a külső csomagolás egyik legnagyobb felületén kell feltüntetni, és ennek a felületnek a 20 százalékát kell lefednie. Minden egyéb tekintetben a tartalomismertetőnek meg kell felelnie a 9. szakasz c)–e) és g) pontjában meghatározott követelményeknek.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  <w:sz w:val="21"/>
        </w:rPr>
        <w:t>7. szakasz</w:t>
      </w:r>
      <w:r>
        <w:rPr>
          <w:sz w:val="21"/>
        </w:rPr>
        <w:t xml:space="preserve"> A tartalomismertetőt svéd nyelven kell benyújtani.</w:t>
      </w:r>
    </w:p>
    <w:p w14:paraId="5A867DE5" w14:textId="77777777" w:rsidR="00B274C8" w:rsidRPr="00B274C8" w:rsidRDefault="00B274C8" w:rsidP="00B274C8">
      <w:r>
        <w:rPr>
          <w:b/>
          <w:bCs/>
          <w:sz w:val="21"/>
        </w:rPr>
        <w:lastRenderedPageBreak/>
        <w:t>8. szakasz</w:t>
      </w:r>
      <w:r>
        <w:rPr>
          <w:sz w:val="21"/>
        </w:rPr>
        <w:t xml:space="preserve"> A 6. szakasz szerinti tartalomismertetőket matricák segítségével lehet felhelyezni, feltéve, hogy az ilyen matricákat nem lehet eltávolítani.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Egészségügyi figyelmeztetés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9. szakasz</w:t>
      </w:r>
      <w:r>
        <w:rPr>
          <w:sz w:val="21"/>
        </w:rPr>
        <w:t xml:space="preserve"> A dohánymentes nikotintermékekről szóló rendelet (2022:1263) 12. szakaszában említett egészségügyi figyelmeztetés: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a csomagolási egység és bármely külső csomagolás két legnagyobb felületén helyezendő el;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a csomagolási egység és bármely külső csomagolás felületének 30 százalékát fedi le;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félkövér Helvetica betűtípussal írandó;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fehér alapon fekete színnel írandó;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olyan betűmérettel írandó, amelynek segítségével a szöveg a címkézésre fenntartott terület lehető legnagyobb százalékát fedi le;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a fenntartott terület közepén helyezkedik el, és a téglalap alakú csomagoláson és bármely külső csomagoláson párhuzamos a csomagolási egység vagy a külső csomagolás oldalszélével; és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párhuzamos az e figyelmeztetések számára fenntartott terület főszövegével.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10. szakasz</w:t>
      </w:r>
      <w:r>
        <w:rPr>
          <w:sz w:val="21"/>
        </w:rPr>
        <w:t xml:space="preserve"> A 9. szakaszban előírt egészségügyi figyelmeztetések matricával is elhelyezhetők, feltéve, hogy az ilyen matricák nem távolíthatók el.</w:t>
      </w:r>
    </w:p>
    <w:p w14:paraId="61CF3BF9" w14:textId="11E7944F" w:rsidR="00DA031C" w:rsidRDefault="00DA031C" w:rsidP="00144DE9">
      <w:pPr>
        <w:pStyle w:val="HSLF-FS-Rubrik-2"/>
      </w:pPr>
      <w:r>
        <w:t>Egészségügyi figyelmeztetés marketinganyagban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>11. szakasz</w:t>
      </w:r>
      <w:r>
        <w:rPr>
          <w:color w:val="000000"/>
          <w:sz w:val="21"/>
        </w:rPr>
        <w:t xml:space="preserve"> A dohánymentes nikotintermékekről szóló törvény (2022:1257) 10. szakasza első bekezdésének 1. és 2. pontja szerinti forgalomba hozatal során a dohánymentes nikotintermékekről szóló rendelet (2022:1263) 12. szakasza </w:t>
      </w:r>
      <w:r>
        <w:rPr>
          <w:sz w:val="21"/>
        </w:rPr>
        <w:t xml:space="preserve">szerinti egészségügyi figyelmeztetésnek minden alkalommal jól láthatónak kell lennie, amikor a termék vagy a termék védjegye megjelenik. Az egészségügyi figyelmeztetés a forgalomba hozatali terület 30 százalékát fedi le, és minden egyéb tekintetben megfelel e rendelet 9. szakasza c)–e) és g) pontjában foglalt rendelkezéseknek.  </w:t>
      </w:r>
    </w:p>
    <w:p w14:paraId="64F00D56" w14:textId="3BF208B2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>A dohánymentes nikotintermékekről szóló törvény (2022:1257) 10. szakasza első bekezdésének 3. pontja szerinti forgalmba hozatal során a dohánymentes nikotintermékekről szóló rendelet (2022:1263) 12. szakasza</w:t>
      </w:r>
      <w:r>
        <w:rPr>
          <w:sz w:val="21"/>
        </w:rPr>
        <w:t xml:space="preserve"> szerinti egészségügyi figyelmeztetésnek minden alkalommal jól láthatónak kell lennie, amikor a termék vagy a termék védjegye megjelenik. Az egészségügyi figyelmeztetésnek </w:t>
      </w:r>
      <w:r>
        <w:rPr>
          <w:sz w:val="21"/>
        </w:rPr>
        <w:lastRenderedPageBreak/>
        <w:t>minden egyéb tekintetben meg kell felelnie e rendelet 9. szakasza c)–e) pontjában foglalt rendelkezéseknek.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Jelentéstételi kötelezettség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12. szakasz</w:t>
      </w:r>
      <w:r>
        <w:rPr>
          <w:sz w:val="21"/>
        </w:rPr>
        <w:t xml:space="preserve"> A dohánymentes nikotintermékekről szóló törvény (2022:1257) 14. szakaszában előírt információkat a jelen rendelet 5. szakasza szerinti termékbejelentéshez használt műszaki megoldással azonos műszaki megoldásban kell biztosítani.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Bejelentési kötelezettség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13. szakasz</w:t>
      </w:r>
      <w:r>
        <w:t xml:space="preserve"> 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A dohánymentes nikotintermékekről szóló törvény (2022:1257) 16. szakaszának második bekezdése szerinti, egy gyártótól, importőrtől és forgalmazótól származó bejelentést ugyanabban a műszaki megoldásban kell biztosítani, mint amelyet a jelen rendelet 5. szakasza szerinti termékbejelentéshez használtak.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E rendelet 5., 11. és 12. szakasza 2024. január 1-jén lép hatályba; az összes többi szakasz 2023. július 1-jén lép hatályba.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Svéd Közegészségügyi Hivatal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A bejelentés a műszaki szabályok és az információs társadalom szolgáltatásaira vonatkozó szabályok terén történő információszolgáltatási eljárás megállapításáról szóló, 2015. szeptember 9-i (EU) 2015/1535 európai parlamenti és tanácsi irányelvvel összhangban történt.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B4570D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TERVEZE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B4570D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TERVEZE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B4570D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TERVEZET"/>
          <w10:wrap anchorx="margin" anchory="margin"/>
        </v:shape>
      </w:pict>
    </w:r>
    <w:r w:rsidR="00BB6229">
      <w:t>Az egészségügyre, az egészségügyi ellátásra, a szociális szolgáltatásokra, a gyógyszerekre, a népegészségügyre stb. vonatkozó közös jogszabálygyűjtemény</w:t>
    </w:r>
  </w:p>
  <w:p w14:paraId="1C104ACA" w14:textId="77777777" w:rsidR="00DB331A" w:rsidRDefault="004D7ACB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4D261791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Kiadás dátuma: 20xx. július xx.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 xml:space="preserve">Kiadás dátuma: 20xx. július xx.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7468C2AA">
              <wp:simplePos x="0" y="0"/>
              <wp:positionH relativeFrom="column">
                <wp:posOffset>3810</wp:posOffset>
              </wp:positionH>
              <wp:positionV relativeFrom="paragraph">
                <wp:posOffset>501015</wp:posOffset>
              </wp:positionV>
              <wp:extent cx="4747260" cy="0"/>
              <wp:effectExtent l="0" t="0" r="15240" b="1905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D76547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</w:pict>
        </mc:Fallback>
      </mc:AlternateContent>
    </w:r>
    <w:r>
      <w:t>ISSN xxx-xxxx, Cikkszám: xxxxxxxx</w:t>
    </w:r>
    <w:r>
      <w:br/>
      <w:t>Kiadta: A Jogi Osztály vezetője – Pär Ödman, Nemzeti Egészségügyi és Jóléti 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570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666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