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Act amending the Network Enforcement Act</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Dated 03 June 2021</w:t>
      </w:r>
    </w:p>
    <w:p w14:paraId="3F51C4C2" w14:textId="77777777" w:rsidR="00E83886" w:rsidRDefault="00E83886">
      <w:pPr>
        <w:pStyle w:val="EingangsformelStandardnderungsdokument"/>
      </w:pPr>
      <w:r>
        <w:t>The Bundestag has adopted the following Act</w:t>
      </w:r>
    </w:p>
    <w:p w14:paraId="3EF60F3B" w14:textId="51840A09" w:rsidR="00E83886" w:rsidRDefault="00B61AA0" w:rsidP="00B61AA0">
      <w:pPr>
        <w:pStyle w:val="ArtikelBezeichner"/>
        <w:numPr>
          <w:ilvl w:val="0"/>
          <w:numId w:val="0"/>
        </w:numPr>
      </w:pPr>
      <w:r>
        <w:t>Article 1</w:t>
      </w:r>
    </w:p>
    <w:p w14:paraId="00B33297" w14:textId="77777777" w:rsidR="00E83886" w:rsidRDefault="00BC2E28">
      <w:pPr>
        <w:pStyle w:val="Artikelberschrift"/>
      </w:pPr>
      <w:r>
        <w:t>A</w:t>
      </w:r>
      <w:bookmarkStart w:id="1" w:name="eNV_02766DCDDD0C451696CD2CA9BA8F5F05_1"/>
      <w:bookmarkEnd w:id="1"/>
      <w:r>
        <w:t>mendment to the Network Enforcement Act</w:t>
      </w:r>
    </w:p>
    <w:p w14:paraId="75A86A66" w14:textId="77777777" w:rsidR="00E83886" w:rsidRPr="00B43644" w:rsidRDefault="00BC2E28">
      <w:pPr>
        <w:pStyle w:val="JuristischerAbsatznichtnummeriert"/>
      </w:pPr>
      <w:r>
        <w:t>The Network Enforcement Act of 1 September 2017 (Federal Law Gazette I p. 3352), last amended by Article 7 of the Act of 30 March 2021 (Federal Law Gazette I p. 441), as further amended by Article 15 of the Act of 30 March 2021 (Federal Law Gazette I p. 448), is amended as follows:</w:t>
      </w:r>
    </w:p>
    <w:p w14:paraId="5906B6F4" w14:textId="77777777" w:rsidR="009C3C3B" w:rsidRDefault="009C3C3B" w:rsidP="00FD2509">
      <w:pPr>
        <w:pStyle w:val="NummerierungStufe1"/>
      </w:pPr>
      <w:r>
        <w:t>I</w:t>
      </w:r>
      <w:bookmarkStart w:id="2" w:name="eNV_6C01AF3269F54A25937775F5B1921A82_1"/>
      <w:bookmarkEnd w:id="2"/>
      <w:r>
        <w:t xml:space="preserve">n § 1(2), the reference </w:t>
      </w:r>
      <w:r>
        <w:rPr>
          <w:rStyle w:val="RevisionText"/>
        </w:rPr>
        <w:t>‘§§ 2 and 3’</w:t>
      </w:r>
      <w:r>
        <w:t xml:space="preserve"> is replaced by the reference </w:t>
      </w:r>
      <w:r>
        <w:rPr>
          <w:rStyle w:val="RevisionText"/>
        </w:rPr>
        <w:t>‘§§ 2 to 3b and 5a’</w:t>
      </w:r>
      <w:r>
        <w:t>.</w:t>
      </w:r>
    </w:p>
    <w:p w14:paraId="71A5833B" w14:textId="77777777" w:rsidR="00FD2509" w:rsidRDefault="00D563DB" w:rsidP="00FD2509">
      <w:pPr>
        <w:pStyle w:val="NummerierungStufe1"/>
      </w:pPr>
      <w:r>
        <w:t>§</w:t>
      </w:r>
      <w:bookmarkStart w:id="3" w:name="eNV_F184275CB3ED43BBAC3DB3FE735A86E0_1"/>
      <w:bookmarkEnd w:id="3"/>
      <w:r>
        <w:t xml:space="preserve"> 2(2) is amended as follows:</w:t>
      </w:r>
    </w:p>
    <w:p w14:paraId="75A87168" w14:textId="77777777" w:rsidR="00D563DB" w:rsidRPr="001355C5" w:rsidRDefault="00D563DB" w:rsidP="00D563DB">
      <w:pPr>
        <w:pStyle w:val="NummerierungStufe2"/>
      </w:pPr>
      <w:bookmarkStart w:id="4" w:name="eNV_C4D4FB87EB23484289627BC27807BCE5_1"/>
      <w:bookmarkEnd w:id="4"/>
      <w:r>
        <w:t>Point 2 is replaced by the following points 2 and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The nature, broad outlines of the functioning and scope of any methods used for the automated detection of content to be removed or blocked, including general information on the training data used and the verification by the provider of the results of those procedures, as well as information on the extent to which scientific and research circles are supported in the evaluation of those procedures and have been granted access to information provided by the provider for that purpose,</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Description of the mechanisms for the transmission of complaints about unlawful content, description of the decision criteria for the removal and blocking of unlawful content and description of the review procedure, including the sequence of the review as to whether unlawful content is at hand or whether contractual provisions between provider and user are being violated,’.</w:t>
      </w:r>
    </w:p>
    <w:p w14:paraId="074A3429" w14:textId="77777777" w:rsidR="00E43EFE" w:rsidRPr="001355C5" w:rsidRDefault="00E43EFE" w:rsidP="003764C3">
      <w:pPr>
        <w:pStyle w:val="NummerierungStufe2"/>
      </w:pPr>
      <w:bookmarkStart w:id="6" w:name="DQPErrorScopeAA164204E61A4B6863D92987321"/>
      <w:r>
        <w:t>The previous points 3 to 6 become points 4 to 7.</w:t>
      </w:r>
      <w:bookmarkEnd w:id="6"/>
    </w:p>
    <w:p w14:paraId="44BFC151" w14:textId="29827472" w:rsidR="00DE0035" w:rsidRPr="001355C5" w:rsidRDefault="00E43EFE" w:rsidP="003764C3">
      <w:pPr>
        <w:pStyle w:val="NummerierungStufe2"/>
      </w:pPr>
      <w:r>
        <w:t xml:space="preserve">The previous point 7 becomes point 8 and the words </w:t>
      </w:r>
      <w:r>
        <w:rPr>
          <w:rStyle w:val="RevisionText"/>
          <w:color w:val="auto"/>
        </w:rPr>
        <w:t>‘according to the total number as well as’</w:t>
      </w:r>
      <w:r>
        <w:t xml:space="preserve"> are inserted after the word </w:t>
      </w:r>
      <w:r>
        <w:rPr>
          <w:rStyle w:val="RevisionText"/>
          <w:color w:val="auto"/>
        </w:rPr>
        <w:t>‘led,’</w:t>
      </w:r>
      <w:r>
        <w:t xml:space="preserve"> and a comma and the words </w:t>
      </w:r>
      <w:r>
        <w:rPr>
          <w:rStyle w:val="RevisionText"/>
          <w:color w:val="auto"/>
        </w:rPr>
        <w:t>‘which step in the test sequence pursuant to point 3 led to the removal or blocking’</w:t>
      </w:r>
      <w:r>
        <w:t xml:space="preserve"> are inserted after the words</w:t>
      </w:r>
      <w:r>
        <w:rPr>
          <w:rStyle w:val="RevisionText"/>
          <w:color w:val="auto"/>
        </w:rPr>
        <w:t>‘</w:t>
      </w:r>
      <w:r w:rsidR="002D1297">
        <w:rPr>
          <w:rStyle w:val="RevisionText"/>
          <w:color w:val="auto"/>
        </w:rPr>
        <w:t xml:space="preserve"> </w:t>
      </w:r>
      <w:r>
        <w:rPr>
          <w:rStyle w:val="RevisionText"/>
          <w:color w:val="auto"/>
        </w:rPr>
        <w:t>users took place’</w:t>
      </w:r>
      <w:r>
        <w:t>.</w:t>
      </w:r>
    </w:p>
    <w:p w14:paraId="0B6811A7" w14:textId="77777777" w:rsidR="008D6E45" w:rsidRPr="001355C5" w:rsidRDefault="00E43EFE" w:rsidP="003764C3">
      <w:pPr>
        <w:pStyle w:val="NummerierungStufe2"/>
      </w:pPr>
      <w:r>
        <w:t>The previous p</w:t>
      </w:r>
      <w:bookmarkStart w:id="7" w:name="eNV_3CAAC48361F44D8E911B82392C79CDB9_1"/>
      <w:bookmarkEnd w:id="7"/>
      <w:r>
        <w:t>oint 8 becomes point 9 and is worded as follows:</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the respective number of complaints about unlawful content that resulted in the removal or blocking of the unlawful content within 24 hours, within 48 </w:t>
      </w:r>
      <w:r>
        <w:rPr>
          <w:color w:val="auto"/>
        </w:rPr>
        <w:lastRenderedPageBreak/>
        <w:t>hours or within a week of receipt, or at a later time, additionally broken down by complaints from complaints offices and users as well as broken down according to the reason for the complaint,’.</w:t>
      </w:r>
      <w:bookmarkEnd w:id="8"/>
    </w:p>
    <w:p w14:paraId="090FCED8" w14:textId="77777777" w:rsidR="003764C3" w:rsidRPr="001355C5" w:rsidRDefault="00E43EFE" w:rsidP="003764C3">
      <w:pPr>
        <w:pStyle w:val="NummerierungStufe2"/>
      </w:pPr>
      <w:r>
        <w:t>The previous point 9 becomes point 10 and the full stop at the end is replaced by a comma.</w:t>
      </w:r>
    </w:p>
    <w:p w14:paraId="3E7ED79C" w14:textId="77777777" w:rsidR="003764C3" w:rsidRPr="001355C5" w:rsidRDefault="002C5C85" w:rsidP="002C5C85">
      <w:pPr>
        <w:pStyle w:val="NummerierungStufe2"/>
      </w:pPr>
      <w:r>
        <w:t>The following points 11 and 17 are added:</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Number of appeals received in the reporting period as per § 3b(1) sentence 2, according to the total number and broken down according to appeals by complainants and users for whom the contested content was saved, each with details on the number of cases in which the appeal was remedied,</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Number of appeals received in the reporting period as per § 3b(3) sentence 1, each with details on the number of cases in which a review as per § 3b(3) sentence 3 was dispensed with and on the number of cases in which the appeal was remedied,</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Information on whether and to what extent scientific and research groups were granted access to information from the provider in the reporting period in order to enable it to be anonymously evaluated as to whether</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removed or blocked illegal content relate to characteristics as referred to in § 1 of the General Equal Treatment Act of 14 August 2006 (Federal Law Gazette I p. 1897), last amended by Article 8 of the Act of 3 April 2013 (Federal Law Gazette I p. 610), in its current version,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whether the dissemination of unlawful content impacts certain user groups in specific ways, and</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whether organised structures or coordinated behaviours form the basis of the dissemination,</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other measures by the provider to protect and support those impacted by unlawful content,</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a summary with a tabular overview showing the total number of complaints received about unlawful content, the percentage of content removed or blocked in response to these complaints, the number of appeals pursuant to § 3b(1) sentence 2 and § 3b(3) sentence 1 respectively, and the percentage of decisions changed based on these appeals compared with the corresponding numbers for the two previous reporting periods, together with an explanation of significant differences and possible reasons for them,</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Explanation of the provisions in the provider’s general terms and conditions on the permissibility of disseminating content on the social network used by the provider for contracts with consumers,</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Presentation of the extent to which the agreement on the provisions under paragraph 16 is consistent with the requirements of §§ 307 to 309 of the Civil Code and other legislation.’</w:t>
      </w:r>
    </w:p>
    <w:p w14:paraId="268633E7" w14:textId="77777777" w:rsidR="00BE13DB" w:rsidRPr="001355C5" w:rsidRDefault="00BE13DB" w:rsidP="00BE13DB">
      <w:pPr>
        <w:pStyle w:val="NummerierungStufe1"/>
      </w:pPr>
      <w:r>
        <w:t>§</w:t>
      </w:r>
      <w:bookmarkStart w:id="10" w:name="eNV_1071D66C7A3A4E78904AD55041E5495E_1"/>
      <w:bookmarkEnd w:id="10"/>
      <w:r>
        <w:t xml:space="preserve"> 3 is amended as follows:</w:t>
      </w:r>
    </w:p>
    <w:p w14:paraId="0581E3DD" w14:textId="77777777" w:rsidR="00BE13DB" w:rsidRPr="001355C5" w:rsidRDefault="00BE13DB" w:rsidP="00BE13DB">
      <w:pPr>
        <w:pStyle w:val="NummerierungStufe2"/>
      </w:pPr>
      <w:r>
        <w:t>I</w:t>
      </w:r>
      <w:bookmarkStart w:id="11" w:name="eNV_014D67E831A54E84AE69F682494D2210_1"/>
      <w:bookmarkEnd w:id="11"/>
      <w:r>
        <w:t xml:space="preserve">n paragraph 1 sentence 2, the words </w:t>
      </w:r>
      <w:r>
        <w:rPr>
          <w:rStyle w:val="RevisionText"/>
          <w:color w:val="auto"/>
        </w:rPr>
        <w:t>“when perceiving the content”</w:t>
      </w:r>
      <w:r>
        <w:t xml:space="preserve"> are inserted after the word </w:t>
      </w:r>
      <w:r>
        <w:rPr>
          <w:rStyle w:val="RevisionText"/>
          <w:color w:val="auto"/>
        </w:rPr>
        <w:t>“a”</w:t>
      </w:r>
      <w:r>
        <w:t xml:space="preserve"> and a comma and the words </w:t>
      </w:r>
      <w:r>
        <w:rPr>
          <w:rStyle w:val="RevisionText"/>
          <w:color w:val="auto"/>
        </w:rPr>
        <w:t>“easy to use”</w:t>
      </w:r>
      <w:r>
        <w:t xml:space="preserve"> are inserted after the word </w:t>
      </w:r>
      <w:r>
        <w:rPr>
          <w:rStyle w:val="RevisionText"/>
          <w:color w:val="auto"/>
        </w:rPr>
        <w:t>“reachable”</w:t>
      </w:r>
      <w:r>
        <w:t>.</w:t>
      </w:r>
    </w:p>
    <w:p w14:paraId="630F3893" w14:textId="77777777" w:rsidR="00BE13DB" w:rsidRPr="001355C5" w:rsidRDefault="00BE13DB" w:rsidP="00BE13DB">
      <w:pPr>
        <w:pStyle w:val="NummerierungStufe2"/>
      </w:pPr>
      <w:r>
        <w:lastRenderedPageBreak/>
        <w:t>P</w:t>
      </w:r>
      <w:bookmarkStart w:id="12" w:name="eNV_29BA89EA1BB2430697A4687983AABC93_1"/>
      <w:bookmarkEnd w:id="12"/>
      <w:r>
        <w:t>aragraph 2 is amended as follows:</w:t>
      </w:r>
    </w:p>
    <w:p w14:paraId="59FA4E72" w14:textId="77777777" w:rsidR="001B5632" w:rsidRPr="001355C5" w:rsidRDefault="001B5632" w:rsidP="001B5632">
      <w:pPr>
        <w:pStyle w:val="NummerierungStufe3"/>
      </w:pPr>
      <w:r>
        <w:t>I</w:t>
      </w:r>
      <w:bookmarkStart w:id="13" w:name="eNV_EEB47693F91D4F2B9784901065243950_1"/>
      <w:bookmarkEnd w:id="13"/>
      <w:r>
        <w:t xml:space="preserve">n point 3(b) the words </w:t>
      </w:r>
      <w:r>
        <w:rPr>
          <w:rStyle w:val="RevisionText"/>
          <w:color w:val="auto"/>
        </w:rPr>
        <w:t>‘the social network’</w:t>
      </w:r>
      <w:r>
        <w:t xml:space="preserve"> are replaced by the words </w:t>
      </w:r>
      <w:r>
        <w:rPr>
          <w:rStyle w:val="RevisionText"/>
          <w:color w:val="auto"/>
        </w:rPr>
        <w:t>‘the social network provider’</w:t>
      </w:r>
      <w:r>
        <w:t>.</w:t>
      </w:r>
    </w:p>
    <w:p w14:paraId="72A04C98" w14:textId="77777777" w:rsidR="00AE356F" w:rsidRPr="001355C5" w:rsidRDefault="00CE245D" w:rsidP="001B5632">
      <w:pPr>
        <w:pStyle w:val="NummerierungStufe3"/>
      </w:pPr>
      <w:r>
        <w:t>Points 4 and 5 are worded as follows:</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w:t>
      </w:r>
      <w:r w:rsidRPr="002D1297">
        <w:rPr>
          <w:color w:val="auto"/>
        </w:rPr>
        <w:t>4.</w:t>
      </w:r>
      <w:r w:rsidRPr="002D1297">
        <w:rPr>
          <w:color w:val="auto"/>
        </w:rPr>
        <w:tab/>
        <w:t>in the event of removal, secures the content for evidence and for this purpose saves it for a period of ten weeks within the scope of Directive 2000/31/EC of the European Parliament and of the Council of 8 June 2000 on certain legal aspects of information society services, in particular electronic commerce, in the Internal Market (</w:t>
      </w:r>
      <w:bookmarkStart w:id="15" w:name="DQPErrorScope2646C3C49F191982EE73F3F98FA"/>
      <w:r w:rsidRPr="002D1297">
        <w:rPr>
          <w:color w:val="auto"/>
        </w:rPr>
        <w:t>‘</w:t>
      </w:r>
      <w:bookmarkEnd w:id="15"/>
      <w:r w:rsidRPr="002D1297">
        <w:rPr>
          <w:color w:val="auto"/>
        </w:rPr>
        <w:t xml:space="preserve">Directive on electronic commerce) (OJ L 178, 17.7.2000, p. 1) and 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(OJ L 95, 15.4.2010, p. 1; L 263, 6.10.2010, p. 15) as amended </w:t>
      </w:r>
      <w:r>
        <w:rPr>
          <w:color w:val="auto"/>
        </w:rPr>
        <w:t>by Directive (EU) 2018/1808 (OJ L 303, 28.11.2018, p.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informs the complainant and the user for whom the contested content was stored about each decision without delay, and in doing so</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justifies its decision,</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indicates the possibility of an appeal as per § 3b(1) sentence 2, the procedure provided for this as per § 3b(1) sentence 3, the deadline as per § 3b(1) sentence 2 and that the content of the appeal can be passed on within the scope of the procedure as per § 3b(2)(1), and</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informs the complainant that they can file a notice of an offence and, if necessary, an application for prosecution against the user for whom the contested content has been saved, and about the website on which they can receive further information about this.’</w:t>
      </w:r>
    </w:p>
    <w:p w14:paraId="7A752ABA" w14:textId="77777777" w:rsidR="00D31A36" w:rsidRPr="001355C5" w:rsidRDefault="00E94ACD" w:rsidP="00D31A36">
      <w:pPr>
        <w:pStyle w:val="NummerierungStufe3"/>
      </w:pPr>
      <w:r>
        <w:t>The following sentences are added:</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‘In the cases of sentence 1(3)(b), the social network provider may disclose the contested content, information on the time of sharing or making the content accessible and the extent of its dissemination, as well as the content in a recognisable context (if necessary for the purpose of the decision) to the recognised self-regulation body. The self-regulation body is authorised to process the personal data concerned to the extent necessary for the review. Any inaccuracy of the decision taken by the self-regulation body in the cases of sentence 1(3)(b) does not constitute a violation of paragraph 1(1) by the social network provider.’</w:t>
      </w:r>
    </w:p>
    <w:p w14:paraId="05710271" w14:textId="77777777" w:rsidR="008331B2" w:rsidRPr="001355C5" w:rsidRDefault="008331B2" w:rsidP="008331B2">
      <w:pPr>
        <w:pStyle w:val="NummerierungStufe2"/>
      </w:pPr>
      <w:r>
        <w:t>P</w:t>
      </w:r>
      <w:bookmarkStart w:id="17" w:name="eNV_1BD0FCD066BB4ADDA24D31C7AFEE9D76_1"/>
      <w:bookmarkEnd w:id="17"/>
      <w:r>
        <w:t>aragraph 6 is amended as follows:</w:t>
      </w:r>
    </w:p>
    <w:p w14:paraId="5B774DD7" w14:textId="77777777" w:rsidR="009E7D6E" w:rsidRPr="001355C5" w:rsidRDefault="002F6D0D" w:rsidP="008331B2">
      <w:pPr>
        <w:pStyle w:val="NummerierungStufe3"/>
      </w:pPr>
      <w:r>
        <w:t xml:space="preserve">In point 3, the word </w:t>
      </w:r>
      <w:r>
        <w:rPr>
          <w:rStyle w:val="RevisionText"/>
          <w:color w:val="auto"/>
        </w:rPr>
        <w:t>‘provides,’</w:t>
      </w:r>
      <w:r>
        <w:t xml:space="preserve"> is replaced by the words </w:t>
      </w:r>
      <w:r>
        <w:rPr>
          <w:rStyle w:val="RevisionText"/>
          <w:color w:val="auto"/>
        </w:rPr>
        <w:t>‘provides at the request of the complainant and at the request of the user for whom the contested content has been saved, and’</w:t>
      </w:r>
      <w:r>
        <w:t xml:space="preserve">. </w:t>
      </w:r>
    </w:p>
    <w:p w14:paraId="0AF21211" w14:textId="77777777" w:rsidR="008331B2" w:rsidRPr="001355C5" w:rsidRDefault="008331B2" w:rsidP="008331B2">
      <w:pPr>
        <w:pStyle w:val="NummerierungStufe3"/>
      </w:pPr>
      <w:bookmarkStart w:id="18" w:name="eNV_C577E052D4584A18A8AFB1A777664717_1"/>
      <w:bookmarkEnd w:id="18"/>
      <w:r>
        <w:t>P</w:t>
      </w:r>
      <w:bookmarkStart w:id="19" w:name="eNV_95D0B1FF82E643548E19CDBF244405BA_1"/>
      <w:bookmarkEnd w:id="19"/>
      <w:r>
        <w:t>oint 4 is repealed.</w:t>
      </w:r>
    </w:p>
    <w:p w14:paraId="03ABCB4E" w14:textId="77777777" w:rsidR="002F6D0D" w:rsidRPr="001355C5" w:rsidRDefault="002F6D0D" w:rsidP="008331B2">
      <w:pPr>
        <w:pStyle w:val="NummerierungStufe3"/>
      </w:pPr>
      <w:bookmarkStart w:id="20" w:name="DQPErrorScopeE4F4EA840838595339EED4986C9"/>
      <w:r>
        <w:t>Point 5 becomes point 4.</w:t>
      </w:r>
      <w:bookmarkEnd w:id="20"/>
    </w:p>
    <w:p w14:paraId="70A31A7E" w14:textId="77777777" w:rsidR="002C5C85" w:rsidRPr="001355C5" w:rsidRDefault="002C5C85" w:rsidP="002C5C85">
      <w:pPr>
        <w:pStyle w:val="NummerierungStufe2"/>
      </w:pPr>
      <w:r>
        <w:t>The following sentences are added to paragraph 7:</w:t>
      </w:r>
    </w:p>
    <w:p w14:paraId="3C3C4597" w14:textId="77777777" w:rsidR="002C5C85" w:rsidRPr="001355C5" w:rsidRDefault="002C5C85" w:rsidP="00E53355">
      <w:pPr>
        <w:pStyle w:val="RevisionJuristischerAbsatzFolgeabsatz"/>
        <w:ind w:left="850"/>
        <w:rPr>
          <w:color w:val="auto"/>
        </w:rPr>
      </w:pPr>
      <w:r>
        <w:rPr>
          <w:color w:val="auto"/>
        </w:rPr>
        <w:lastRenderedPageBreak/>
        <w:t>‘It shall give the central supervisory authority of the Federal States for the protection of minors from harmful media the opportunity to comment before the decision on recognition. The decision can be issued with additional conditions. A time limit should not be less than five years.’</w:t>
      </w:r>
    </w:p>
    <w:p w14:paraId="6F468865" w14:textId="77777777" w:rsidR="00654A16" w:rsidRPr="001355C5" w:rsidRDefault="00654A16" w:rsidP="00654A16">
      <w:pPr>
        <w:pStyle w:val="NummerierungStufe2"/>
      </w:pPr>
      <w:r>
        <w:t>The following paragraphs (8) and (9) shall be inserted a</w:t>
      </w:r>
      <w:bookmarkStart w:id="21" w:name="eNV_C9F4E65DC72A4A318587B7B03101C3D9_1"/>
      <w:bookmarkEnd w:id="21"/>
      <w:r>
        <w:t>fter paragraph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The recognised self-regulation body must immediately inform the administrative authority mentioned in § 4 of changes in the circumstances relevant to the recognition and other information provided in the application for recognition.</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The recognised self-regulation body must publish an activity report on the previous calendar year on its website by 31 July of each year and forward it to the administrative authority mentioned in § 4.’</w:t>
      </w:r>
    </w:p>
    <w:p w14:paraId="0A4EFCFA" w14:textId="77777777" w:rsidR="00E43EFE" w:rsidRPr="001355C5" w:rsidRDefault="00E43EFE" w:rsidP="00E43EFE">
      <w:pPr>
        <w:pStyle w:val="NummerierungStufe2"/>
      </w:pPr>
      <w:bookmarkStart w:id="22" w:name="DQPErrorScope5756FCF4B74B2F1C86E686CCCF8"/>
      <w:r>
        <w:t>The previous paragraphs 8 and 9 become the new paragraphs 10 and 11.</w:t>
      </w:r>
      <w:bookmarkEnd w:id="22"/>
    </w:p>
    <w:p w14:paraId="134BA870" w14:textId="77777777" w:rsidR="002C5C85" w:rsidRPr="001355C5" w:rsidRDefault="002C5C85" w:rsidP="007068D4">
      <w:pPr>
        <w:pStyle w:val="NummerierungStufe1"/>
      </w:pPr>
      <w:r>
        <w:t>§ 3a is amended as follows:</w:t>
      </w:r>
    </w:p>
    <w:p w14:paraId="58898B35" w14:textId="77777777" w:rsidR="002C5C85" w:rsidRPr="001355C5" w:rsidRDefault="002C5C85" w:rsidP="008A1C13">
      <w:pPr>
        <w:pStyle w:val="NummerierungStufe2"/>
      </w:pPr>
      <w:r>
        <w:t>Paragraph 4 is worded as follows:</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The transmission to the Federal Criminal Police Office must include:</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the content and, if available, the time at which the content was shared or made available to the public, indicating the underlying time zone,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the following information about the user who shared the content with other users or made it available to the public:</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 xml:space="preserve">the </w:t>
      </w:r>
      <w:proofErr w:type="gramStart"/>
      <w:r>
        <w:rPr>
          <w:color w:val="auto"/>
        </w:rPr>
        <w:t>user</w:t>
      </w:r>
      <w:proofErr w:type="gramEnd"/>
      <w:r>
        <w:rPr>
          <w:color w:val="auto"/>
        </w:rPr>
        <w:t xml:space="preserve"> name and,</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if available, the last IP address used in relation to the social network provider, including the port number and the time of the last access, indicating the underlying time zone.’</w:t>
      </w:r>
    </w:p>
    <w:p w14:paraId="60139EDD" w14:textId="77777777" w:rsidR="002C5C85" w:rsidRPr="001355C5" w:rsidRDefault="006945A0" w:rsidP="008A1C13">
      <w:pPr>
        <w:pStyle w:val="NummerierungStufe2"/>
      </w:pPr>
      <w:r>
        <w:t>The following paragraph 8 is added:</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Law enforcement authorities may, for the purposes of a general discussion with social networking providers on the application of paragraphs 1 to 7, process the personal data necessary for that purpose in a pseudonymised form.’</w:t>
      </w:r>
    </w:p>
    <w:p w14:paraId="1EC0B3D6" w14:textId="77777777" w:rsidR="007068D4" w:rsidRPr="001355C5" w:rsidRDefault="003A6658" w:rsidP="007068D4">
      <w:pPr>
        <w:pStyle w:val="NummerierungStufe1"/>
      </w:pPr>
      <w:r>
        <w:t>The following sections 3b to 3f are inserted before § 4:</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Appeal procedure</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 xml:space="preserve">The provider of a social network shall maintain an effective and transparent procedure in </w:t>
      </w:r>
      <w:r w:rsidRPr="002D1297">
        <w:rPr>
          <w:color w:val="auto"/>
        </w:rPr>
        <w:t>accordance with paragraph 2, allowing both the complainant and the user for whom the content complained of has been saved to review a decision to remove or block access to a content (original decision) taken in response to a complaint about illegal content; an exception applies in the cases of § 3(2) sentence 1 point 3(b).</w:t>
      </w:r>
      <w:bookmarkStart w:id="24" w:name="DQPErrorScope07558994FA2BBF877D1F8241434"/>
      <w:bookmarkEnd w:id="23"/>
      <w:r w:rsidRPr="002D1297">
        <w:rPr>
          <w:color w:val="auto"/>
        </w:rPr>
        <w:t xml:space="preserve">The review is only required if the complainant or the user for whom the contested content has been stored submits a request for review, stating the reasons, within two weeks of the information on the original decision (appeal). For this purpose, the social network </w:t>
      </w:r>
      <w:r>
        <w:rPr>
          <w:color w:val="auto"/>
        </w:rPr>
        <w:t xml:space="preserve">provider must provide an easily recognisable procedure that enables easy electronic </w:t>
      </w:r>
      <w:r>
        <w:rPr>
          <w:color w:val="auto"/>
        </w:rPr>
        <w:lastRenderedPageBreak/>
        <w:t xml:space="preserve">contact and direct communication with it. </w:t>
      </w:r>
      <w:bookmarkEnd w:id="24"/>
      <w:r>
        <w:rPr>
          <w:color w:val="auto"/>
        </w:rPr>
        <w:t>The means of contact must also be addressed in the information as per § 3(2)(1)(5)(b).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The procedure as per paragraph 1, sentence 1 shall ensure that the social network provider,</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in the event that it wishes to remedy the appeal, immediately informs the user of the content of the appeal in the case of an appeal by the complainant, immediately informs the complainant of the content of the appeal in the event of an appeal by the user, and provides the user in the first case and the complainant in the second with the opportunity to make a statement within a reasonable time,</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points out that the content of a user’s statement can be passed on to the complainant and the content of a complainant's statement can be passed on to the user,</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immediately subjects its original decision to a review by a person who was not involved with the original decision,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communicates its review decision to the complainant and the user without delay and gives reasons for it on a case-by-case basis, in cases of no action to the complainant and the user only to the extent that they have already been involved in the appeal procedure, and</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ensures that the complainant’s and the user’s identities are not disclosed in the procedure.</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Unless a decision to remove or disable access to content is based on a complaint about unlawful content, paragraphs 1 and 2 shall apply mutatis mutandis. If the decision is based on a complaint about the content by a third party, the person who transmitted the complaint to the provider of the social network shall take the place of the complainant. By way of derogation from paragraph 2(3), it shall not be necessary for the review to be carried out by a person not involved in the original decision. </w:t>
      </w:r>
      <w:bookmarkStart w:id="25" w:name="DQPErrorScopeE57447843F5BAB62D772EAE93DA"/>
      <w:r>
        <w:rPr>
          <w:color w:val="auto"/>
        </w:rPr>
        <w:t>By way of derogation from paragraph 1, sentence 2, the review pursuant to sentence 1 shall not be required if the content is recognisably unwanted commercial communication or commercial communication that violates the provider’s general terms and conditions, which has been shared by the user with other users in a large number of cases or has been made accessible to the public and the appeal obviously has no prospect of success.</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The right to pursue legal action remains unaffected.</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Arbitration</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The administrative authority referred to in § 4 can recognise organisations under private law as arbitration bodies for out-of-court settlement of disputes between complainants or users for whom the contested content has been saved and social network providers on decisions made in accordance with § 3(2) sentence 1(1) to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An organisation under private law is to be recognised as an arbitration body as per paragraph 1 if</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its sponsor is a legal person,</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lastRenderedPageBreak/>
        <w:t>based in a Member State of the European Union or in another State party to the Agreement on the European Economic Area to which Directive 2010/13/EU applies,</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which is intended to be permanent, and</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the financing of which is assured,</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the independence, impartiality and expertise of those who are to be involved in arbitration are guaranteed,</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their proper equipment and the timely processing of arbitration procedures are ensured,</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it has rules of arbitration that regulate the details of the arbitration procedure and its competence and that enables a simple, inexpensive, non-binding and fair arbitration procedure in which the social network provider, the complainant and the user for whom the contested content was saved can participate,</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it is ensured that the public is continuously informed of the availability and competence of the arbitration body and of the course of the arbitration procedure, including the rules of arbitration.</w:t>
      </w:r>
    </w:p>
    <w:p w14:paraId="4D53200C" w14:textId="77777777" w:rsidR="006432C7" w:rsidRPr="001355C5" w:rsidRDefault="006432C7" w:rsidP="00E53355">
      <w:pPr>
        <w:pStyle w:val="RevisionJuristischerAbsatzFolgeabsatz"/>
        <w:ind w:left="425"/>
        <w:rPr>
          <w:color w:val="auto"/>
        </w:rPr>
      </w:pPr>
      <w:r>
        <w:rPr>
          <w:color w:val="auto"/>
        </w:rPr>
        <w:t>§ 3(7) sentences 2 and 3 and paragraphs (8) through (10) shall apply accordingly.</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Complainants and users for whom the contested content has been saved can call an arbitration body within their area of competence if an appeal procedure pursuant to § 3b has previously been carried out or the decision as per § 3(6)(3) has been reviewed and the social network provider takes part in the arbitration by this arbitration body in general or in individual cases. </w:t>
      </w:r>
      <w:bookmarkStart w:id="27" w:name="DQPErrorScopeFF0F7104CBD94FC2C8D85EC1C4F"/>
      <w:bookmarkEnd w:id="26"/>
      <w:r>
        <w:rPr>
          <w:color w:val="auto"/>
        </w:rPr>
        <w:t xml:space="preserve">If the provider takes part in the arbitration, it may send the arbitration body the contested content, information </w:t>
      </w:r>
      <w:r>
        <w:rPr>
          <w:rStyle w:val="RevisionText"/>
          <w:color w:val="auto"/>
        </w:rPr>
        <w:t>on the time of sharing or provision of the content and the extent of dissemination</w:t>
      </w:r>
      <w:r>
        <w:rPr>
          <w:color w:val="auto"/>
        </w:rPr>
        <w:t xml:space="preserve">, as well as contents in recognisable connection to the content, if this is necessary for the arbitration procedure; in the case of an appeal to the arbitration body by the complainant, the contact details of the user for whom the contested content has been saved may be transmitted and, in case of an appeal to the arbitration body by the user for which the contested content has been saved, the contact details of the complainant may also be transmitted. </w:t>
      </w:r>
      <w:bookmarkEnd w:id="27"/>
      <w:r>
        <w:rPr>
          <w:rStyle w:val="RevisionText"/>
          <w:color w:val="auto"/>
        </w:rPr>
        <w:t>The arbitration body is authorised to process the relevant personal data if this is necessary for the arbitration procedure; disclosure of the personal data of the complainant and the user for whom the contested content was saved is excluded.</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sidRPr="002D1297">
        <w:rPr>
          <w:color w:val="auto"/>
        </w:rPr>
        <w:t xml:space="preserve">Participation in arbitration procedures is voluntary. The right to appeal to the courts remains unaffected. The </w:t>
      </w:r>
      <w:bookmarkStart w:id="28" w:name="DQPErrorScopeCA95913401EB617EF752D152E14"/>
      <w:r w:rsidRPr="002D1297">
        <w:rPr>
          <w:color w:val="auto"/>
        </w:rPr>
        <w:t>Consumer Dispute Settlement Act</w:t>
      </w:r>
      <w:bookmarkEnd w:id="28"/>
      <w:r w:rsidR="002D1297">
        <w:rPr>
          <w:color w:val="auto"/>
        </w:rPr>
        <w:t xml:space="preserve"> </w:t>
      </w:r>
      <w:r w:rsidRPr="002D1297">
        <w:rPr>
          <w:color w:val="auto"/>
        </w:rPr>
        <w:t>of 19 February 2016 (Federal Law Gazette I p. 254, 1039), as amended by Article 1 of the Act of 30 November 2019 (Federal Law Gazette I, p. 1942), is not applicable.</w:t>
      </w:r>
    </w:p>
    <w:p w14:paraId="3F8F1C63" w14:textId="77777777" w:rsidR="000125D5" w:rsidRPr="002D1297" w:rsidRDefault="000125D5" w:rsidP="00E53355">
      <w:pPr>
        <w:pStyle w:val="RevisionParagraphBezeichnermanuell"/>
        <w:ind w:left="425"/>
        <w:rPr>
          <w:color w:val="auto"/>
        </w:rPr>
      </w:pPr>
      <w:r w:rsidRPr="002D1297">
        <w:rPr>
          <w:color w:val="auto"/>
        </w:rPr>
        <w:t>§ 3d</w:t>
      </w:r>
    </w:p>
    <w:p w14:paraId="7040D56F" w14:textId="77777777" w:rsidR="000125D5" w:rsidRPr="001355C5" w:rsidRDefault="006D22CC" w:rsidP="00E53355">
      <w:pPr>
        <w:pStyle w:val="RevisionParagraphberschrift"/>
        <w:ind w:left="425"/>
        <w:rPr>
          <w:color w:val="auto"/>
        </w:rPr>
      </w:pPr>
      <w:r>
        <w:rPr>
          <w:color w:val="auto"/>
        </w:rPr>
        <w:t>Definitions for video sharing platform services</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For the purposes of this Act:</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video sharing platform services are</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 xml:space="preserve">telemedia, the main purpose or an important function of which is to make broadcasts or user-generated videos for which the service provider has no </w:t>
      </w:r>
      <w:r>
        <w:rPr>
          <w:color w:val="auto"/>
        </w:rPr>
        <w:lastRenderedPageBreak/>
        <w:t>editorial responsibility available to the general public, in which the service provider determines the organisation of the broadcasts or user-generated videos, including by automatic means,</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separable parts of telemedia</w:t>
      </w:r>
      <w:r w:rsidR="002D1297">
        <w:rPr>
          <w:color w:val="auto"/>
        </w:rPr>
        <w:t xml:space="preserve"> </w:t>
      </w:r>
      <w:r>
        <w:rPr>
          <w:color w:val="auto"/>
        </w:rPr>
        <w:t>, if the separable part has the main purpose specified in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a user-generated video is a sequence of moving images with or without sound created by a user which, regardless of its length, constitutes an integral part and which is uploaded to a video sharing platform service by this or another user,</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a broadcast is a sequence of moving pictures with or without sound that, regardless of its length, is an integral part of a broadcasting plan or catalogue created by a service provider,</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a Member State is any member state of the European Union and any other state party to the Agreement on the European Economic Area to which Directive 2010/13/EU applies,</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a parent company is a company that controls one or more subsidiaries,</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a subsidiary is a company that is directly or indirectly controlled by a parent company,</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a group is the entirety of a parent company, all of its subsidiaries and all other companies that are economically and legally affiliated with the parent company and its subsidiaries.</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For the purposes of this Act, the domicile of a provider of a video sharing platform service is the Member State in whose territory the provider is established. If a provider of video sharing platform services is not established in the territory of a Member State, the Member State is the country of domicile in whose territory</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a parent company or a subsidiary of the provider, or</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another company in a group of which the provider is part,</w:t>
      </w:r>
    </w:p>
    <w:p w14:paraId="3AC701E4" w14:textId="77777777" w:rsidR="00494DCB" w:rsidRPr="001355C5" w:rsidRDefault="00A76F3C" w:rsidP="00E53355">
      <w:pPr>
        <w:pStyle w:val="RevisionJuristischerAbsatzFolgeabsatz"/>
        <w:ind w:left="425"/>
        <w:rPr>
          <w:color w:val="auto"/>
        </w:rPr>
      </w:pPr>
      <w:r>
        <w:rPr>
          <w:color w:val="auto"/>
        </w:rPr>
        <w:t>is established.</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If, in the cases of paragraph 2, sentence 2, the parent company, the subsidiary or the other companies of the group are each established in different Member States, then the provider is deemed to be established in the Member State in which its parent company is established or, in the absence of such an establishment, it is deemed to be established in the Member State in which its subsidiary is established or, in the absence of such an establishment, in the Member State in which the other company in the group is established. </w:t>
      </w:r>
      <w:bookmarkEnd w:id="29"/>
      <w:r>
        <w:rPr>
          <w:color w:val="auto"/>
        </w:rPr>
        <w:t>If there are several subsidiaries and each of these subsidiaries is established in a different Member State, the provider is deemed to be established in the Member State in which one of the subsidiaries commenced its operations first, provided that the subsidiary is permanently and factually connected to the economy of that Member State. If there are several other companies that are part of the group, each of which is established in a different Member State, the provider is deemed to be established in the Member State in which one of these companies first started, provided that there is a permanent and factual connection to the economy of that Member State.</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If there are disputes between the administrative authority mentioned in § 4 and an authority of another Member State as to which Member State is deemed to be the domicile of a provider of video sharing platform services, the administrative authority mentioned in § 4 shall immediately inform the European Commission.</w:t>
      </w:r>
    </w:p>
    <w:p w14:paraId="65B64238" w14:textId="77777777" w:rsidR="000A5E86" w:rsidRPr="001355C5" w:rsidRDefault="000A5E86" w:rsidP="00E53355">
      <w:pPr>
        <w:pStyle w:val="RevisionParagraphBezeichnermanuell"/>
        <w:ind w:left="425"/>
        <w:rPr>
          <w:color w:val="auto"/>
        </w:rPr>
      </w:pPr>
      <w:r>
        <w:rPr>
          <w:color w:val="auto"/>
        </w:rPr>
        <w:lastRenderedPageBreak/>
        <w:t>§ 3e</w:t>
      </w:r>
    </w:p>
    <w:p w14:paraId="1C1753AF" w14:textId="77777777" w:rsidR="000A5E86" w:rsidRPr="001355C5" w:rsidRDefault="00092488" w:rsidP="00E53355">
      <w:pPr>
        <w:pStyle w:val="RevisionParagraphberschrift"/>
        <w:ind w:left="425"/>
        <w:rPr>
          <w:color w:val="auto"/>
        </w:rPr>
      </w:pPr>
      <w:r>
        <w:rPr>
          <w:color w:val="auto"/>
        </w:rPr>
        <w:t>Provisions applicable to video sharing platform services</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This Act applies to providers of video sharing platform services, unless the paragraphs 2 and 3 state otherwise.</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For providers of video sharing platform services that have fewer than two million registered users in Germany, this Act only applies if the Federal Republic of Germany is the country of domicile or is deemed to be the country of domicile in accordance with § 3d(2) and (3). This Act only applies to them with regard to user-generated videos and broadcasts in accordance with § 3</w:t>
      </w:r>
      <w:proofErr w:type="gramStart"/>
      <w:r>
        <w:rPr>
          <w:color w:val="auto"/>
        </w:rPr>
        <w:t>d(</w:t>
      </w:r>
      <w:proofErr w:type="gramEnd"/>
      <w:r>
        <w:rPr>
          <w:color w:val="auto"/>
        </w:rPr>
        <w:t>1), points 2 and 3, which have content that meets the criteria for an offence as defined by §§ 111, 130(1) or (2), §§ 131, 140, 166 or 184b of the Criminal Code and is not justified. By way of derogation from § 1(2), these providers of video sharing platform services are exempt from the obligations under § 2, § 3(2), sentence 1, points 3 and 4, as well as (4) and §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With respect to the user-generated videos and broadcasts mentioned in paragraph 2, sentence 2, the obligations under §§ 2, 3 and 3b only apply to video sharing platform service providers for which a Member State other than the Federal Republic of Germany is or is considered to be the country of domicile in accordance with §§ 3</w:t>
      </w:r>
      <w:proofErr w:type="gramStart"/>
      <w:r>
        <w:rPr>
          <w:color w:val="auto"/>
        </w:rPr>
        <w:t>d(</w:t>
      </w:r>
      <w:proofErr w:type="gramEnd"/>
      <w:r>
        <w:rPr>
          <w:color w:val="auto"/>
        </w:rPr>
        <w:t xml:space="preserve">2) and (3) on the basis and in the scope of an order from the authority named in § 4. </w:t>
      </w:r>
      <w:bookmarkStart w:id="31" w:name="DQPErrorScopeBDF1949485EA6F0E446600D58EB"/>
      <w:bookmarkEnd w:id="30"/>
      <w:r>
        <w:rPr>
          <w:color w:val="auto"/>
        </w:rPr>
        <w:t xml:space="preserve">The order may be issued only to the extent that the conditions laid down in § 3(5) of the Telemedia Act of 26 February 2007 (Federal Law Gazette I p. 179), as last amended by Article 12 of the Act of 30 March 2021 (Federal Law Gazette I, p. 448), are fulfilled in the version in force and in compliance with the procedural steps required accordingly. </w:t>
      </w:r>
      <w:bookmarkEnd w:id="31"/>
      <w:r>
        <w:rPr>
          <w:color w:val="auto"/>
        </w:rPr>
        <w:t>The administrative authority named in § 4 can commission a body to check whether the conditions of § 3(5) sentence 1 of the Telemedia Act have been met.</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If this Act applies to the provider of a video sharing platform service in accordance with paragraphs 1 to 3 with regard to the user-generated videos and broadcasts referred to in paragraph 2, sentence 2, it will be obliged to reach an effective agreement with its users that the distribution of the user-generated videos and broadcasts named in paragraph 2, sentence 2 is prohibited.</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Official arbitration for disputes with video sharing platform services</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An official arbitration body is set up at the administrative authority mentioned in § 4. </w:t>
      </w:r>
      <w:bookmarkStart w:id="33" w:name="DQPErrorScopeE92CF804F62B9CE832E9F29632C"/>
      <w:r>
        <w:rPr>
          <w:color w:val="auto"/>
        </w:rPr>
        <w:t xml:space="preserve">The official arbitration body exists for the out-of-court settlement of disputes with providers of video sharing platform services regarding decisions as per § 3(2) sentence 1, points 1 to 3 concerning the presence of user-generated videos and broadcasts that have content that meets the criteria for an offence specified in § 3e(2) sentence 2 is not justified. </w:t>
      </w:r>
      <w:bookmarkStart w:id="34" w:name="DQPErrorScope36716444AD4BE67878A909DAB58"/>
      <w:bookmarkEnd w:id="33"/>
      <w:r>
        <w:rPr>
          <w:color w:val="auto"/>
        </w:rPr>
        <w:t>The official arbitration body is only responsible for disputes with providers of video sharing platform services where the Federal Republic of Germany is, or is deemed to be, the country of domicile in accordance with § 3d(2), and only if the provider does not participate in arbitration procedures by a recognised arbitration body in accordance with § 3c(1) or if no organisation under private law is recognised as an arbitration body in accordance with § 3c(1).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The requirements of § 3c(2) sentence 1, points 2 to 5, as well as § 3(9) and § 3c(3) and (4) apply to the official arbitration body accordingly.</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The official arbitration body may charge fees for conducting the arbitration procedure which must be specified in their arbitration rules.’</w:t>
      </w:r>
    </w:p>
    <w:p w14:paraId="1C58FB43" w14:textId="77777777" w:rsidR="007068D4" w:rsidRPr="001355C5" w:rsidRDefault="009545A0" w:rsidP="007068D4">
      <w:pPr>
        <w:pStyle w:val="NummerierungStufe1"/>
      </w:pPr>
      <w:r>
        <w:lastRenderedPageBreak/>
        <w:t>§</w:t>
      </w:r>
      <w:bookmarkStart w:id="35" w:name="eNV_C9F55B4BE97741478F2249B607AE3168_1"/>
      <w:bookmarkEnd w:id="35"/>
      <w:r>
        <w:t xml:space="preserve"> 4 is amended as follows:</w:t>
      </w:r>
    </w:p>
    <w:p w14:paraId="1CAC0552" w14:textId="77777777" w:rsidR="005468C2" w:rsidRPr="001355C5" w:rsidRDefault="005468C2" w:rsidP="009545A0">
      <w:pPr>
        <w:pStyle w:val="NummerierungStufe2"/>
      </w:pPr>
      <w:r>
        <w:t>Paragraph 1 is amended as follows:</w:t>
      </w:r>
    </w:p>
    <w:p w14:paraId="0E54D550" w14:textId="77777777" w:rsidR="00CA1C39" w:rsidRPr="001355C5" w:rsidRDefault="00CA1C39" w:rsidP="00CA1C39">
      <w:pPr>
        <w:pStyle w:val="NummerierungStufe3"/>
      </w:pPr>
      <w:r>
        <w:t xml:space="preserve">In point 2, the words </w:t>
      </w:r>
      <w:r>
        <w:rPr>
          <w:rStyle w:val="RevisionText"/>
          <w:color w:val="auto"/>
        </w:rPr>
        <w:t>‘or § 3b(1) sentence 1’</w:t>
      </w:r>
      <w:r>
        <w:t xml:space="preserve"> are inserted after the words </w:t>
      </w:r>
      <w:r>
        <w:rPr>
          <w:rStyle w:val="RevisionText"/>
          <w:color w:val="auto"/>
        </w:rPr>
        <w:t>‘sentence 1’</w:t>
      </w:r>
      <w:r>
        <w:t xml:space="preserve"> and the words </w:t>
      </w:r>
      <w:r>
        <w:rPr>
          <w:rStyle w:val="RevisionText"/>
          <w:color w:val="auto"/>
        </w:rPr>
        <w:t>‘or for a review of a decision’</w:t>
      </w:r>
      <w:r>
        <w:t xml:space="preserve"> are inserted after the word </w:t>
      </w:r>
      <w:r>
        <w:rPr>
          <w:rStyle w:val="RevisionText"/>
          <w:color w:val="auto"/>
        </w:rPr>
        <w:t>‘have’</w:t>
      </w:r>
      <w:r>
        <w:t>.</w:t>
      </w:r>
    </w:p>
    <w:p w14:paraId="67880C37" w14:textId="77777777" w:rsidR="00E94ACD" w:rsidRPr="001355C5" w:rsidRDefault="00E94ACD" w:rsidP="00092488">
      <w:pPr>
        <w:pStyle w:val="NummerierungStufe3"/>
      </w:pPr>
      <w:r>
        <w:t xml:space="preserve">In point 3, the words </w:t>
      </w:r>
      <w:r>
        <w:rPr>
          <w:rStyle w:val="RevisionText"/>
          <w:color w:val="auto"/>
        </w:rPr>
        <w:t>‘or § 3b(1) sentence 3’</w:t>
      </w:r>
      <w:r>
        <w:t xml:space="preserve"> are inserted after the words </w:t>
      </w:r>
      <w:r>
        <w:rPr>
          <w:rStyle w:val="RevisionText"/>
          <w:color w:val="auto"/>
        </w:rPr>
        <w:t>‘sentence 2’</w:t>
      </w:r>
      <w:r>
        <w:t>.</w:t>
      </w:r>
    </w:p>
    <w:p w14:paraId="694995FC" w14:textId="77777777" w:rsidR="005468C2" w:rsidRPr="001355C5" w:rsidRDefault="005468C2" w:rsidP="00092488">
      <w:pPr>
        <w:pStyle w:val="NummerierungStufe3"/>
      </w:pPr>
      <w:bookmarkStart w:id="36" w:name="DQPErrorScopeE72DC994AA48B802F2C16A30F0D"/>
      <w:r>
        <w:t>Point 6a becomes point 7.</w:t>
      </w:r>
      <w:bookmarkEnd w:id="36"/>
    </w:p>
    <w:p w14:paraId="470BD5FD" w14:textId="77777777" w:rsidR="005468C2" w:rsidRPr="001355C5" w:rsidRDefault="005468C2" w:rsidP="00092488">
      <w:pPr>
        <w:pStyle w:val="NummerierungStufe3"/>
      </w:pPr>
      <w:bookmarkStart w:id="37" w:name="DQPErrorScopeCB774C2457AB3DE6B781A62FB20"/>
      <w:r>
        <w:t>The previous points 7 and 8 become the new points 8 and 9.</w:t>
      </w:r>
      <w:bookmarkEnd w:id="37"/>
    </w:p>
    <w:p w14:paraId="2C1D24E7" w14:textId="77777777" w:rsidR="000E1AD4" w:rsidRPr="001355C5" w:rsidRDefault="000E1AD4" w:rsidP="009545A0">
      <w:pPr>
        <w:pStyle w:val="NummerierungStufe2"/>
      </w:pPr>
      <w:r>
        <w:t xml:space="preserve">In paragraph 2(1), the words </w:t>
      </w:r>
      <w:r>
        <w:rPr>
          <w:rStyle w:val="RevisionText"/>
          <w:color w:val="auto"/>
        </w:rPr>
        <w:t>‘points 7 and 8’</w:t>
      </w:r>
      <w:r>
        <w:t xml:space="preserve"> are replaced by the words </w:t>
      </w:r>
      <w:r>
        <w:rPr>
          <w:rStyle w:val="RevisionText"/>
          <w:color w:val="auto"/>
        </w:rPr>
        <w:t>‘points 8 and 9’</w:t>
      </w:r>
      <w:r>
        <w:t>.</w:t>
      </w:r>
    </w:p>
    <w:p w14:paraId="751D6B29" w14:textId="77777777" w:rsidR="00AD2CA4" w:rsidRPr="001355C5" w:rsidRDefault="00AD2CA4" w:rsidP="00AD2CA4">
      <w:pPr>
        <w:pStyle w:val="NummerierungStufe1"/>
      </w:pPr>
      <w:r>
        <w:t>A</w:t>
      </w:r>
      <w:bookmarkStart w:id="38" w:name="eNV_E6DE02647D4D48EA8EC2D351BB8C0943_1"/>
      <w:bookmarkEnd w:id="38"/>
      <w:r>
        <w:t>fter § 4, the following § 4a shall be inserted:</w:t>
      </w:r>
    </w:p>
    <w:p w14:paraId="04A4FB69" w14:textId="77777777" w:rsidR="00AD2CA4" w:rsidRPr="001355C5" w:rsidRDefault="00AD2CA4" w:rsidP="00E53355">
      <w:pPr>
        <w:pStyle w:val="RevisionParagraphBezeichnermanuell"/>
        <w:ind w:left="425" w:hanging="75"/>
        <w:rPr>
          <w:color w:val="auto"/>
        </w:rPr>
      </w:pPr>
      <w:r>
        <w:rPr>
          <w:color w:val="auto"/>
        </w:rPr>
        <w:t>‘§ 4a</w:t>
      </w:r>
    </w:p>
    <w:p w14:paraId="484D93D5" w14:textId="77777777" w:rsidR="00AD2CA4" w:rsidRPr="001355C5" w:rsidRDefault="00AD2CA4" w:rsidP="00E53355">
      <w:pPr>
        <w:pStyle w:val="RevisionParagraphberschrift"/>
        <w:ind w:left="425"/>
        <w:rPr>
          <w:color w:val="auto"/>
        </w:rPr>
      </w:pPr>
      <w:r>
        <w:rPr>
          <w:color w:val="auto"/>
        </w:rPr>
        <w:t>Supervision</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The administrative authority specified in § 4 shall monitor compliance with the provisions of this Act.</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If the administrative authority referred to in § 4 determines that a social network provider has violated or is violating the provisions of this Act, it will take the necessary measures against the provider. In particular, it can require the provider to remedy the infringement. § 4(5) shall apply mutatis mutandis, with the proviso that the court that would decide on the objection to an administrative fine is competent.</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In the administrative procedure pursuant to paragraph 2, the social network provider shall provide the administrative authority referred to in § 4 on its request with information on the measures taken to implement this Act, the number of registered users in Germany and the complaints about unlawful content received in the past calendar year; the representatives of the provider, as well as in the case of legal entities, companies and unincorporated associations, the persons appointed by law or the articles of association, are required to disclose the requested information on behalf of the company. </w:t>
      </w:r>
      <w:bookmarkEnd w:id="39"/>
      <w:r>
        <w:rPr>
          <w:color w:val="auto"/>
        </w:rPr>
        <w:t>The request for information must be proportionate. If natural persons are obliged to cooperate in accordance with sentence 1, they must also disclose facts that may result in prosecution for a criminal offence or an administrative offence if it is otherwise difficult or unlikely to obtain the information. However, information provided by a natural person pursuant to sentence 1 may only be used in criminal proceedings or in proceedings under the Code of Administrative Offences against said person or one of the relatives specified in § 383(1)(1) to (3) of the Code of Civil Procedure with the consent of said person. Information provided in accordance with sentence 1 may only be used against the provider in proceedings for setting a fine in accordance with § 30 of the Code of Administrative Offences with the consent of the provider or the person who has given the information as a result of their obligation under sentence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 xml:space="preserve">Witnesses are obliged to testify in the administrative procedure under paragraph 2. The witness may refuse to disclose in case of questions which, if answered, would place the witness himself/herself or one of the relatives described in § 383(1)(1) </w:t>
      </w:r>
      <w:r>
        <w:rPr>
          <w:color w:val="auto"/>
        </w:rPr>
        <w:lastRenderedPageBreak/>
        <w:t>to (3) of the Code of Civil Procedure at risk of criminal prosecution or proceedings pursuant to the Code of Administrative Offences. Otherwise, the provisions of the Code of Civil Procedure regarding the obligation to testify as a witness shall apply accordingly. The administrative authority referred to in § 4 must inform the witness of their right to refuse to testify before the hearing.’</w:t>
      </w:r>
    </w:p>
    <w:p w14:paraId="4340EFAD" w14:textId="77777777" w:rsidR="00AD2CA4" w:rsidRPr="001355C5" w:rsidRDefault="00AD2CA4" w:rsidP="006945A0">
      <w:pPr>
        <w:pStyle w:val="NummerierungStufe1"/>
      </w:pPr>
      <w:r>
        <w:t>§ </w:t>
      </w:r>
      <w:bookmarkStart w:id="40" w:name="eNV_04FF9BB8F8AA4AA7A9BF1B042E4A5062_1"/>
      <w:bookmarkEnd w:id="40"/>
      <w:r>
        <w:t xml:space="preserve"> 5 is amended as follows:</w:t>
      </w:r>
    </w:p>
    <w:p w14:paraId="2D379F88" w14:textId="77777777" w:rsidR="00AD2CA4" w:rsidRPr="001355C5" w:rsidRDefault="00AD2CA4" w:rsidP="00AD2CA4">
      <w:pPr>
        <w:pStyle w:val="NummerierungStufe2"/>
      </w:pPr>
      <w:r>
        <w:t>T</w:t>
      </w:r>
      <w:bookmarkStart w:id="41" w:name="eNV_FE6D31F203874E4C8EEC616DEBA99F3C_1"/>
      <w:bookmarkEnd w:id="41"/>
      <w:r>
        <w:t>he second and third sentences of the first paragraph shall read as follows:</w:t>
      </w:r>
    </w:p>
    <w:p w14:paraId="49EFFC86" w14:textId="77777777" w:rsidR="00AA3DB5" w:rsidRPr="001355C5" w:rsidRDefault="00AA3DB5" w:rsidP="00E53355">
      <w:pPr>
        <w:pStyle w:val="RevisionJuristischerAbsatzFolgeabsatz"/>
        <w:ind w:left="850"/>
        <w:rPr>
          <w:bCs/>
          <w:color w:val="auto"/>
        </w:rPr>
      </w:pPr>
      <w:r>
        <w:rPr>
          <w:color w:val="auto"/>
        </w:rPr>
        <w:t>‘Deliveries can be made to them in proceedings on fines and in supervisory proceedings in accordance with §§ 4 and 4a or in judicial proceedings before German courts on the basis of dissemination or unjustifiable acceptance of the dissemination of unlawful content, particularly in cases in which the reinstatement of removed or blocked content is requested. This also applies to the delivery of documents that initiate such proceedings, for the delivery of final judicial decisions and for deliveries in enforcement or enforcement proceedings.’</w:t>
      </w:r>
    </w:p>
    <w:p w14:paraId="16B76B89" w14:textId="77777777" w:rsidR="00AA3DB5" w:rsidRPr="001355C5" w:rsidRDefault="00AA3DB5" w:rsidP="00AA3DB5">
      <w:pPr>
        <w:pStyle w:val="NummerierungStufe2"/>
      </w:pPr>
      <w:r>
        <w:t>P</w:t>
      </w:r>
      <w:bookmarkStart w:id="42" w:name="eNV_9291AE4B799844E98739D68DE9F55F7C_1"/>
      <w:bookmarkEnd w:id="42"/>
      <w:r>
        <w:t>aragraph 2 is amended as follows:</w:t>
      </w:r>
    </w:p>
    <w:p w14:paraId="15A52BDB" w14:textId="77777777" w:rsidR="00AA3DB5" w:rsidRPr="001355C5" w:rsidRDefault="00AA3DB5" w:rsidP="00AA3DB5">
      <w:pPr>
        <w:pStyle w:val="NummerierungStufe3"/>
      </w:pPr>
      <w:r>
        <w:t>I</w:t>
      </w:r>
      <w:bookmarkStart w:id="43" w:name="eNV_C9EC0596544E46D7A0B4712CAE7C00B0_1"/>
      <w:bookmarkEnd w:id="43"/>
      <w:r>
        <w:t xml:space="preserve">n sentence 1, the words </w:t>
      </w:r>
      <w:r>
        <w:rPr>
          <w:rStyle w:val="RevisionText"/>
          <w:color w:val="auto"/>
        </w:rPr>
        <w:t>‘towards the administrative authority referred to in § 4’</w:t>
      </w:r>
      <w:r>
        <w:t xml:space="preserve"> are inserted after the word </w:t>
      </w:r>
      <w:r>
        <w:rPr>
          <w:rStyle w:val="RevisionText"/>
          <w:color w:val="auto"/>
        </w:rPr>
        <w:t>‘domestic’</w:t>
      </w:r>
      <w:r>
        <w:t>.</w:t>
      </w:r>
    </w:p>
    <w:p w14:paraId="7C90362A" w14:textId="77777777" w:rsidR="00AA3DB5" w:rsidRPr="001355C5" w:rsidRDefault="00CE291E" w:rsidP="00AA3DB5">
      <w:pPr>
        <w:pStyle w:val="NummerierungStufe3"/>
      </w:pPr>
      <w:r>
        <w:t>The f</w:t>
      </w:r>
      <w:bookmarkStart w:id="44" w:name="eNV_CD5A7E96D5134342A11A35189CB5E6D5_1"/>
      <w:bookmarkEnd w:id="44"/>
      <w:r>
        <w:t>ollowing sentences are added:</w:t>
      </w:r>
    </w:p>
    <w:p w14:paraId="437ADFA5" w14:textId="77777777" w:rsidR="00F86A78" w:rsidRPr="001355C5" w:rsidRDefault="00AA3DB5" w:rsidP="00E53355">
      <w:pPr>
        <w:pStyle w:val="RevisionJuristischerAbsatzFolgeabsatz"/>
        <w:ind w:left="1276"/>
        <w:rPr>
          <w:bCs/>
          <w:color w:val="auto"/>
        </w:rPr>
      </w:pPr>
      <w:r>
        <w:rPr>
          <w:color w:val="auto"/>
        </w:rPr>
        <w:t>‘The administrative authority referred to in § 4 keeps a list of authorised recipients. It shall provide information on this to domestic law enforcement agencies upon request.’</w:t>
      </w:r>
    </w:p>
    <w:p w14:paraId="5BE2967B" w14:textId="77777777" w:rsidR="000235A5" w:rsidRPr="001355C5" w:rsidRDefault="000235A5" w:rsidP="008A1C13">
      <w:pPr>
        <w:pStyle w:val="NummerierungStufe1"/>
      </w:pPr>
      <w:r>
        <w:t>The following § 5a is inserted after § 5:</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Information for scientific research</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For the purposes of this provision, ‘researcher’ means any natural person or legal entity carrying out scientific research.</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Researchers may request qualified information from a social network provider about</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the use and specific workings of automated procedures for detecting content to be removed or blocked, in particular the nature and extent of the technologies used and the purposes, criteria and parameters used to program them, as well as the data used;</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the dissemination of content which has attracted complaints regarding illicit content or which the provider has removed or blocked, in particular the relevant content and information about which users have interacted with the content and how.</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Information under paragraph 2 may be requested only to the extent necessary for scientific research projects in the public interest on the nature, scope, causes and effects of public communication on social networks and how providers deal with this.</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Access may only be granted if the researcher presents a security concept to the social network provider. The protection concept includes</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a description of the information required for the research purposes referred to in paragraph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a description of the intended use of the information,</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a description of the measures taken to prevent any other use of the information,</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a description of the precautions taken to protect the provider’s legitimate interests, and</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a description of the technical and organisational measures taken to protect personal data.</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Social network providers may refuse to grant access if:</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their legitimate interests considerably outweigh the public interest in the research; or</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the data subjects’ legitimate interests are encroached upon and the public interest in the research does not outweigh the data subjects’ interest in maintaining confidentiality.</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Social network providers may send the following personal data for the purposes of granting access in accordance with paragraph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the disseminated content;</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complaints about illicit content;</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the usernames of those involved in disseminating the content;</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more detail on the circumstances surrounding the interactions of those involved in disseminating the content in question; and</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data used to train automated procedures for detecting content to be removed or blocked, along with information on the workings, purposes, criteria and parameters for programming these procedures.</w:t>
      </w:r>
    </w:p>
    <w:p w14:paraId="101C9DCB" w14:textId="77777777" w:rsidR="000235A5" w:rsidRPr="001355C5" w:rsidRDefault="000235A5" w:rsidP="000235A5">
      <w:pPr>
        <w:pStyle w:val="RevisionJuristischerAbsatzFolgeabsatz"/>
        <w:ind w:left="425"/>
        <w:rPr>
          <w:color w:val="auto"/>
        </w:rPr>
      </w:pPr>
      <w:r>
        <w:rPr>
          <w:color w:val="auto"/>
        </w:rPr>
        <w:t>The data shall be sent in anonymised or at least pseudonymised format, where this is possible without jeopardising the purpose of the research.</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Researchers may process the data solely for the purposes of scientific research projects referred to in paragraph 3. Where researchers process special categories of data within the meaning of Article 9(1)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L 314, 22.11.2016, p. 72; L 127, 23.5.2018, p. 2), as amended, they shall provide appropriate and specific measures for this purpose to safeguard the interests of the data subject pursuant to § 22(2)(2) of the Federal Data Protection Act. In addition to the measures referred to in that Act, the data shall be anonymised as set out in Article 9(1) of Regulation (EU) 2016/679 as soon as this is possible depending on the purpose of the research. </w:t>
      </w:r>
      <w:bookmarkEnd w:id="46"/>
      <w:r>
        <w:rPr>
          <w:color w:val="auto"/>
        </w:rPr>
        <w:t xml:space="preserve"> Any data protection requirements beyond this remain unaffected.</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 xml:space="preserve">Social network providers shall be entitled to reimbursement from the researcher for any reasonable costs incurred in granting access pursuant to paragraph 2. When determining the appropriate level of these costs, it must be kept in mind that they </w:t>
      </w:r>
      <w:r>
        <w:rPr>
          <w:color w:val="auto"/>
        </w:rPr>
        <w:lastRenderedPageBreak/>
        <w:t>must not be so high as to constitute a substantial obstacle to exercising the right to information. § 287(1) of the Code of Civil Procedure shall also apply. The maximum reimbursable costs shall be EUR 5 000, except as provided for by sentence 5. This amount may only be exceeded if providing access entails exceptionally high costs. After submitting the security concept in accordance with paragraph 4, researchers may demand a free cost estimate from the provider within a reasonable period of time.’</w:t>
      </w:r>
      <w:bookmarkEnd w:id="48"/>
    </w:p>
    <w:p w14:paraId="2077EF98" w14:textId="77777777" w:rsidR="006945A0" w:rsidRPr="001355C5" w:rsidRDefault="006945A0" w:rsidP="008A1C13">
      <w:pPr>
        <w:pStyle w:val="NummerierungStufe1"/>
      </w:pPr>
      <w:r>
        <w:t>The following (3) to (6) are added to § 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For reports covering periods up to and including 31 December 2021, § 2 of the Act on the Improvement of Law Enforcement in Social Networks of 1 September 2017 (Federal Law Gazette I, p. 3352) is applicable.</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The report pursuant to § 3(9) is initially to be submitted by 31 July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For bodies of regulated self-regulation which had already been recognised on 28 June 2021, § 3(6)(3) shall apply until the end of 2022, as amended by the Law on the Improvement of Law Enforcement in Social Networks of 1 September 2017 (Federal Law Gazette I p.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For providers that are not providers of video-sharing platform services, § 3b shall only apply from 1 October 2021. In the case of providers of video-sharing platform services, § 3b shall apply only from 1 October 2021 with regard to content that is not user-generated videos or broadcasts.’</w:t>
      </w:r>
    </w:p>
    <w:p w14:paraId="2118C079" w14:textId="440D3807" w:rsidR="00455A86" w:rsidRPr="001355C5" w:rsidRDefault="00B61AA0" w:rsidP="00B61AA0">
      <w:pPr>
        <w:pStyle w:val="ArtikelBezeichner"/>
        <w:numPr>
          <w:ilvl w:val="0"/>
          <w:numId w:val="0"/>
        </w:numPr>
      </w:pPr>
      <w:r>
        <w:t>Article 2</w:t>
      </w:r>
    </w:p>
    <w:p w14:paraId="4D9CB7F9" w14:textId="77777777" w:rsidR="00455A86" w:rsidRPr="001355C5" w:rsidRDefault="00455A86" w:rsidP="00455A86">
      <w:pPr>
        <w:pStyle w:val="Artikelberschrift"/>
      </w:pPr>
      <w:r>
        <w:t>A</w:t>
      </w:r>
      <w:bookmarkStart w:id="51" w:name="eNV_75EECEE39F6042299F02C89BB83ABA93_1"/>
      <w:bookmarkEnd w:id="51"/>
      <w:r>
        <w:t>mendment to the Telemedia Act</w:t>
      </w:r>
    </w:p>
    <w:p w14:paraId="104AB961" w14:textId="56887D9A" w:rsidR="00455A86" w:rsidRPr="001355C5" w:rsidRDefault="00AC2CB9" w:rsidP="00FA30F0">
      <w:pPr>
        <w:pStyle w:val="JuristischerAbsatznichtnummeriert"/>
      </w:pPr>
      <w:r>
        <w:t>§ 14 of the Registration of Persons Act of 26 February 2007 (Federal Law Gazette I p. 179), last amended by Article 12 of the Act of 30 March 2021 (Federal Law Gazette I p. 448,1380) is amended, as follows:</w:t>
      </w:r>
    </w:p>
    <w:p w14:paraId="1DB683A0" w14:textId="77777777" w:rsidR="00FF2EC1" w:rsidRPr="001355C5" w:rsidRDefault="00FF2EC1" w:rsidP="00FF2EC1">
      <w:pPr>
        <w:pStyle w:val="NummerierungStufe1"/>
      </w:pPr>
      <w:r>
        <w:t>The following sentence is added to paragraph 3:</w:t>
      </w:r>
    </w:p>
    <w:p w14:paraId="7DE44C3D" w14:textId="77777777" w:rsidR="00FF2EC1" w:rsidRPr="001355C5" w:rsidRDefault="00FF2EC1" w:rsidP="00065020">
      <w:pPr>
        <w:pStyle w:val="RevisionJuristischerAbsatzFolgeabsatz"/>
        <w:ind w:left="425"/>
        <w:rPr>
          <w:color w:val="auto"/>
        </w:rPr>
      </w:pPr>
      <w:r>
        <w:rPr>
          <w:color w:val="auto"/>
        </w:rPr>
        <w:t>‘To this extent, he is obliged to provide information to the aggrieved party.’</w:t>
      </w:r>
    </w:p>
    <w:p w14:paraId="3A4DCC6D" w14:textId="77777777" w:rsidR="00FF2EC1" w:rsidRPr="001355C5" w:rsidRDefault="00FF2EC1" w:rsidP="005D706D">
      <w:pPr>
        <w:pStyle w:val="NummerierungStufe1"/>
      </w:pPr>
      <w:r>
        <w:t>The following sentence is inserted after paragraph 4, sentence 1:</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The court also decides on the obligation to provide information, unless the request is expressly limited to ordering the admissibility of the information.</w:t>
      </w:r>
      <w:r>
        <w:rPr>
          <w:rStyle w:val="RevisionText"/>
          <w:color w:val="auto"/>
        </w:rPr>
        <w:t>’</w:t>
      </w:r>
    </w:p>
    <w:p w14:paraId="3490D74B" w14:textId="1817ADD9" w:rsidR="008157F4" w:rsidRDefault="00B61AA0" w:rsidP="00B61AA0">
      <w:pPr>
        <w:pStyle w:val="ArtikelBezeichner"/>
        <w:numPr>
          <w:ilvl w:val="0"/>
          <w:numId w:val="0"/>
        </w:numPr>
      </w:pPr>
      <w:r>
        <w:t>Article 3</w:t>
      </w:r>
    </w:p>
    <w:p w14:paraId="33A01610" w14:textId="77777777" w:rsidR="008157F4" w:rsidRDefault="008157F4" w:rsidP="008157F4">
      <w:pPr>
        <w:pStyle w:val="Artikelberschrift"/>
      </w:pPr>
      <w:r>
        <w:t>Amendment to the Act on combating right-wing extremism and hate crime</w:t>
      </w:r>
    </w:p>
    <w:p w14:paraId="1F7B3809" w14:textId="77777777" w:rsidR="008157F4" w:rsidRDefault="008157F4" w:rsidP="008157F4">
      <w:pPr>
        <w:pStyle w:val="JuristischerAbsatznichtnummeriert"/>
      </w:pPr>
      <w:r>
        <w:t>Article 7(1)(b) and (2) of the Act on combating right-wing extremism and hate crime of 30 March 2021 (Federal Law Gazette I p. 441), as amended by Article 15 of the Act of 30 March 2021 (Federal Law Gazette I, p. 448), is repealed.</w:t>
      </w:r>
    </w:p>
    <w:p w14:paraId="55216B0A" w14:textId="14079E9E" w:rsidR="006945A0" w:rsidRPr="006945A0" w:rsidRDefault="00B61AA0" w:rsidP="00B61AA0">
      <w:pPr>
        <w:pStyle w:val="ArtikelBezeichner"/>
        <w:numPr>
          <w:ilvl w:val="0"/>
          <w:numId w:val="0"/>
        </w:numPr>
      </w:pPr>
      <w:r>
        <w:lastRenderedPageBreak/>
        <w:t>Article 4</w:t>
      </w:r>
    </w:p>
    <w:p w14:paraId="7E143A31" w14:textId="77777777" w:rsidR="006945A0" w:rsidRPr="006945A0" w:rsidRDefault="006945A0" w:rsidP="008A1C13">
      <w:pPr>
        <w:pStyle w:val="Artikelberschrift"/>
      </w:pPr>
      <w:r>
        <w:t>Entry into force</w:t>
      </w:r>
    </w:p>
    <w:p w14:paraId="690968A7" w14:textId="29B2BF15" w:rsidR="006945A0" w:rsidRDefault="00065020" w:rsidP="0040116B">
      <w:pPr>
        <w:pStyle w:val="JuristischerAbsatznummeriert"/>
      </w:pPr>
      <w:r>
        <w:t>This Act shall enter into force on 28 June 2021, subject to paragraphs 2 and 3.</w:t>
      </w:r>
    </w:p>
    <w:p w14:paraId="2900BC71" w14:textId="228CA322" w:rsidR="008157F4" w:rsidRPr="006945A0" w:rsidRDefault="00065020" w:rsidP="0040116B">
      <w:pPr>
        <w:pStyle w:val="JuristischerAbsatznummeriert"/>
      </w:pPr>
      <w:r>
        <w:t>In Article 1(3)(b) double letter bb, § 3(2)(5) of the Network Enforcement Act enters into force on 1 October 2021.</w:t>
      </w:r>
    </w:p>
    <w:p w14:paraId="1C49F280" w14:textId="77777777" w:rsidR="006945A0" w:rsidRPr="006945A0" w:rsidRDefault="006945A0" w:rsidP="0040116B">
      <w:pPr>
        <w:pStyle w:val="JuristischerAbsatznummeriert"/>
      </w:pPr>
      <w:r>
        <w:t>On 1 February 2022, the following shall enter into force:</w:t>
      </w:r>
    </w:p>
    <w:p w14:paraId="5BE8DBDC" w14:textId="77777777" w:rsidR="006945A0" w:rsidRDefault="00065020" w:rsidP="0040116B">
      <w:pPr>
        <w:pStyle w:val="NummerierungStufe1"/>
      </w:pPr>
      <w:r>
        <w:t>Article 1(4),</w:t>
      </w:r>
    </w:p>
    <w:p w14:paraId="0F476C14" w14:textId="77777777" w:rsidR="00065020" w:rsidRPr="006945A0" w:rsidRDefault="00065020" w:rsidP="0040116B">
      <w:pPr>
        <w:pStyle w:val="NummerierungStufe1"/>
      </w:pPr>
      <w:r>
        <w:t>Article 1(6)(a), double letter (cc) and (dd) and point (b), and</w:t>
      </w:r>
    </w:p>
    <w:p w14:paraId="1354F279" w14:textId="496FF371" w:rsidR="006945A0" w:rsidRDefault="00065020" w:rsidP="008A1C13">
      <w:pPr>
        <w:pStyle w:val="NummerierungStufe1"/>
      </w:pPr>
      <w:r>
        <w:t>Article 1(9).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The rights of the Bundesrat under the constitution are preserved.</w:t>
      </w:r>
    </w:p>
    <w:p w14:paraId="6630C8D5" w14:textId="21074584" w:rsidR="00524B83" w:rsidRPr="00524B83" w:rsidRDefault="00524B83" w:rsidP="00524B83">
      <w:pPr>
        <w:pStyle w:val="JuristischerAbsatzFolgeabsatz"/>
      </w:pPr>
      <w:r>
        <w:t>The Act stipulated above is hereby executed. It shall be published in the Federal Law Gazette.</w:t>
      </w:r>
    </w:p>
    <w:p w14:paraId="789581D2" w14:textId="77777777" w:rsidR="00524B83" w:rsidRPr="00B61AA0" w:rsidRDefault="00524B83" w:rsidP="00524B83">
      <w:pPr>
        <w:pStyle w:val="JuristischerAbsatzFolgeabsatz"/>
      </w:pPr>
      <w:r>
        <w:t>Berlin, 03 June 2021</w:t>
      </w:r>
    </w:p>
    <w:p w14:paraId="1AA24B74" w14:textId="77777777" w:rsidR="00524B83" w:rsidRPr="00881D48" w:rsidRDefault="00524B83" w:rsidP="00524B83">
      <w:pPr>
        <w:pStyle w:val="JuristischerAbsatzFolgeabsatz"/>
        <w:jc w:val="center"/>
        <w:rPr>
          <w:spacing w:val="50"/>
        </w:rPr>
      </w:pPr>
      <w:r w:rsidRPr="00881D48">
        <w:rPr>
          <w:spacing w:val="50"/>
        </w:rPr>
        <w:t>The Federal President</w:t>
      </w:r>
    </w:p>
    <w:p w14:paraId="5F3565D9" w14:textId="77777777" w:rsidR="00524B83" w:rsidRPr="00881D48" w:rsidRDefault="00524B83" w:rsidP="00524B83">
      <w:pPr>
        <w:pStyle w:val="JuristischerAbsatzFolgeabsatz"/>
        <w:jc w:val="center"/>
        <w:rPr>
          <w:spacing w:val="50"/>
        </w:rPr>
      </w:pPr>
      <w:r w:rsidRPr="00881D48">
        <w:rPr>
          <w:spacing w:val="50"/>
        </w:rPr>
        <w:t>Steinmeier</w:t>
      </w:r>
    </w:p>
    <w:p w14:paraId="1E912554" w14:textId="77777777" w:rsidR="00524B83" w:rsidRPr="00881D48" w:rsidRDefault="00524B83" w:rsidP="00524B83">
      <w:pPr>
        <w:pStyle w:val="JuristischerAbsatzFolgeabsatz"/>
        <w:jc w:val="center"/>
        <w:rPr>
          <w:spacing w:val="50"/>
        </w:rPr>
      </w:pPr>
      <w:r w:rsidRPr="00881D48">
        <w:rPr>
          <w:spacing w:val="50"/>
        </w:rPr>
        <w:t>The Federal Chancellor</w:t>
      </w:r>
    </w:p>
    <w:p w14:paraId="4151C5C8" w14:textId="77777777" w:rsidR="00524B83" w:rsidRPr="00881D48" w:rsidRDefault="00524B83" w:rsidP="00524B83">
      <w:pPr>
        <w:pStyle w:val="JuristischerAbsatzFolgeabsatz"/>
        <w:jc w:val="center"/>
        <w:rPr>
          <w:spacing w:val="50"/>
        </w:rPr>
      </w:pPr>
      <w:r w:rsidRPr="00881D48">
        <w:rPr>
          <w:spacing w:val="50"/>
        </w:rPr>
        <w:t>Dr Angela Merkel</w:t>
      </w:r>
    </w:p>
    <w:p w14:paraId="791D6152" w14:textId="77777777" w:rsidR="00524B83" w:rsidRPr="00881D48" w:rsidRDefault="00524B83" w:rsidP="00524B83">
      <w:pPr>
        <w:pStyle w:val="JuristischerAbsatzFolgeabsatz"/>
        <w:jc w:val="center"/>
        <w:rPr>
          <w:spacing w:val="50"/>
        </w:rPr>
      </w:pPr>
      <w:r w:rsidRPr="00881D48">
        <w:rPr>
          <w:spacing w:val="50"/>
        </w:rPr>
        <w:t>The Federal Minister</w:t>
      </w:r>
    </w:p>
    <w:p w14:paraId="772B748E" w14:textId="77777777" w:rsidR="00524B83" w:rsidRPr="00881D48" w:rsidRDefault="00524B83" w:rsidP="00524B83">
      <w:pPr>
        <w:pStyle w:val="JuristischerAbsatzFolgeabsatz"/>
        <w:jc w:val="center"/>
        <w:rPr>
          <w:spacing w:val="50"/>
        </w:rPr>
      </w:pPr>
      <w:r w:rsidRPr="00881D48">
        <w:rPr>
          <w:spacing w:val="50"/>
        </w:rPr>
        <w:t>for Justice and Consumer Protection</w:t>
      </w:r>
    </w:p>
    <w:p w14:paraId="4D3A1799" w14:textId="59236FD5" w:rsidR="00524B83" w:rsidRPr="00881D48" w:rsidRDefault="00524B83" w:rsidP="00524B83">
      <w:pPr>
        <w:pStyle w:val="JuristischerAbsatzFolgeabsatz"/>
        <w:jc w:val="center"/>
        <w:rPr>
          <w:spacing w:val="50"/>
        </w:rPr>
      </w:pPr>
      <w:r w:rsidRPr="00881D48">
        <w:rPr>
          <w:spacing w:val="50"/>
        </w:rPr>
        <w:t>Christine Lambrecht</w:t>
      </w:r>
    </w:p>
    <w:sectPr w:rsidR="00524B83" w:rsidRPr="00881D48"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0405" w14:textId="77777777" w:rsidR="00522BEF" w:rsidRDefault="00522BEF" w:rsidP="005D1540">
      <w:pPr>
        <w:spacing w:before="0" w:after="0"/>
      </w:pPr>
      <w:r>
        <w:separator/>
      </w:r>
    </w:p>
  </w:endnote>
  <w:endnote w:type="continuationSeparator" w:id="0">
    <w:p w14:paraId="69152AA8" w14:textId="77777777" w:rsidR="00522BEF" w:rsidRDefault="00522BEF"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2983" w14:textId="77777777" w:rsidR="00522BEF" w:rsidRDefault="00522BEF" w:rsidP="005D1540">
      <w:pPr>
        <w:spacing w:before="0" w:after="0"/>
      </w:pPr>
      <w:r>
        <w:separator/>
      </w:r>
    </w:p>
  </w:footnote>
  <w:footnote w:type="continuationSeparator" w:id="0">
    <w:p w14:paraId="7902DCB4" w14:textId="77777777" w:rsidR="00522BEF" w:rsidRDefault="00522BEF"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This Act serves to implement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w:t>
      </w:r>
    </w:p>
  </w:footnote>
  <w:footnote w:id="2">
    <w:p w14:paraId="50BC2B1B" w14:textId="77777777" w:rsidR="00861858" w:rsidRDefault="00861858">
      <w:pPr>
        <w:pStyle w:val="Fotnotstext"/>
      </w:pPr>
      <w:r>
        <w:rPr>
          <w:rStyle w:val="Fotnotsreferens"/>
        </w:rPr>
        <w:footnoteRef/>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Last updated: 17 June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Version: 17 June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2BEF"/>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1D48"/>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13</Pages>
  <Words>5324</Words>
  <Characters>28218</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