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Acte modifiant la loi relative à l’application des lois sur les réseaux</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Daté du 03 juin 2021</w:t>
      </w:r>
    </w:p>
    <w:p w14:paraId="3F51C4C2" w14:textId="77777777" w:rsidR="00E83886" w:rsidRDefault="00E83886">
      <w:pPr>
        <w:pStyle w:val="EingangsformelStandardnderungsdokument"/>
      </w:pPr>
      <w:r>
        <w:t>Le Bundestag a adopté la loi suivante</w:t>
      </w:r>
    </w:p>
    <w:p w14:paraId="3EF60F3B" w14:textId="51840A09" w:rsidR="00E83886" w:rsidRDefault="00B61AA0" w:rsidP="00B61AA0">
      <w:pPr>
        <w:pStyle w:val="ArtikelBezeichner"/>
        <w:numPr>
          <w:ilvl w:val="0"/>
          <w:numId w:val="0"/>
        </w:numPr>
      </w:pPr>
      <w:r>
        <w:t>Article 1</w:t>
      </w:r>
    </w:p>
    <w:p w14:paraId="00B33297" w14:textId="77777777" w:rsidR="00E83886" w:rsidRDefault="00BC2E28">
      <w:pPr>
        <w:pStyle w:val="Artikelberschrift"/>
      </w:pPr>
      <w:r>
        <w:t>M</w:t>
      </w:r>
      <w:bookmarkStart w:id="1" w:name="eNV_02766DCDDD0C451696CD2CA9BA8F5F05_1"/>
      <w:bookmarkEnd w:id="1"/>
      <w:r>
        <w:t>odification de la loi relative à l’application des lois sur les réseaux</w:t>
      </w:r>
    </w:p>
    <w:p w14:paraId="75A86A66" w14:textId="77777777" w:rsidR="00E83886" w:rsidRPr="00B43644" w:rsidRDefault="00BC2E28">
      <w:pPr>
        <w:pStyle w:val="JuristischerAbsatznichtnummeriert"/>
      </w:pPr>
      <w:r>
        <w:t>La loi relative à l’application des lois sur les réseaux du 1er septembre 2017 (Journal Officiel de la République Fédérale d’Allemagne I p. 3352), modifiée en dernier lieu par l’article 7 de la Loi du 30 mars 2021 (Journal Officiel Fédéral I p. 441), modifiée ultérieurement par l’article 15 de la Loi du 30 mars 2021 (Journal Officiel Fédéral I p. 448) est modifiée comme suit:</w:t>
      </w:r>
    </w:p>
    <w:p w14:paraId="5906B6F4" w14:textId="77777777" w:rsidR="009C3C3B" w:rsidRDefault="009C3C3B" w:rsidP="00FD2509">
      <w:pPr>
        <w:pStyle w:val="NummerierungStufe1"/>
      </w:pPr>
      <w:r>
        <w:t>À l’article 1, paragraphe 2, l’indication «articles 2 à 3» est remplacée par l’indication «articles 2 à 3b et 5a».</w:t>
      </w:r>
    </w:p>
    <w:p w14:paraId="71A5833B" w14:textId="77777777" w:rsidR="00FD2509" w:rsidRDefault="00D563DB" w:rsidP="00FD2509">
      <w:pPr>
        <w:pStyle w:val="NummerierungStufe1"/>
      </w:pPr>
      <w:r>
        <w:t>L’article </w:t>
      </w:r>
      <w:bookmarkStart w:id="2" w:name="eNV_F184275CB3ED43BBAC3DB3FE735A86E0_1"/>
      <w:bookmarkEnd w:id="2"/>
      <w:r>
        <w:t>2, paragraphe 2 est modifié comme suit:</w:t>
      </w:r>
    </w:p>
    <w:p w14:paraId="75A87168" w14:textId="77777777" w:rsidR="00D563DB" w:rsidRPr="001355C5" w:rsidRDefault="00D563DB" w:rsidP="00D563DB">
      <w:pPr>
        <w:pStyle w:val="NummerierungStufe2"/>
      </w:pPr>
      <w:bookmarkStart w:id="3" w:name="eNV_C4D4FB87EB23484289627BC27807BCE5_1"/>
      <w:bookmarkEnd w:id="3"/>
      <w:r>
        <w:t>Le point 2 est remplacé par les points 2 et 3 suivants:</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4" w:name="DQPErrorScopeCCA24D04E3BABD0E1676D63B4D2"/>
      <w:r>
        <w:rPr>
          <w:color w:val="auto"/>
        </w:rPr>
        <w:t>«2.</w:t>
      </w:r>
      <w:r>
        <w:rPr>
          <w:color w:val="auto"/>
        </w:rPr>
        <w:tab/>
        <w:t>La nature, les grandes lignes du fonctionnement et de l’étendue de toutes les méthodes utilisées pour la détection automatisée des contenus à supprimer ou à bloquer, y compris des informations générales sur les données de formation utilisées et la vérification par le fournisseur des résultats de ces procédures, ainsi que des informations sur la mesure dans laquelle les milieux scientifiques et de recherche sont soutenus dans l’évaluation de ces procédures et ont obtenu l’accès aux informations fournies par le fournisseur à cette fin,</w:t>
      </w:r>
      <w:bookmarkEnd w:id="4"/>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Description des mécanismes de transmission des plaintes concernant des contenus illicites, description des critères de décision pour la suppression et le blocage des contenus illicites et description de la procédure de réexamen, y compris l’ordre du contrôle quant à la question de savoir si des contenus illicites sont en cause ou si des dispositions contractuelles entre le fournisseur et l’utilisateur sont violées».</w:t>
      </w:r>
    </w:p>
    <w:p w14:paraId="074A3429" w14:textId="77777777" w:rsidR="00E43EFE" w:rsidRPr="001355C5" w:rsidRDefault="00E43EFE" w:rsidP="003764C3">
      <w:pPr>
        <w:pStyle w:val="NummerierungStufe2"/>
      </w:pPr>
      <w:bookmarkStart w:id="5" w:name="DQPErrorScopeAA164204E61A4B6863D92987321"/>
      <w:r>
        <w:t>Les points 3 à 6 précédents deviennent les points 4 à 7.</w:t>
      </w:r>
      <w:bookmarkEnd w:id="5"/>
    </w:p>
    <w:p w14:paraId="44BFC151" w14:textId="29827472" w:rsidR="00DE0035" w:rsidRPr="001355C5" w:rsidRDefault="00E43EFE" w:rsidP="003764C3">
      <w:pPr>
        <w:pStyle w:val="NummerierungStufe2"/>
      </w:pPr>
      <w:r>
        <w:t xml:space="preserve">Le point précédent 7 devient le point 8 et les mots </w:t>
      </w:r>
      <w:r>
        <w:rPr>
          <w:rStyle w:val="RevisionText"/>
          <w:color w:val="auto"/>
        </w:rPr>
        <w:t>«selon le nombre total ainsi que»</w:t>
      </w:r>
      <w:r>
        <w:t xml:space="preserve"> sont insérés après le mot </w:t>
      </w:r>
      <w:r>
        <w:rPr>
          <w:rStyle w:val="RevisionText"/>
          <w:color w:val="auto"/>
        </w:rPr>
        <w:t>«a conduit,»</w:t>
      </w:r>
      <w:r>
        <w:t xml:space="preserve"> et une virgule et les mots </w:t>
      </w:r>
      <w:r>
        <w:rPr>
          <w:rStyle w:val="RevisionText"/>
          <w:color w:val="auto"/>
        </w:rPr>
        <w:t xml:space="preserve">«quelle </w:t>
      </w:r>
      <w:r>
        <w:rPr>
          <w:rStyle w:val="RevisionText"/>
          <w:color w:val="auto"/>
        </w:rPr>
        <w:lastRenderedPageBreak/>
        <w:t>étape dans la séquence de test conformément au point 3 a conduit à la suppression ou au blocage»</w:t>
      </w:r>
      <w:r>
        <w:t xml:space="preserve"> sont insérés après les mots </w:t>
      </w:r>
      <w:r>
        <w:rPr>
          <w:rStyle w:val="RevisionText"/>
          <w:color w:val="auto"/>
        </w:rPr>
        <w:t>«les utilisateurs»</w:t>
      </w:r>
      <w:r>
        <w:t>.</w:t>
      </w:r>
    </w:p>
    <w:p w14:paraId="0B6811A7" w14:textId="77777777" w:rsidR="008D6E45" w:rsidRPr="001355C5" w:rsidRDefault="00E43EFE" w:rsidP="003764C3">
      <w:pPr>
        <w:pStyle w:val="NummerierungStufe2"/>
      </w:pPr>
      <w:r>
        <w:t>Le précédent p</w:t>
      </w:r>
      <w:bookmarkStart w:id="6" w:name="eNV_3CAAC48361F44D8E911B82392C79CDB9_1"/>
      <w:bookmarkEnd w:id="6"/>
      <w:r>
        <w:t>oint 8 devient le point 9 et est formulé comme suit:</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7" w:name="DQPErrorScope9486D8649E6966836CB19BC60E5"/>
      <w:r>
        <w:rPr>
          <w:color w:val="auto"/>
        </w:rPr>
        <w:t>«9.</w:t>
      </w:r>
      <w:r>
        <w:rPr>
          <w:color w:val="auto"/>
        </w:rPr>
        <w:tab/>
        <w:t>le nombre respectif de plaintes concernant des contenus illicites qui ont entraîné la suppression ou le blocage du contenu illicite dans les 24 heures, 48 heures ou une semaine à compter de la réception, ou à une date ultérieure, ventilés en outre par les plaintes émanant des bureaux des plaintes et des utilisateurs, ainsi que ventilés en fonction du motif de la plainte».</w:t>
      </w:r>
      <w:bookmarkEnd w:id="7"/>
    </w:p>
    <w:p w14:paraId="090FCED8" w14:textId="77777777" w:rsidR="003764C3" w:rsidRPr="001355C5" w:rsidRDefault="00E43EFE" w:rsidP="003764C3">
      <w:pPr>
        <w:pStyle w:val="NummerierungStufe2"/>
      </w:pPr>
      <w:r>
        <w:t>Le point 9 précédent devient le point 10 et le point final est remplacé par une virgule.</w:t>
      </w:r>
    </w:p>
    <w:p w14:paraId="3E7ED79C" w14:textId="77777777" w:rsidR="003764C3" w:rsidRPr="001355C5" w:rsidRDefault="002C5C85" w:rsidP="002C5C85">
      <w:pPr>
        <w:pStyle w:val="NummerierungStufe2"/>
      </w:pPr>
      <w:r>
        <w:t>Les points 11 et 17 suivants sont ajoutés:</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Nombre de recours reçus au cours de la période de référence, conformément à l’article 3 ter, paragraphe 1, deuxième phrase, selon le nombre total et ventilés selon les recours des plaignants et des utilisateurs pour lesquels le contenu contesté a été sauvegardé, chacun indiquant le nombre d’affaires dans lesquelles le recours a été remédié,</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Nombre de recours reçus au cours de la période de référence conformément à l’article 3 ter, paragraphe 3, première phrase, avec des précisions sur le nombre d’affaires dans lesquelles un réexamen au sens de l’article 3 ter, paragraphe 3, troisième phrase a été dispensé et sur le nombre d’affaires dans lesquelles le recours a été remédié,</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Informations sur la question de savoir si et dans quelle mesure les groupes scientifiques et de recherche ont eu accès aux informations du fournisseur au cours de la période de référence afin de permettre une évaluation anonyme de la question de savoir si</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les contenus illicites supprimés ou bloqués concernent les caractéristiques visées à l’article 1 de la Loi Générale sur l’égalité de Traitement du 14 août 2006 (Journal Officiel Fédéral I, p. 1897), modifiée en dernier lieu par l’article 8 de la Loi du 3 avril 2013 (Journal Officiel Fédéral I, p. 610), dans sa version actuelle,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si la diffusion de contenus illicites a une incidence spécifique sur certains groupes d’utilisateurs, et</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que des structures organisées ou des comportements coordonnés constituent la base de la diffusion,</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d’autres mesures prises par le fournisseur pour protéger et soutenir les personnes touchées par des contenus illicites,</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8" w:name="DQPErrorScope6D17BFD47B58C33219DE5C4979F"/>
      <w:r>
        <w:rPr>
          <w:color w:val="auto"/>
        </w:rPr>
        <w:t>15.</w:t>
      </w:r>
      <w:r>
        <w:rPr>
          <w:color w:val="auto"/>
        </w:rPr>
        <w:tab/>
        <w:t>un résumé avec un tableau récapitulatif indiquant le nombre total de plaintes reçues au sujet de contenus illicites, le pourcentage de contenus supprimés ou bloqués en réponse à ces plaintes, le nombre de recours au titre de l’article 3 ter, paragraphe 1, deuxième phrase et de l’article 3 ter, paragraphe 3, première phrase et le pourcentage de décisions modifiées sur la base de ces recours par rapport aux chiffres correspondants pour les deux périodes de référence précédentes, ainsi qu’une explication des différences significatives et des raisons possibles de celles-ci,</w:t>
      </w:r>
      <w:bookmarkEnd w:id="8"/>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lastRenderedPageBreak/>
        <w:t>16.</w:t>
      </w:r>
      <w:r>
        <w:rPr>
          <w:color w:val="auto"/>
        </w:rPr>
        <w:tab/>
        <w:t>Explication des dispositions des conditions générales du fournisseur relatives à la licéité de la diffusion de contenus sur le réseau social utilisé par le fournisseur pour des contrats avec les consommateurs,</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Présentation de la mesure dans laquelle l’accord sur les dispositions du paragraphe 16 est compatible avec les exigences des articles 307 à 309 du Code Civil et d’autres textes législatifs».</w:t>
      </w:r>
    </w:p>
    <w:p w14:paraId="268633E7" w14:textId="77777777" w:rsidR="00BE13DB" w:rsidRPr="001355C5" w:rsidRDefault="00BE13DB" w:rsidP="00BE13DB">
      <w:pPr>
        <w:pStyle w:val="NummerierungStufe1"/>
      </w:pPr>
      <w:r>
        <w:t>L’article </w:t>
      </w:r>
      <w:bookmarkStart w:id="9" w:name="eNV_1071D66C7A3A4E78904AD55041E5495E_1"/>
      <w:bookmarkEnd w:id="9"/>
      <w:r>
        <w:t>3 est modifié comme suit:</w:t>
      </w:r>
    </w:p>
    <w:p w14:paraId="0581E3DD" w14:textId="77777777" w:rsidR="00BE13DB" w:rsidRPr="001355C5" w:rsidRDefault="00BE13DB" w:rsidP="00BE13DB">
      <w:pPr>
        <w:pStyle w:val="NummerierungStufe2"/>
      </w:pPr>
      <w:r>
        <w:t>A</w:t>
      </w:r>
      <w:bookmarkStart w:id="10" w:name="eNV_014D67E831A54E84AE69F682494D2210_1"/>
      <w:bookmarkEnd w:id="10"/>
      <w:r>
        <w:t xml:space="preserve">u paragraphe 1, deuxième phrase, les mots </w:t>
      </w:r>
      <w:r>
        <w:rPr>
          <w:rStyle w:val="RevisionText"/>
          <w:color w:val="auto"/>
        </w:rPr>
        <w:t>«lors de la perception du contenu»</w:t>
      </w:r>
      <w:r>
        <w:t xml:space="preserve"> sont insérés après le mot </w:t>
      </w:r>
      <w:r>
        <w:rPr>
          <w:rStyle w:val="RevisionText"/>
          <w:color w:val="auto"/>
        </w:rPr>
        <w:t>«a»</w:t>
      </w:r>
      <w:r>
        <w:t xml:space="preserve"> et une virgule et les mots </w:t>
      </w:r>
      <w:r>
        <w:rPr>
          <w:rStyle w:val="RevisionText"/>
          <w:color w:val="auto"/>
        </w:rPr>
        <w:t>«facile à utiliser»</w:t>
      </w:r>
      <w:r>
        <w:t xml:space="preserve"> sont insérés après le mot </w:t>
      </w:r>
      <w:r>
        <w:rPr>
          <w:rStyle w:val="RevisionText"/>
          <w:color w:val="auto"/>
        </w:rPr>
        <w:t>«accessible»</w:t>
      </w:r>
      <w:r>
        <w:t>.</w:t>
      </w:r>
    </w:p>
    <w:p w14:paraId="630F3893" w14:textId="77777777" w:rsidR="00BE13DB" w:rsidRPr="001355C5" w:rsidRDefault="00BE13DB" w:rsidP="00BE13DB">
      <w:pPr>
        <w:pStyle w:val="NummerierungStufe2"/>
      </w:pPr>
      <w:r>
        <w:t>L</w:t>
      </w:r>
      <w:bookmarkStart w:id="11" w:name="eNV_29BA89EA1BB2430697A4687983AABC93_1"/>
      <w:bookmarkEnd w:id="11"/>
      <w:r>
        <w:t>e paragraphe 2 est modifié comme suit:</w:t>
      </w:r>
    </w:p>
    <w:p w14:paraId="59FA4E72" w14:textId="77777777" w:rsidR="001B5632" w:rsidRPr="001355C5" w:rsidRDefault="001B5632" w:rsidP="001B5632">
      <w:pPr>
        <w:pStyle w:val="NummerierungStufe3"/>
      </w:pPr>
      <w:r>
        <w:t>Au point 3 ter les mots «le réseau social» sont remplacés par les mots «le fournisseur de réseaux sociaux».</w:t>
      </w:r>
    </w:p>
    <w:p w14:paraId="72A04C98" w14:textId="77777777" w:rsidR="00AE356F" w:rsidRPr="001355C5" w:rsidRDefault="00CE245D" w:rsidP="001B5632">
      <w:pPr>
        <w:pStyle w:val="NummerierungStufe3"/>
      </w:pPr>
      <w:r>
        <w:t>Les points 4 et 5 sont formulés comme suit:</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2" w:name="DQPErrorScope25E2DFE4284B1E624997CAB1070"/>
      <w:r>
        <w:rPr>
          <w:color w:val="auto"/>
        </w:rPr>
        <w:t>«4.</w:t>
      </w:r>
      <w:r>
        <w:rPr>
          <w:color w:val="auto"/>
        </w:rPr>
        <w:tab/>
        <w:t>en cas de suppression, garantit le contenu à titre de preuve et, à cet effet, l’épargne pendant une période de dix semaines dans le cadre du champ d’application de la Directive 2000/31/CE du Parlement européen et du Conseil du 8 juin 2000 relative à certains aspects juridiques des services de la société de l’information, en particulier du commerce électronique, dans le Marché Intérieur (</w:t>
      </w:r>
      <w:bookmarkStart w:id="13" w:name="DQPErrorScope2646C3C49F191982EE73F3F98FA"/>
      <w:r>
        <w:rPr>
          <w:color w:val="auto"/>
        </w:rPr>
        <w:t>«</w:t>
      </w:r>
      <w:bookmarkEnd w:id="13"/>
      <w:r>
        <w:rPr>
          <w:color w:val="auto"/>
        </w:rPr>
        <w:t>Directive sur le commerce électronique (JO L 178 du 17 juillet 2000, p. 1) et Directive 2010/13/UE du Parlement européen et du Conseil du 10 mars 2010 visant à la coordination de certaines dispositions législatives, réglementaires et administratives des États membres relatives à la fourniture de services de médias audiovisuels (directive «Services de médias audiovisuels») (JO L 95 du 15 avril 2010, p. 1; L 263 du 6 octobre 2010, p. 15), telle que modifiée par la Directive (UE) 2018/1808 (JO L 303 du 28 novembre 2018, p. 69),</w:t>
      </w:r>
      <w:bookmarkEnd w:id="12"/>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informe sans délai le plaignant et l’utilisateur pour lesquels le contenu contesté de chaque décision a été stocké, et ce faisant,</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justifie leur décision,</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4" w:name="DQPErrorScope70FFE9E4EFD9DAE0752969029C9"/>
      <w:r>
        <w:rPr>
          <w:color w:val="auto"/>
        </w:rPr>
        <w:t>indique la possibilité d’un recours conformément à l’article 3, paragraphe 1, deuxième phrase de la procédure prévue à l’article 3 ter, paragraphe 1, troisième phrase du délai prévu à l’article 3 ter, paragraphe 1, deuxième phrase, et que le contenu du recours peut être transmis dans le cadre de la procédure conformément à l’article 3 ter, paragraphe 2, première phrase, et</w:t>
      </w:r>
      <w:bookmarkEnd w:id="14"/>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informe le plaignant qu’il peut déposer un avis d’infraction et, le cas échéant, une demande de poursuite contre l’utilisateur pour lequel le contenu contesté a été sauvegardé, ainsi que le site web sur lequel il peut recevoir des informations complémentaires à ce sujet».</w:t>
      </w:r>
    </w:p>
    <w:p w14:paraId="7A752ABA" w14:textId="77777777" w:rsidR="00D31A36" w:rsidRPr="001355C5" w:rsidRDefault="00E94ACD" w:rsidP="00D31A36">
      <w:pPr>
        <w:pStyle w:val="NummerierungStufe3"/>
      </w:pPr>
      <w:r>
        <w:t>Les phrases suivantes sont ajoutées:</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 xml:space="preserve">«Dans le cas de la première phrase du paragraphe 3 ter, le fournisseur de réseaux sociaux peut divulguer à l’organisme d’autorégulation reconnu le contenu contesté, les informations sur le moment du partage ou de la mise à disposition du contenu et l’étendue de sa diffusion, ainsi que le contenu dans </w:t>
      </w:r>
      <w:r>
        <w:rPr>
          <w:rStyle w:val="RevisionText"/>
          <w:color w:val="auto"/>
        </w:rPr>
        <w:lastRenderedPageBreak/>
        <w:t>un contexte reconnaissable (si nécessaire aux fins de la décision). L’organisme d’autorégulation est autorisé à traiter les données à caractère personnel concernées dans la mesure nécessaire au réexamen. Toute inexactitude de la décision prise par l’organisme d’autorégulation dans le cas de la première phrase du paragraphe 3 ter, ne constitue pas une violation de la première phrase du paragraphe 1 par le fournisseur de réseaux sociaux».</w:t>
      </w:r>
    </w:p>
    <w:p w14:paraId="05710271" w14:textId="77777777" w:rsidR="008331B2" w:rsidRPr="001355C5" w:rsidRDefault="008331B2" w:rsidP="008331B2">
      <w:pPr>
        <w:pStyle w:val="NummerierungStufe2"/>
      </w:pPr>
      <w:r>
        <w:t>L</w:t>
      </w:r>
      <w:bookmarkStart w:id="15" w:name="eNV_1BD0FCD066BB4ADDA24D31C7AFEE9D76_1"/>
      <w:bookmarkEnd w:id="15"/>
      <w:r>
        <w:t>e paragraphe 6 est modifié comme suit:</w:t>
      </w:r>
    </w:p>
    <w:p w14:paraId="5B774DD7" w14:textId="77777777" w:rsidR="009E7D6E" w:rsidRPr="001355C5" w:rsidRDefault="002F6D0D" w:rsidP="008331B2">
      <w:pPr>
        <w:pStyle w:val="NummerierungStufe3"/>
      </w:pPr>
      <w:r>
        <w:t xml:space="preserve">Au point 3, le mot </w:t>
      </w:r>
      <w:r>
        <w:rPr>
          <w:rStyle w:val="RevisionText"/>
          <w:color w:val="auto"/>
        </w:rPr>
        <w:t>«fournit»</w:t>
      </w:r>
      <w:r>
        <w:t xml:space="preserve"> est remplacé par les mots </w:t>
      </w:r>
      <w:r>
        <w:rPr>
          <w:rStyle w:val="RevisionText"/>
          <w:color w:val="auto"/>
        </w:rPr>
        <w:t>«fournit à la demande du plaignant et à la demande de l’utilisateur pour lesquels le contenu contesté a été sauvegardé, et»</w:t>
      </w:r>
      <w:r>
        <w:t xml:space="preserve">. </w:t>
      </w:r>
    </w:p>
    <w:p w14:paraId="0AF21211" w14:textId="77777777" w:rsidR="008331B2" w:rsidRPr="001355C5" w:rsidRDefault="008331B2" w:rsidP="008331B2">
      <w:pPr>
        <w:pStyle w:val="NummerierungStufe3"/>
      </w:pPr>
      <w:bookmarkStart w:id="16" w:name="eNV_C577E052D4584A18A8AFB1A777664717_1"/>
      <w:bookmarkEnd w:id="16"/>
      <w:r>
        <w:t>Le p</w:t>
      </w:r>
      <w:bookmarkStart w:id="17" w:name="eNV_95D0B1FF82E643548E19CDBF244405BA_1"/>
      <w:bookmarkEnd w:id="17"/>
      <w:r>
        <w:t>oint 4 est abrogé.</w:t>
      </w:r>
    </w:p>
    <w:p w14:paraId="03ABCB4E" w14:textId="77777777" w:rsidR="002F6D0D" w:rsidRPr="001355C5" w:rsidRDefault="002F6D0D" w:rsidP="008331B2">
      <w:pPr>
        <w:pStyle w:val="NummerierungStufe3"/>
      </w:pPr>
      <w:bookmarkStart w:id="18" w:name="DQPErrorScopeE4F4EA840838595339EED4986C9"/>
      <w:r>
        <w:t>Le point 5 devient le point 4.</w:t>
      </w:r>
      <w:bookmarkEnd w:id="18"/>
    </w:p>
    <w:p w14:paraId="70A31A7E" w14:textId="77777777" w:rsidR="002C5C85" w:rsidRPr="001355C5" w:rsidRDefault="002C5C85" w:rsidP="002C5C85">
      <w:pPr>
        <w:pStyle w:val="NummerierungStufe2"/>
      </w:pPr>
      <w:r>
        <w:t>Au paragraphe 7, les phrases suivantes sont ajoutées:</w:t>
      </w:r>
    </w:p>
    <w:p w14:paraId="3C3C4597" w14:textId="77777777" w:rsidR="002C5C85" w:rsidRPr="001355C5" w:rsidRDefault="002C5C85" w:rsidP="00E53355">
      <w:pPr>
        <w:pStyle w:val="RevisionJuristischerAbsatzFolgeabsatz"/>
        <w:ind w:left="850"/>
        <w:rPr>
          <w:color w:val="auto"/>
        </w:rPr>
      </w:pPr>
      <w:r>
        <w:rPr>
          <w:color w:val="auto"/>
        </w:rPr>
        <w:t>«Cela donne à l’autorité centrale de contrôle des États fédéraux pour la protection des mineurs contre les médias préjudiciables la possibilité de formuler des observations avant la décision de reconnaissance. La décision peut être rendue avec des conditions supplémentaires. Un délai ne devrait pas être inférieur à cinq ans».</w:t>
      </w:r>
    </w:p>
    <w:p w14:paraId="6F468865" w14:textId="77777777" w:rsidR="00654A16" w:rsidRPr="001355C5" w:rsidRDefault="00654A16" w:rsidP="00654A16">
      <w:pPr>
        <w:pStyle w:val="NummerierungStufe2"/>
      </w:pPr>
      <w:r>
        <w:t>Les paragraphes 8 et 9 suivants sont insérés a</w:t>
      </w:r>
      <w:bookmarkStart w:id="19" w:name="eNV_C9F4E65DC72A4A318587B7B03101C3D9_1"/>
      <w:bookmarkEnd w:id="19"/>
      <w:r>
        <w:t>près le paragraphe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«Paragraphe 8 L’organisme d’autorégulation reconnu doit immédiatement informer l’autorité administrative mentionnée à l’article 4 de l’évolution des circonstances relatives à la reconnaissance et des autres informations fournies dans la demande de reconnaissance.</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Paragraphe 9 L’organisme d’autorégulation reconnu doit publier un rapport d’activité sur l’année civile précédente sur son site internet au plus tard le 31 juillet de chaque année et le transmettre à l’autorité administrative visée à l’article 4».</w:t>
      </w:r>
    </w:p>
    <w:p w14:paraId="0A4EFCFA" w14:textId="77777777" w:rsidR="00E43EFE" w:rsidRPr="001355C5" w:rsidRDefault="00E43EFE" w:rsidP="00E43EFE">
      <w:pPr>
        <w:pStyle w:val="NummerierungStufe2"/>
      </w:pPr>
      <w:bookmarkStart w:id="20" w:name="DQPErrorScope5756FCF4B74B2F1C86E686CCCF8"/>
      <w:r>
        <w:t>Les paragraphes 8 et 9 précédents deviennent les nouveaux paragraphes 10 et 11.</w:t>
      </w:r>
      <w:bookmarkEnd w:id="20"/>
    </w:p>
    <w:p w14:paraId="134BA870" w14:textId="77777777" w:rsidR="002C5C85" w:rsidRPr="001355C5" w:rsidRDefault="002C5C85" w:rsidP="007068D4">
      <w:pPr>
        <w:pStyle w:val="NummerierungStufe1"/>
      </w:pPr>
      <w:r>
        <w:t>L’article 3 bis est modifié comme suit:</w:t>
      </w:r>
    </w:p>
    <w:p w14:paraId="58898B35" w14:textId="77777777" w:rsidR="002C5C85" w:rsidRPr="001355C5" w:rsidRDefault="002C5C85" w:rsidP="008A1C13">
      <w:pPr>
        <w:pStyle w:val="NummerierungStufe2"/>
      </w:pPr>
      <w:r>
        <w:t>Le paragraphe 4 est formulé comme suit:</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«Paragraphe 4</w:t>
      </w:r>
      <w:r>
        <w:rPr>
          <w:color w:val="auto"/>
        </w:rPr>
        <w:tab/>
        <w:t>La transmission à l’office Fédéral de Police Criminelle doit comprendre:</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le contenu et, le cas échéant, l’heure à laquelle le contenu a été partagé ou mis à la disposition du public, en indiquant le fuseau horaire sous-jacent,</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les informations suivantes sur l’utilisateur qui a partagé le contenu avec d’autres utilisateurs ou mis à la disposition du public:</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le nom d’utilisateur et,</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si elle est disponible, la dernière adresse IP utilisée par rapport au fournisseur de réseau social, y compris le numéro de port et l’heure du dernier accès, en indiquant le fuseau horaire sous-jacent».</w:t>
      </w:r>
    </w:p>
    <w:p w14:paraId="60139EDD" w14:textId="77777777" w:rsidR="002C5C85" w:rsidRPr="001355C5" w:rsidRDefault="006945A0" w:rsidP="008A1C13">
      <w:pPr>
        <w:pStyle w:val="NummerierungStufe2"/>
      </w:pPr>
      <w:r>
        <w:lastRenderedPageBreak/>
        <w:t>Le paragraphe 8 suivant est ajouté:</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«Paragraphe 8 Les autorités répressives peuvent, aux fins d’une discussion générale avec les fournisseurs de réseaux sociaux sur l’application des paragraphes 1 à 7, traiter les données à caractère personnel nécessaires à cette fin sous une forme pseudonymisée».</w:t>
      </w:r>
    </w:p>
    <w:p w14:paraId="1EC0B3D6" w14:textId="77777777" w:rsidR="007068D4" w:rsidRPr="001355C5" w:rsidRDefault="003A6658" w:rsidP="007068D4">
      <w:pPr>
        <w:pStyle w:val="NummerierungStufe1"/>
      </w:pPr>
      <w:r>
        <w:t>Les sections 3 ter à 3 septies suivantes sont insérées avant l’article 4:</w:t>
      </w:r>
    </w:p>
    <w:p w14:paraId="61BFE1F2" w14:textId="77777777" w:rsidR="007068D4" w:rsidRPr="001355C5" w:rsidRDefault="007068D4" w:rsidP="00E53355">
      <w:pPr>
        <w:pStyle w:val="RevisionParagraphBezeichnermanuell"/>
        <w:ind w:left="425" w:hanging="75"/>
        <w:rPr>
          <w:color w:val="auto"/>
        </w:rPr>
      </w:pPr>
      <w:r>
        <w:rPr>
          <w:color w:val="auto"/>
        </w:rPr>
        <w:t>«Article 3 ter</w:t>
      </w:r>
    </w:p>
    <w:p w14:paraId="194BEC84" w14:textId="77777777" w:rsidR="00222B8C" w:rsidRPr="001355C5" w:rsidRDefault="00222B8C" w:rsidP="00E53355">
      <w:pPr>
        <w:pStyle w:val="RevisionParagraphberschrift"/>
        <w:ind w:left="425"/>
        <w:rPr>
          <w:color w:val="auto"/>
        </w:rPr>
      </w:pPr>
      <w:r>
        <w:rPr>
          <w:color w:val="auto"/>
        </w:rPr>
        <w:t>Procédure de recours</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1" w:name="DQPErrorScope0BB301E4A279CEC6DBD8F5CC1A3"/>
      <w:r>
        <w:rPr>
          <w:color w:val="auto"/>
        </w:rPr>
        <w:t>Le fournisseur d’un réseau social maintient une procédure efficace et transparente conformément au paragraphe 2, permettant au plaignant et à l’utilisateur pour lesquels le contenu incriminé a été enregistré de réexaminer une décision de suppression ou de blocage de l’accès à un contenu (décision initiale) prise à la suite d’une plainte concernant des contenus illicites ; une exception s’applique dans les cas visés à l’article 3, paragraphe 2, première phrase, point 3 ter.</w:t>
      </w:r>
      <w:bookmarkStart w:id="22" w:name="DQPErrorScope07558994FA2BBF877D1F8241434"/>
      <w:bookmarkEnd w:id="21"/>
      <w:r>
        <w:rPr>
          <w:color w:val="auto"/>
        </w:rPr>
        <w:t xml:space="preserve">La révision n’est requise que si le plaignant ou l’utilisateur pour lequel le contenu contesté a été stocké présente une demande de réexamen, motivée, dans un délai de deux semaines à compter de l’information sur la décision initiale (recours). À cette fin, le fournisseur de réseaux sociaux doit fournir une procédure facilement reconnaissable qui permet un contact électronique facile et une communication directe avec lui. </w:t>
      </w:r>
      <w:bookmarkEnd w:id="22"/>
      <w:r>
        <w:rPr>
          <w:color w:val="auto"/>
        </w:rPr>
        <w:t>Le moyen de contact doit également être abordé dans les informations visées à l’article 3, paragraphe 2, première phrase, point 5 ter.</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La procédure visée au paragraphe 1, première phrase, veille à ce que le fournisseur de réseaux sociaux,</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s’il souhaite remédier au recours, informe immédiatement l’utilisateur du contenu du recours dans le cas d’un recours formé par le plaignant, informe immédiatement le plaignant du contenu du recours en cas de recours de l’utilisateur et donne à l’utilisateur dans le premier cas et au plaignant dans le second la possibilité de faire une déclaration dans un délai raisonnable,</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souligne que le contenu de la déclaration d’un utilisateur peut être transmis au plaignant et que le contenu de la déclaration du plaignant peut être transmis à l’utilisateur,</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soumet immédiatement sa décision initiale à un examen par une personne qui n’a pas participé à la décision initiale,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communique sans délai sa décision d’examen au plaignant et à l’utilisateur et la motive au cas par cas, en l’absence d’action au plaignant et à l’utilisateur uniquement dans la mesure où ils ont déjà participé à la procédure de recours, et</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veille à ce que l’identité du plaignant et de l’utilisateur ne soit pas divulguée dans la procédure.</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À moins qu’une décision de supprimer ou de désactiver l’accès au contenu ne soit fondée sur une plainte concernant des contenus illicites, les paragraphes 1 et 2 s’appliquent mutatis mutandis. Si la décision est fondée sur une plainte concernant le contenu par un tiers, la personne qui a transmis la plainte au fournisseur du réseau social se substitue au plaignant. Par dérogation au paragraphe 2, troisième phrase, il n’est pas nécessaire que le réexamen soit effectué par une personne qui n’est pas </w:t>
      </w:r>
      <w:r>
        <w:rPr>
          <w:color w:val="auto"/>
        </w:rPr>
        <w:lastRenderedPageBreak/>
        <w:t xml:space="preserve">impliquée dans la décision initiale. </w:t>
      </w:r>
      <w:bookmarkStart w:id="23" w:name="DQPErrorScopeE57447843F5BAB62D772EAE93DA"/>
      <w:r>
        <w:rPr>
          <w:color w:val="auto"/>
        </w:rPr>
        <w:t>Par dérogation au paragraphe 1, deuxième phrase, l’examen prévu à la première phrase n’est pas requis si le contenu est une communication commerciale ou une communication commerciale non désirée qui viole les conditions générales du fournisseur, qui a été partagée par l’utilisateur avec d’autres utilisateurs dans un grand nombre de cas ou a été rendue accessible au public et que le recours n’a manifestement pas de chances de succès.</w:t>
      </w:r>
      <w:bookmarkEnd w:id="23"/>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Le droit d’intenter une action en justice n’est pas affecté.</w:t>
      </w:r>
    </w:p>
    <w:p w14:paraId="61869D73" w14:textId="77777777" w:rsidR="004420C8" w:rsidRPr="001355C5" w:rsidRDefault="004420C8" w:rsidP="00E53355">
      <w:pPr>
        <w:pStyle w:val="RevisionParagraphBezeichnermanuell"/>
        <w:ind w:left="425"/>
        <w:rPr>
          <w:color w:val="auto"/>
        </w:rPr>
      </w:pPr>
      <w:r>
        <w:rPr>
          <w:color w:val="auto"/>
        </w:rPr>
        <w:t>Article 3 quater</w:t>
      </w:r>
    </w:p>
    <w:p w14:paraId="04533C71" w14:textId="77777777" w:rsidR="002B001F" w:rsidRPr="001355C5" w:rsidRDefault="002B001F" w:rsidP="00E53355">
      <w:pPr>
        <w:pStyle w:val="RevisionParagraphberschrift"/>
        <w:ind w:left="425"/>
        <w:rPr>
          <w:color w:val="auto"/>
        </w:rPr>
      </w:pPr>
      <w:r>
        <w:rPr>
          <w:color w:val="auto"/>
        </w:rPr>
        <w:t>Arbitrage</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L’autorité administrative visée à l’article 4 peut reconnaître les organisations de droit privé en tant qu’organes d’arbitrage pour le règlement extrajudiciaire des litiges entre les plaignants ou les utilisateurs pour lesquels le contenu contesté a été sauvegardé et les fournisseurs de réseaux sociaux sur les décisions prises conformément à l’article 3, paragraphe 2, première phrase, points 1 à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Une organisation de droit privé doit être reconnue en tant qu’organe d’arbitrage conformément au paragraphe 1 si</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son responsable est une personne morale,</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basée dans un État membre de l’Union européenne ou dans un autre État partie à l’accord sur l’espace Économique Européen auquel s’applique la Directive 2010/13/UE,</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qui est destinée à être permanente, et</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dont le financement est assuré,</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l’indépendance, l’impartialité et l’expertise de ceux qui doivent participer à l’arbitrage sont garanties,</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leur équipement est adéquat et le traitement en temps voulu des procédures d’arbitrage sont assurés,</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elle dispose de règles d’arbitrage qui régissent les détails de la procédure d’arbitrage et sa compétence et qui permettent une procédure d’arbitrage simple, peu coûteuse, non contraignante et équitable à laquelle le fournisseur de réseau social, le plaignant et l’utilisateur pour lequel le contenu contesté a été sauvegardé peuvent participer,</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il est garanti que le public est constamment informé de la disponibilité et de la compétence de l’organe d’arbitrage et du cours de la procédure d’arbitrage, y compris les règles d’arbitrage.</w:t>
      </w:r>
    </w:p>
    <w:p w14:paraId="4D53200C" w14:textId="77777777" w:rsidR="006432C7" w:rsidRPr="001355C5" w:rsidRDefault="006432C7" w:rsidP="00E53355">
      <w:pPr>
        <w:pStyle w:val="RevisionJuristischerAbsatzFolgeabsatz"/>
        <w:ind w:left="425"/>
        <w:rPr>
          <w:color w:val="auto"/>
        </w:rPr>
      </w:pPr>
      <w:r>
        <w:rPr>
          <w:color w:val="auto"/>
        </w:rPr>
        <w:t>Les deuxième et troisième phrases de l’article 3, paragraphe 7, et les paragraphes 8 à 10 s’appliquent en conséquence.</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4" w:name="DQPErrorScopeB8C1C40436A9CC2DB14AB2C900D"/>
      <w:r>
        <w:rPr>
          <w:color w:val="auto"/>
        </w:rPr>
        <w:t xml:space="preserve">Les plaignants et les utilisateurs pour lesquels le contenu contesté a été sauvegardé peuvent faire appel à un organe d’arbitrage relevant de leur domaine de compétence si une procédure de recours au titre de l’article 3 ter a déjà été menée ou si la décision visée à l’article 3, paragraphe 6, troisième phrase a été réexaminée et que le fournisseur de réseaux sociaux participe à l’arbitrage par cette instance </w:t>
      </w:r>
      <w:r>
        <w:rPr>
          <w:color w:val="auto"/>
        </w:rPr>
        <w:lastRenderedPageBreak/>
        <w:t xml:space="preserve">d’arbitrage en général ou dans des cas individuels. </w:t>
      </w:r>
      <w:bookmarkStart w:id="25" w:name="DQPErrorScopeFF0F7104CBD94FC2C8D85EC1C4F"/>
      <w:bookmarkEnd w:id="24"/>
      <w:r>
        <w:rPr>
          <w:color w:val="auto"/>
        </w:rPr>
        <w:t xml:space="preserve">Si le fournisseur participe à l’arbitrage, il peut envoyer à l’instance arbitrale le contenu contesté, les informations </w:t>
      </w:r>
      <w:r>
        <w:rPr>
          <w:rStyle w:val="RevisionText"/>
          <w:color w:val="auto"/>
        </w:rPr>
        <w:t>sur le moment du partage ou de la fourniture du contenu et l’étendue de la diffusion</w:t>
      </w:r>
      <w:r>
        <w:rPr>
          <w:color w:val="auto"/>
        </w:rPr>
        <w:t xml:space="preserve">, ainsi que le contenu en lien reconnaissable avec le contenu, si cela est nécessaire pour la procédure d’arbitrage ; dans le cas d’un recours devant l’organe d’arbitrage par le plaignant, les coordonnées de l’utilisateur pour lequel le contenu contesté a été sauvegardé peuvent être transmises et, en cas de recours devant l’organe d’arbitrage par l’utilisateur pour lequel le contenu contesté a été sauvegardé, les coordonnées du plaignant peuvent également être transmises. </w:t>
      </w:r>
      <w:bookmarkEnd w:id="25"/>
      <w:r>
        <w:rPr>
          <w:rStyle w:val="RevisionText"/>
          <w:color w:val="auto"/>
        </w:rPr>
        <w:t>L’organe d’arbitrage est autorisé à traiter les données à caractère personnel pertinentes si cela est nécessaire à la procédure d’arbitrage ; la divulgation des données à caractère personnel du plaignant et de l’utilisateur pour lequel le contenu contesté a été enregistré est exclue.</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La participation aux procédures d’arbitrage est volontaire. Le droit d‘exercer un recours devant les tribunaux n’est pas affecté. La </w:t>
      </w:r>
      <w:bookmarkStart w:id="26" w:name="DQPErrorScopeCA95913401EB617EF752D152E14"/>
      <w:r>
        <w:rPr>
          <w:color w:val="auto"/>
        </w:rPr>
        <w:t>Loi sur le règlement des litiges de consommation</w:t>
      </w:r>
      <w:bookmarkEnd w:id="26"/>
      <w:r>
        <w:rPr>
          <w:color w:val="auto"/>
        </w:rPr>
        <w:t xml:space="preserve"> du 19 février 2016 (Journal Officiel Fédéral I, p. 254, 1039), telle que modifiée par l’article 1 de la Loi du 30 novembre 2019 (Journal Officiel Fédéral I, p. 1942), n’est pas applicable.</w:t>
      </w:r>
    </w:p>
    <w:p w14:paraId="3F8F1C63" w14:textId="77777777" w:rsidR="000125D5" w:rsidRPr="002D1297" w:rsidRDefault="000125D5" w:rsidP="00E53355">
      <w:pPr>
        <w:pStyle w:val="RevisionParagraphBezeichnermanuell"/>
        <w:ind w:left="425"/>
        <w:rPr>
          <w:color w:val="auto"/>
        </w:rPr>
      </w:pPr>
      <w:r>
        <w:rPr>
          <w:color w:val="auto"/>
        </w:rPr>
        <w:t>Article 3 quinquies</w:t>
      </w:r>
    </w:p>
    <w:p w14:paraId="7040D56F" w14:textId="77777777" w:rsidR="000125D5" w:rsidRPr="001355C5" w:rsidRDefault="006D22CC" w:rsidP="00E53355">
      <w:pPr>
        <w:pStyle w:val="RevisionParagraphberschrift"/>
        <w:ind w:left="425"/>
        <w:rPr>
          <w:color w:val="auto"/>
        </w:rPr>
      </w:pPr>
      <w:r>
        <w:rPr>
          <w:color w:val="auto"/>
        </w:rPr>
        <w:t>Définitions des services de plateformes de partage de vidéos</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Aux fins de la présente Loi:</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les services de plateformes de partage de vidéos désignent</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des télé-média, dont l’objet principal ou une fonction importante est de mettre à la disposition du grand public des émissions ou des vidéos générées par l’utilisateur pour lesquelles le fournisseur de services n’a aucune responsabilité éditoriale, dans laquelle le fournisseur de services détermine l’organisation des émissions ou des vidéos générées par l’utilisateur, y compris par des moyens automatiques,</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les parties séparables des télé-média, si la partie séparable a l’objectif principal visé au point bis,</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une vidéo générée par l’utilisateur est une séquence d’images en mouvement avec ou sans son créée par un utilisateur qui, quelle que soit sa longueur, fait partie intégrante et qui est téléchargée sur un service de plateforme de partage de vidéos par cet utilisateur ou un autre utilisateur,</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une émission est une séquence d’images animées avec ou sans son qui, quelle que soit sa longueur, fait partie intégrante d’un plan ou d’un catalogue de radiodiffusion créé par un fournisseur de services,</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un État membre est tout État membre de l’Union européenne et tout autre État partie à l’accord sur l’espace Économique Européen auquel s’applique la Directive 2010/13/UE,</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une société mère est une société qui contrôle une ou plusieurs filiales,</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une filiale est une société contrôlée directement ou indirectement par une société mère,</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lastRenderedPageBreak/>
        <w:t>un groupe est l’ensemble d’une société mère, de toutes ses filiales et de toutes les autres sociétés qui sont économiquement et légalement affiliées à la société mère et à ses filiales.</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Aux fins de la présente Loi, le domicile d’un fournisseur de services de plateforme de partage de vidéos est l’État membre sur le territoire duquel le fournisseur est établi. Si un fournisseur de services de plateforme de partage de vidéos n’est pas établi sur le territoire d’un État membre, l’État membre est le pays de son domicile sur le territoire duquel</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une société mère ou une filiale du fournisseur, ou</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une autre société d’un groupe dont le fournisseur fait partie,</w:t>
      </w:r>
    </w:p>
    <w:p w14:paraId="3AC701E4" w14:textId="77777777" w:rsidR="00494DCB" w:rsidRPr="001355C5" w:rsidRDefault="00A76F3C" w:rsidP="00E53355">
      <w:pPr>
        <w:pStyle w:val="RevisionJuristischerAbsatzFolgeabsatz"/>
        <w:ind w:left="425"/>
        <w:rPr>
          <w:color w:val="auto"/>
        </w:rPr>
      </w:pPr>
      <w:r>
        <w:rPr>
          <w:color w:val="auto"/>
        </w:rPr>
        <w:t>est établie.</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7" w:name="DQPErrorScopeAAFBA7E4AF2A6827C86603177A4"/>
      <w:r>
        <w:rPr>
          <w:color w:val="auto"/>
        </w:rPr>
        <w:t xml:space="preserve">Si, dans le cas visé au paragraphe 2, deuxième phrase, la société mère, la filiale ou les autres sociétés du groupe sont toutes établies dans des États membres différents, le prestataire est réputé établi dans l’État membre dans lequel sa société mère est établie ou, en l’absence d’un tel établissement, dans l’État membre dans lequel sa filiale est établie ou, en l’absence d’un tel établissement, dans l’État membre dans lequel l’autre société du groupe est établie. </w:t>
      </w:r>
      <w:bookmarkEnd w:id="27"/>
      <w:r>
        <w:rPr>
          <w:color w:val="auto"/>
        </w:rPr>
        <w:t>S’il existe plusieurs filiales et que chacune de ces filiales est établie dans un État membre différent, le prestataire est réputé établi dans l’État membre dans lequel l’une des filiales a commencé ses activités en premier, pour autant que la filiale soit liée de manière permanente et factuelle à l’économie de cet État membre. S’il existe plusieurs autres sociétés faisant partie du groupe, dont chacune est établie dans un État membre différent, le prestataire est réputé établi dans l’État membre dans lequel l’une de ces sociétés a commencé pour la première fois, pour autant qu’il existe un lien permanent et factuel avec l’économie de cet État membre.</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En cas de litige entre l’autorité administrative mentionnée au paragraphe 4 et une autorité d’un autre État membre quant au lieu de résidence d’un fournisseur de services de plateformes de partage de vidéos, l’autorité administrative visée à l’article 4 en informe immédiatement la Commission européenne.</w:t>
      </w:r>
    </w:p>
    <w:p w14:paraId="65B64238" w14:textId="77777777" w:rsidR="000A5E86" w:rsidRPr="001355C5" w:rsidRDefault="000A5E86" w:rsidP="00E53355">
      <w:pPr>
        <w:pStyle w:val="RevisionParagraphBezeichnermanuell"/>
        <w:ind w:left="425"/>
        <w:rPr>
          <w:color w:val="auto"/>
        </w:rPr>
      </w:pPr>
      <w:r>
        <w:rPr>
          <w:color w:val="auto"/>
        </w:rPr>
        <w:t>Article 3 sexies</w:t>
      </w:r>
    </w:p>
    <w:p w14:paraId="1C1753AF" w14:textId="77777777" w:rsidR="000A5E86" w:rsidRPr="001355C5" w:rsidRDefault="00092488" w:rsidP="00E53355">
      <w:pPr>
        <w:pStyle w:val="RevisionParagraphberschrift"/>
        <w:ind w:left="425"/>
        <w:rPr>
          <w:color w:val="auto"/>
        </w:rPr>
      </w:pPr>
      <w:r>
        <w:rPr>
          <w:color w:val="auto"/>
        </w:rPr>
        <w:t>Dispositions applicables aux services de plateformes de partage de vidéos</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La présente Loi s’applique aux fournisseurs de services de plateformes de partage de vidéos, à moins que les paragraphes 2 et 3 n’en disposent autrement.</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Pour les fournisseurs de services de plateformes de partage de vidéos qui comptent moins de deux millions d’utilisateurs enregistrés en Allemagne, la présente Loi ne s’applique que si la République Fédérale d’Allemagne est le pays de résidence ou est réputée être le pays de résidence conformément à l’article 3 quinquies, paragraphes 2 et 3. La présente Loi ne s’applique qu’aux vidéos et émissions produites par les utilisateurs conformément à l’article 3 quinquies, paragraphe 1, points 2 et 3, dont le contenu répond aux critères d’infraction définis aux articles 111, 130, paragraphe 1 ou 2, aux articles 131, 140, 166 ou 184 ter du Code Pénal et n’est pas justifié. Par dérogation à l’article 1, paragraphe 2, ces fournisseurs de services de plateformes de partage de vidéos sont exemptés des obligations prévues aux articles 2, 3, paragraphe 2, première phrase, points 3 et 4, ainsi qu’au paragraphe 4 et à l’article 3 bis.</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28" w:name="DQPErrorScopeD120988433984AC663E41B06F56"/>
      <w:r>
        <w:rPr>
          <w:color w:val="auto"/>
        </w:rPr>
        <w:lastRenderedPageBreak/>
        <w:t xml:space="preserve">En ce qui concerne les vidéos et les émissions générées par l’utilisateur mentionnées au paragraphe 2, deuxième phrase, les obligations prévues aux paragraphes 2, 3 et 3 ter ne s’appliquent qu’aux fournisseurs de services de plateformes de partage de vidéos pour lesquels un État membre autre que la République fédérale d’Allemagne est ou est considéré comme le pays de résidence conformément à l’article 3 quinquies, paragraphe 2 et 3 sur base et dans le cadre d’une ordonnance de l’autorité visée à l’article 4. </w:t>
      </w:r>
      <w:bookmarkStart w:id="29" w:name="DQPErrorScopeBDF1949485EA6F0E446600D58EB"/>
      <w:bookmarkEnd w:id="28"/>
      <w:r>
        <w:rPr>
          <w:color w:val="auto"/>
        </w:rPr>
        <w:t xml:space="preserve">L’ordonnance ne peut être rendue que dans la mesure où les conditions énoncées à l’article 3, paragraphe 5 de la Loi sur les Télécommunications du 26 février 2007 (Journal Officiel Fédéral I, p. 179), modifiée en dernier lieu par l’article 12 de la Loi du 30 mars 2021 (Journal Officiel Fédéral I, p. 448), sont remplies dans la version en vigueur et dans le respect des étapes procédurales requises en conséquence. </w:t>
      </w:r>
      <w:bookmarkEnd w:id="29"/>
      <w:r>
        <w:rPr>
          <w:color w:val="auto"/>
        </w:rPr>
        <w:t>L’autorité administrative visée à l’article 4 peut charger un organisme de vérifier si les conditions énoncées à l’article 3, paragraphe 5, première phrase de la Loi sur les Télécommunications sont remplies.</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0" w:name="DQPErrorScope4E1D87247B0806E59592E0553B3"/>
      <w:r>
        <w:rPr>
          <w:color w:val="auto"/>
        </w:rPr>
        <w:t>Si la présente Loi s’applique au fournisseur d’un service de plateforme de partage de vidéos conformément aux paragraphes 1 à 3 en ce qui concerne les vidéos et émissions générées par l’utilisateur visées au paragraphe 2, deuxième phrase, il sera tenu de conclure un accord effectif avec ses utilisateurs selon lequel la distribution des vidéos et émissions générées par l’utilisateur visées au paragraphe 2, deuxième phrase, est interdite.</w:t>
      </w:r>
      <w:bookmarkEnd w:id="30"/>
    </w:p>
    <w:p w14:paraId="55AC470D" w14:textId="77777777" w:rsidR="007418C8" w:rsidRPr="001355C5" w:rsidRDefault="007418C8" w:rsidP="00E53355">
      <w:pPr>
        <w:pStyle w:val="RevisionParagraphBezeichnermanuell"/>
        <w:ind w:left="425"/>
        <w:rPr>
          <w:color w:val="auto"/>
        </w:rPr>
      </w:pPr>
      <w:r>
        <w:rPr>
          <w:color w:val="auto"/>
        </w:rPr>
        <w:t>Article 3 septies</w:t>
      </w:r>
    </w:p>
    <w:p w14:paraId="4D2E9790" w14:textId="77777777" w:rsidR="007418C8" w:rsidRPr="001355C5" w:rsidRDefault="007418C8" w:rsidP="00E53355">
      <w:pPr>
        <w:pStyle w:val="RevisionParagraphberschrift"/>
        <w:ind w:left="425"/>
        <w:rPr>
          <w:color w:val="auto"/>
        </w:rPr>
      </w:pPr>
      <w:r>
        <w:rPr>
          <w:color w:val="auto"/>
        </w:rPr>
        <w:t>Arbitrage officiel pour les litiges avec des services de plateformes de partage de vidéos</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Un organe d’arbitrage officiel est créé auprès de l’autorité administrative mentionnée à l’article 4. </w:t>
      </w:r>
      <w:bookmarkStart w:id="31" w:name="DQPErrorScopeE92CF804F62B9CE832E9F29632C"/>
      <w:r>
        <w:rPr>
          <w:color w:val="auto"/>
        </w:rPr>
        <w:t xml:space="preserve">L’organe d’arbitrage officiel existe pour le règlement extrajudiciaire des litiges avec les fournisseurs de services de plateformes de partage de vidéos concernant les décisions visées à l’article 3, paragraphe 2, première phrase, points 1 à 3 concernant la présence de vidéos et d’émissions générées par les utilisateurs dont le contenu répond aux critères d’infraction visés à l’article 3 sexies, paragraphe 2, deuxième phrase n’est pas justifié. </w:t>
      </w:r>
      <w:bookmarkStart w:id="32" w:name="DQPErrorScope36716444AD4BE67878A909DAB58"/>
      <w:bookmarkEnd w:id="31"/>
      <w:r>
        <w:rPr>
          <w:color w:val="auto"/>
        </w:rPr>
        <w:t>L’organe d’arbitrage officiel n’est responsable des litiges avec les fournisseurs de services de plateforme de partage de vidéos que lorsque la République Fédérale d’Allemagne est, ou est réputée être, le pays de résidence conformément à l’article 3 quinquies, paragraphe 2, et seulement si le fournisseur ne participe pas aux procédures d’arbitrage par un organisme d’arbitrage reconnu conformément à l’article 3 quater, paragraphe 1 ou si aucune organisation de droit privé n’est reconnue en tant qu’organe d’arbitrage conformément à l’article 3 quater, paragraphe 1.</w:t>
      </w:r>
      <w:bookmarkEnd w:id="32"/>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Les exigences énoncées à l’article 3 quater, paragraphe 2, première phrase, points 2 à 5, ainsi qu’à l’article 3, paragraphe 9 et à l’article 3 quater, paragraphes 3 et 4 s’appliquent en conséquence à l’organe d’arbitrage officiel.</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L’organisme d’arbitrage officiel peut percevoir des honoraires pour la conduite de la procédure d’arbitrage qui doivent être précisés dans son règlement d’arbitrage».</w:t>
      </w:r>
    </w:p>
    <w:p w14:paraId="1C58FB43" w14:textId="77777777" w:rsidR="007068D4" w:rsidRPr="001355C5" w:rsidRDefault="009545A0" w:rsidP="007068D4">
      <w:pPr>
        <w:pStyle w:val="NummerierungStufe1"/>
      </w:pPr>
      <w:r>
        <w:t>L’article </w:t>
      </w:r>
      <w:bookmarkStart w:id="33" w:name="eNV_C9F55B4BE97741478F2249B607AE3168_1"/>
      <w:bookmarkEnd w:id="33"/>
      <w:r>
        <w:t>4 est modifié comme suit:</w:t>
      </w:r>
    </w:p>
    <w:p w14:paraId="1CAC0552" w14:textId="77777777" w:rsidR="005468C2" w:rsidRPr="001355C5" w:rsidRDefault="005468C2" w:rsidP="009545A0">
      <w:pPr>
        <w:pStyle w:val="NummerierungStufe2"/>
      </w:pPr>
      <w:r>
        <w:t>Le paragraphe 1 est modifié comme suit:</w:t>
      </w:r>
    </w:p>
    <w:p w14:paraId="0E54D550" w14:textId="77777777" w:rsidR="00CA1C39" w:rsidRPr="001355C5" w:rsidRDefault="00CA1C39" w:rsidP="00CA1C39">
      <w:pPr>
        <w:pStyle w:val="NummerierungStufe3"/>
      </w:pPr>
      <w:r>
        <w:t xml:space="preserve">Au point 2, les mots </w:t>
      </w:r>
      <w:r>
        <w:rPr>
          <w:rStyle w:val="RevisionText"/>
          <w:color w:val="auto"/>
        </w:rPr>
        <w:t>«ou l’article 3 ter, paragraphe 1, première phrase</w:t>
      </w:r>
      <w:r>
        <w:t xml:space="preserve">» sont insérés après les mots </w:t>
      </w:r>
      <w:r>
        <w:rPr>
          <w:rStyle w:val="RevisionText"/>
          <w:color w:val="auto"/>
        </w:rPr>
        <w:t>«première phrase»</w:t>
      </w:r>
      <w:r>
        <w:t xml:space="preserve"> et les mots </w:t>
      </w:r>
      <w:r>
        <w:rPr>
          <w:rStyle w:val="RevisionText"/>
          <w:color w:val="auto"/>
        </w:rPr>
        <w:t>«ou pour un réexamen d’une décision»</w:t>
      </w:r>
      <w:r>
        <w:t xml:space="preserve"> sont insérés après le mot </w:t>
      </w:r>
      <w:r>
        <w:rPr>
          <w:rStyle w:val="RevisionText"/>
          <w:color w:val="auto"/>
        </w:rPr>
        <w:t>«ont»</w:t>
      </w:r>
      <w:r>
        <w:t>.</w:t>
      </w:r>
    </w:p>
    <w:p w14:paraId="67880C37" w14:textId="77777777" w:rsidR="00E94ACD" w:rsidRPr="001355C5" w:rsidRDefault="00E94ACD" w:rsidP="00092488">
      <w:pPr>
        <w:pStyle w:val="NummerierungStufe3"/>
      </w:pPr>
      <w:r>
        <w:lastRenderedPageBreak/>
        <w:t xml:space="preserve">Au point 3, les mots </w:t>
      </w:r>
      <w:r>
        <w:rPr>
          <w:rStyle w:val="RevisionText"/>
          <w:color w:val="auto"/>
        </w:rPr>
        <w:t>«ou l’article 3 ter, paragraphe 1, troisième phrase»</w:t>
      </w:r>
      <w:r>
        <w:t xml:space="preserve"> sont insérés après les mots </w:t>
      </w:r>
      <w:r>
        <w:rPr>
          <w:rStyle w:val="RevisionText"/>
          <w:color w:val="auto"/>
        </w:rPr>
        <w:t>«deuxième phrase»</w:t>
      </w:r>
      <w:r>
        <w:t>.</w:t>
      </w:r>
    </w:p>
    <w:p w14:paraId="694995FC" w14:textId="77777777" w:rsidR="005468C2" w:rsidRPr="001355C5" w:rsidRDefault="005468C2" w:rsidP="00092488">
      <w:pPr>
        <w:pStyle w:val="NummerierungStufe3"/>
      </w:pPr>
      <w:bookmarkStart w:id="34" w:name="DQPErrorScopeE72DC994AA48B802F2C16A30F0D"/>
      <w:r>
        <w:t>Le point 6 bis devient le point 7.</w:t>
      </w:r>
      <w:bookmarkEnd w:id="34"/>
    </w:p>
    <w:p w14:paraId="470BD5FD" w14:textId="77777777" w:rsidR="005468C2" w:rsidRPr="001355C5" w:rsidRDefault="005468C2" w:rsidP="00092488">
      <w:pPr>
        <w:pStyle w:val="NummerierungStufe3"/>
      </w:pPr>
      <w:bookmarkStart w:id="35" w:name="DQPErrorScopeCB774C2457AB3DE6B781A62FB20"/>
      <w:r>
        <w:t>Les points 7 et 8 précédents deviennent les nouveaux points 8 et 9.</w:t>
      </w:r>
      <w:bookmarkEnd w:id="35"/>
    </w:p>
    <w:p w14:paraId="2C1D24E7" w14:textId="77777777" w:rsidR="000E1AD4" w:rsidRPr="001355C5" w:rsidRDefault="000E1AD4" w:rsidP="009545A0">
      <w:pPr>
        <w:pStyle w:val="NummerierungStufe2"/>
      </w:pPr>
      <w:r>
        <w:t xml:space="preserve">Au paragraphe 2, première phrase, les mots </w:t>
      </w:r>
      <w:r>
        <w:rPr>
          <w:rStyle w:val="RevisionText"/>
          <w:color w:val="auto"/>
        </w:rPr>
        <w:t>«points 7 et 8»</w:t>
      </w:r>
      <w:r>
        <w:t xml:space="preserve"> sont remplacés par les mots </w:t>
      </w:r>
      <w:r>
        <w:rPr>
          <w:rStyle w:val="RevisionText"/>
          <w:color w:val="auto"/>
        </w:rPr>
        <w:t>«points 8 et 9»</w:t>
      </w:r>
      <w:r>
        <w:t>.</w:t>
      </w:r>
    </w:p>
    <w:p w14:paraId="751D6B29" w14:textId="77777777" w:rsidR="00AD2CA4" w:rsidRPr="001355C5" w:rsidRDefault="00AD2CA4" w:rsidP="00AD2CA4">
      <w:pPr>
        <w:pStyle w:val="NummerierungStufe1"/>
      </w:pPr>
      <w:r>
        <w:t>A</w:t>
      </w:r>
      <w:bookmarkStart w:id="36" w:name="eNV_E6DE02647D4D48EA8EC2D351BB8C0943_1"/>
      <w:bookmarkEnd w:id="36"/>
      <w:r>
        <w:t>près l’article 4, l’article 4 bis suivant est inséré:</w:t>
      </w:r>
    </w:p>
    <w:p w14:paraId="04A4FB69" w14:textId="77777777" w:rsidR="00AD2CA4" w:rsidRPr="001355C5" w:rsidRDefault="00AD2CA4" w:rsidP="00E53355">
      <w:pPr>
        <w:pStyle w:val="RevisionParagraphBezeichnermanuell"/>
        <w:ind w:left="425" w:hanging="75"/>
        <w:rPr>
          <w:color w:val="auto"/>
        </w:rPr>
      </w:pPr>
      <w:r>
        <w:rPr>
          <w:color w:val="auto"/>
        </w:rPr>
        <w:t>«Article 4 bis</w:t>
      </w:r>
    </w:p>
    <w:p w14:paraId="484D93D5" w14:textId="77777777" w:rsidR="00AD2CA4" w:rsidRPr="001355C5" w:rsidRDefault="00AD2CA4" w:rsidP="00E53355">
      <w:pPr>
        <w:pStyle w:val="RevisionParagraphberschrift"/>
        <w:ind w:left="425"/>
        <w:rPr>
          <w:color w:val="auto"/>
        </w:rPr>
      </w:pPr>
      <w:r>
        <w:rPr>
          <w:color w:val="auto"/>
        </w:rPr>
        <w:t>Surveillance</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L’autorité administrative visée à l’article 4 contrôle le respect des dispositions de la présente Loi.</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Si l’autorité administrative visée à l’article 4 constate qu’un fournisseur de réseaux sociaux a enfreint ou contrevient aux dispositions de la présente Loi, elle prendra les mesures nécessaires à l’encontre du fournisseur. En particulier, elle peut exiger du fournisseur qu’il remédie à la violation. L’article 4, paragraphe 5 s’applique mutatis mutandis, sous réserve que le tribunal qui statuerait sur l’opposition à une amende administrative soit compétent.</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7" w:name="DQPErrorScope941DCC94E6089D475AC1E91ABAD"/>
      <w:r>
        <w:rPr>
          <w:color w:val="auto"/>
        </w:rPr>
        <w:t xml:space="preserve">Dans le cadre de la procédure administrative prévue au paragraphe 2, le fournisseur de réseaux sociaux fournit à l’autorité administrative visée à l’article 4 sur sa demande des informations sur les mesures prises pour mettre en œuvre la présente loi, le nombre d’utilisateurs enregistrés en Allemagne et les plaintes concernant des contenus illicites reçues au cours de l’année civile écoulée ; les représentants du fournisseur, ainsi que dans le cas des personnes morales, des sociétés et des associations non constituées en société, les personnes désignées par la loi ou les statuts, sont tenus de divulguer les informations demandées pour le compte de la société. </w:t>
      </w:r>
      <w:bookmarkEnd w:id="37"/>
      <w:r>
        <w:rPr>
          <w:color w:val="auto"/>
        </w:rPr>
        <w:t>La demande d’informations doit être proportionnée. Si les personnes physiques sont tenues de coopérer conformément à la première phrase, elles doivent également divulguer des faits susceptibles d’entraîner des poursuites pour une infraction pénale ou une infraction administrative s’il est autrement difficile ou peu probable d’obtenir les informations. Toutefois, les informations fournies par une personne physique en vertu de la première phrase ne peuvent être utilisées que dans le cadre d’une procédure pénale ou d’une procédure en vertu du code des infractions administratives contre ladite personne ou l’un des parents visés à l’article 383, paragraphe 1, points 1 à 3 du Code de Procédure Civile avec le consentement de ladite personne. Les informations fournies conformément à la première phrase ne peuvent être utilisées contre le fournisseur que dans le cadre d’une procédure de fixation d’une amende conformément à l’article 30 du Code des Infractions Administratives avec le consentement du fournisseur ou de la personne qui a fourni les informations en raison de l’obligation qui leur incombe en vertu de la première phrase.</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 xml:space="preserve">Les témoins sont tenus de témoigner dans le cadre de la procédure administrative en vertu du paragraphe 2. Le témoin peut refuser de divulguer des informations en cas de questions qui, en cas de réponse, exposeraient le témoin lui-même ou l’un des membres de sa famille à des poursuites pénales conformément à l’article 383, paragraphe 1, points 1 à 3 du Code de Procédure Civile ou à des poursuites en vertu du Code des Infractions Administratives. Dans le cas contraire, les dispositions du Code de Procédure Civile relatives à l’obligation de témoigner en tant </w:t>
      </w:r>
      <w:r>
        <w:rPr>
          <w:color w:val="auto"/>
        </w:rPr>
        <w:lastRenderedPageBreak/>
        <w:t>que témoin s’appliquent en conséquence. L’autorité administrative visée à l’article 4 doit informer le témoin de son droit de refuser de témoigner avant l’audience».</w:t>
      </w:r>
    </w:p>
    <w:p w14:paraId="4340EFAD" w14:textId="77777777" w:rsidR="00AD2CA4" w:rsidRPr="001355C5" w:rsidRDefault="00AD2CA4" w:rsidP="006945A0">
      <w:pPr>
        <w:pStyle w:val="NummerierungStufe1"/>
      </w:pPr>
      <w:r>
        <w:t>L’article </w:t>
      </w:r>
      <w:bookmarkStart w:id="38" w:name="eNV_04FF9BB8F8AA4AA7A9BF1B042E4A5062_1"/>
      <w:bookmarkEnd w:id="38"/>
      <w:r>
        <w:t>5 est modifié comme suit:</w:t>
      </w:r>
    </w:p>
    <w:p w14:paraId="2D379F88" w14:textId="77777777" w:rsidR="00AD2CA4" w:rsidRPr="001355C5" w:rsidRDefault="00AD2CA4" w:rsidP="00AD2CA4">
      <w:pPr>
        <w:pStyle w:val="NummerierungStufe2"/>
      </w:pPr>
      <w:r>
        <w:t>L</w:t>
      </w:r>
      <w:bookmarkStart w:id="39" w:name="eNV_FE6D31F203874E4C8EEC616DEBA99F3C_1"/>
      <w:bookmarkEnd w:id="39"/>
      <w:r>
        <w:t>es deuxième et troisième phrases du premier paragraphe sont formulés comme suit:</w:t>
      </w:r>
    </w:p>
    <w:p w14:paraId="49EFFC86" w14:textId="77777777" w:rsidR="00AA3DB5" w:rsidRPr="001355C5" w:rsidRDefault="00AA3DB5" w:rsidP="00E53355">
      <w:pPr>
        <w:pStyle w:val="RevisionJuristischerAbsatzFolgeabsatz"/>
        <w:ind w:left="850"/>
        <w:rPr>
          <w:bCs/>
          <w:color w:val="auto"/>
        </w:rPr>
      </w:pPr>
      <w:r>
        <w:rPr>
          <w:color w:val="auto"/>
        </w:rPr>
        <w:t>«Les livraisons peuvent leur être faites dans le cadre d’une procédure d’amendes et d’une procédure de contrôle conformément aux articles 4 et 4 bis ou dans le cadre d’une procédure judiciaire devant les juridictions allemandes sur la base de la diffusion ou de l’acceptation injustifiée de la diffusion de contenus illicites, en particulier dans les cas où le rétablissement de contenus supprimés ou bloqués est demandé. Cela vaut également pour la remise des documents qui engagent une telle procédure, pour la remise des décisions judiciaires définitives et pour les livraisons dans le cadre d’une procédure d’exécution ou d’exécution».</w:t>
      </w:r>
    </w:p>
    <w:p w14:paraId="16B76B89" w14:textId="77777777" w:rsidR="00AA3DB5" w:rsidRPr="001355C5" w:rsidRDefault="00AA3DB5" w:rsidP="00AA3DB5">
      <w:pPr>
        <w:pStyle w:val="NummerierungStufe2"/>
      </w:pPr>
      <w:r>
        <w:t>L</w:t>
      </w:r>
      <w:bookmarkStart w:id="40" w:name="eNV_9291AE4B799844E98739D68DE9F55F7C_1"/>
      <w:bookmarkEnd w:id="40"/>
      <w:r>
        <w:t>e paragraphe 2 est modifié comme suit:</w:t>
      </w:r>
    </w:p>
    <w:p w14:paraId="15A52BDB" w14:textId="77777777" w:rsidR="00AA3DB5" w:rsidRPr="001355C5" w:rsidRDefault="00AA3DB5" w:rsidP="00AA3DB5">
      <w:pPr>
        <w:pStyle w:val="NummerierungStufe3"/>
      </w:pPr>
      <w:r>
        <w:t>À l</w:t>
      </w:r>
      <w:bookmarkStart w:id="41" w:name="eNV_C9EC0596544E46D7A0B4712CAE7C00B0_1"/>
      <w:bookmarkEnd w:id="41"/>
      <w:r>
        <w:t xml:space="preserve">a première phrase, les mots </w:t>
      </w:r>
      <w:r>
        <w:rPr>
          <w:rStyle w:val="RevisionText"/>
          <w:color w:val="auto"/>
        </w:rPr>
        <w:t>«vers l’autorité administrative visée à l’article 4»</w:t>
      </w:r>
      <w:r>
        <w:t xml:space="preserve"> sont insérés après le mot </w:t>
      </w:r>
      <w:r>
        <w:rPr>
          <w:rStyle w:val="RevisionText"/>
          <w:color w:val="auto"/>
        </w:rPr>
        <w:t>«domestique»</w:t>
      </w:r>
      <w:r>
        <w:t>.</w:t>
      </w:r>
    </w:p>
    <w:p w14:paraId="7C90362A" w14:textId="77777777" w:rsidR="00AA3DB5" w:rsidRPr="001355C5" w:rsidRDefault="00CE291E" w:rsidP="00AA3DB5">
      <w:pPr>
        <w:pStyle w:val="NummerierungStufe3"/>
      </w:pPr>
      <w:r>
        <w:t>Les phrases s</w:t>
      </w:r>
      <w:bookmarkStart w:id="42" w:name="eNV_CD5A7E96D5134342A11A35189CB5E6D5_1"/>
      <w:bookmarkEnd w:id="42"/>
      <w:r>
        <w:t>uivantes sont ajoutées:</w:t>
      </w:r>
    </w:p>
    <w:p w14:paraId="437ADFA5" w14:textId="77777777" w:rsidR="00F86A78" w:rsidRPr="001355C5" w:rsidRDefault="00AA3DB5" w:rsidP="00E53355">
      <w:pPr>
        <w:pStyle w:val="RevisionJuristischerAbsatzFolgeabsatz"/>
        <w:ind w:left="1276"/>
        <w:rPr>
          <w:bCs/>
          <w:color w:val="auto"/>
        </w:rPr>
      </w:pPr>
      <w:r>
        <w:rPr>
          <w:color w:val="auto"/>
        </w:rPr>
        <w:t>«L’autorité administrative visée à l’article 4 tient une liste des destinataires autorisés. Elle fournit des informations à ce sujet aux services répressifs nationaux qui en font la demande».</w:t>
      </w:r>
    </w:p>
    <w:p w14:paraId="5BE2967B" w14:textId="77777777" w:rsidR="000235A5" w:rsidRPr="001355C5" w:rsidRDefault="000235A5" w:rsidP="008A1C13">
      <w:pPr>
        <w:pStyle w:val="NummerierungStufe1"/>
      </w:pPr>
      <w:r>
        <w:t>L’article 5a suivant est inséré après l’article 5:</w:t>
      </w:r>
    </w:p>
    <w:p w14:paraId="1EB3C8D9" w14:textId="77777777" w:rsidR="000235A5" w:rsidRPr="001355C5" w:rsidRDefault="000235A5" w:rsidP="000235A5">
      <w:pPr>
        <w:pStyle w:val="RevisionParagraphBezeichnermanuell"/>
        <w:ind w:left="425" w:hanging="75"/>
        <w:rPr>
          <w:color w:val="auto"/>
        </w:rPr>
      </w:pPr>
      <w:r>
        <w:rPr>
          <w:color w:val="auto"/>
        </w:rPr>
        <w:t>«Article 5a</w:t>
      </w:r>
    </w:p>
    <w:p w14:paraId="722CF057" w14:textId="77777777" w:rsidR="000235A5" w:rsidRPr="001355C5" w:rsidRDefault="000235A5" w:rsidP="000235A5">
      <w:pPr>
        <w:pStyle w:val="RevisionParagraphberschrift"/>
        <w:ind w:left="425"/>
        <w:rPr>
          <w:color w:val="auto"/>
        </w:rPr>
      </w:pPr>
      <w:r>
        <w:rPr>
          <w:color w:val="auto"/>
        </w:rPr>
        <w:t>Renseignements pour la recherche scientifique</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On entend par chercheur au sens de la présente disposition toute personne physique ou morale effectuant des recherches scientifiques.</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Un chercheur peut demander des renseignements qualifiés à un fournisseur de réseau social sur</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l’utilisation et le fonctionnement spécifique des procédures de reconnaissance automatisée des contenus à supprimer ou à bloquer, en particulier la nature et l’étendue des technologies utilisées et les buts, critères et paramètres de leur programmation, ainsi que les données utilisées,</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la diffusion de contenus qui ont fait l’objet de plaintes pour contenu illégal ou qui ont été supprimés ou bloqués par le fournisseur, en particulier les contenus concernés ainsi que les informations sur les utilisateurs qui ont interagi avec ces contenus et sur la manière dont ils l’ont fait.</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Les renseignements visés au paragraphe 2 ne peuvent être demandés que dans la mesure où ils sont nécessaires à des projets de recherche scientifique d’intérêt public sur la nature, la portée, les causes et les effets de la communication publique dans les réseaux sociaux et sur la manière dont les fournisseurs traitent cette communication.</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lastRenderedPageBreak/>
        <w:t>Le renseignement ne peut être fourni que si le chercheur présente un concept de protection au fournisseur du réseau social. Le concept de protection comprend:</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une description des informations requises aux fins de la recherche visée au paragraphe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une description de l’utilisation prévue des informations,</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une description des mesures prises pour éviter toute autre utilisation des informations,</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une description des précautions prises pour protéger les intérêts légitimes du prestataire, et</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une description des mesures techniques et organisationnelles prises pour assurer la protection des données à caractère personnel.</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Le fournisseur d’un réseau social peut refuser de fournir des informations si</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ses intérêts dignes de protection l’emportent considérablement sur l’intérêt public de la recherche, ou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les intérêts des personnes concernées qui sont dignes de protection sont compromis et l’intérêt public de la recherche ne l’emporte pas sur l’intérêt au maintien du secret des personnes concernées.</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3" w:name="DQPErrorScope659F23F4664856E8ED2EA807637"/>
      <w:r>
        <w:rPr>
          <w:color w:val="auto"/>
        </w:rPr>
        <w:t>Le fournisseur de réseau social peut transmettre les données personnelles suivantes aux fins de fournir des informations conformément au paragraphe 2 :</w:t>
      </w:r>
      <w:bookmarkEnd w:id="43"/>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les contenus diffusés,</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les plaintes concernant les contenus illégaux,</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les noms d’utilisateur des personnes impliquées dans la diffusion,</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les circonstances des interactions des participants à la diffusion des contenus, et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les données d’apprentissage des procédures de reconnaissance automatisée des contenus à supprimer ou à bloquer, ainsi que les informations sur le mode de fonctionnement, les objectifs, les critères et les paramètres de programmation de ces procédures.</w:t>
      </w:r>
    </w:p>
    <w:p w14:paraId="101C9DCB" w14:textId="77777777" w:rsidR="000235A5" w:rsidRPr="001355C5" w:rsidRDefault="000235A5" w:rsidP="000235A5">
      <w:pPr>
        <w:pStyle w:val="RevisionJuristischerAbsatzFolgeabsatz"/>
        <w:ind w:left="425"/>
        <w:rPr>
          <w:color w:val="auto"/>
        </w:rPr>
      </w:pPr>
      <w:r>
        <w:rPr>
          <w:color w:val="auto"/>
        </w:rPr>
        <w:t>Les données sont transmises sous forme anonyme ou au moins pseudonyme, dans la mesure où cela est possible sans compromettre l’objectif de la recherche.</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4" w:name="DQPErrorScope79FF66B4BF2AAB577F288FB6CF1"/>
      <w:bookmarkStart w:id="45" w:name="DQPErrorScopeC1E338F4EF7BAEE297990CB7C8C"/>
      <w:r>
        <w:rPr>
          <w:color w:val="auto"/>
        </w:rPr>
        <w:t xml:space="preserve">Le chercheur ne peut traiter les données qu’aux fins des projets de recherche scientifique visés au paragraphe 3. Si certaines catégories de données au sens de l’article 9, paragraphe 1, du règlement (UE) 2016/679 du Parlement européen et du Conseil du 27 avril 2016 relatif à la protection des personnes physiques à l’égard du traitement des données à caractère personnel, de la libre circulation des données et de l’abrogation de la directive 95/46/CE (règlement général sur la protection des données) (JO L 119 du 4.5.2016, p. 1; L 314 du 22.11.2016, p. 72; L 127 du 23.5.2018, p. 2) dans leur version en vigueur sont traitées, le chercheur est tenu de prendre des mesures adaptées et spécifiques, afin de garantir les intérêts des personnes concernées conformément à l’article 22, paragraphe 2, phrase 2 de la loi fédérale sur la protection des données. En complément des mesures qui y sont fixées, les données au sens de l’article 9, paragraphe 1, du règlement (UE) 2016/679 doivent être anonymisées dès que cela est possible compte tenu de la finalité de la recherche. </w:t>
      </w:r>
      <w:bookmarkEnd w:id="44"/>
      <w:r>
        <w:rPr>
          <w:color w:val="auto"/>
        </w:rPr>
        <w:t xml:space="preserve"> </w:t>
      </w:r>
      <w:r>
        <w:rPr>
          <w:color w:val="auto"/>
        </w:rPr>
        <w:lastRenderedPageBreak/>
        <w:t>Toute autre prescription en matière de protection des données reste par ailleurs inchangée.</w:t>
      </w:r>
      <w:bookmarkEnd w:id="45"/>
    </w:p>
    <w:p w14:paraId="4C4C26C3" w14:textId="77777777" w:rsidR="000235A5" w:rsidRPr="001355C5" w:rsidRDefault="000235A5" w:rsidP="000235A5">
      <w:pPr>
        <w:pStyle w:val="RevisionJuristischerAbsatz"/>
        <w:tabs>
          <w:tab w:val="clear" w:pos="850"/>
          <w:tab w:val="left" w:pos="1275"/>
        </w:tabs>
        <w:ind w:left="425"/>
        <w:rPr>
          <w:color w:val="auto"/>
        </w:rPr>
      </w:pPr>
      <w:bookmarkStart w:id="46" w:name="DQPErrorScopeAC32E6241B6A69F421D1D758892"/>
      <w:r>
        <w:rPr>
          <w:color w:val="auto"/>
        </w:rPr>
        <w:t>Le fournisseur d’un réseau social a droit au remboursement par le chercheur des frais engagés pour fournir les informations dans une limite raisonnable conformément au paragraphe 2. Pour déterminer le montant approprié, il est tenu compte du fait que les coûts ne doivent pas constituer un obstacle substantiel à l’exercice du droit à l’information. L’article 287, paragraphe 1 du code de procédure civile est applicable par analogie. Les frais remboursables peuvent atteindre 5 000 euros, sauf dans les cas prévus à la cinquième phrase. Ce montant ne peut être dépassé que si la fourniture du renseignement entraine des dépenses exceptionnellement élevées. Après la présentation du plan de protection conformément au paragraphe 4, le chercheur peut demander au fournisseur de lui soumettre un devis gratuit dans un délai raisonnable.»</w:t>
      </w:r>
      <w:bookmarkEnd w:id="46"/>
    </w:p>
    <w:p w14:paraId="2077EF98" w14:textId="77777777" w:rsidR="006945A0" w:rsidRPr="001355C5" w:rsidRDefault="006945A0" w:rsidP="008A1C13">
      <w:pPr>
        <w:pStyle w:val="NummerierungStufe1"/>
      </w:pPr>
      <w:r>
        <w:t>Les paragraphes 3 à 6 suivants sont ajoutés à l’article 6:</w:t>
      </w:r>
    </w:p>
    <w:p w14:paraId="342F4B26" w14:textId="086D9DEB" w:rsidR="006945A0" w:rsidRPr="001355C5" w:rsidRDefault="006945A0" w:rsidP="00E53355">
      <w:pPr>
        <w:pStyle w:val="RevisionJuristischerAbsatzmanuell"/>
        <w:tabs>
          <w:tab w:val="clear" w:pos="850"/>
          <w:tab w:val="left" w:pos="1275"/>
        </w:tabs>
        <w:ind w:left="425" w:firstLine="350"/>
        <w:rPr>
          <w:color w:val="auto"/>
        </w:rPr>
      </w:pPr>
      <w:bookmarkStart w:id="47" w:name="DQPErrorScope597D29E458599F4A08C7EBFE817"/>
      <w:r>
        <w:rPr>
          <w:color w:val="auto"/>
        </w:rPr>
        <w:t>«Paragraphe 3</w:t>
      </w:r>
      <w:r w:rsidR="00436613">
        <w:rPr>
          <w:color w:val="auto"/>
        </w:rPr>
        <w:t xml:space="preserve"> </w:t>
      </w:r>
      <w:r>
        <w:rPr>
          <w:color w:val="auto"/>
        </w:rPr>
        <w:t>Pour les rapports couvrant des périodes allant jusqu’au 31 décembre 2021 inclus, l’article 2 de la Loi sur l’amélioration de l’application des Lois dans les Réseaux Sociaux du 1er septembre 2017 (Journal Officiel Fédéral I, p. 3352) s’applique.</w:t>
      </w:r>
      <w:bookmarkEnd w:id="47"/>
    </w:p>
    <w:p w14:paraId="1562BBBC" w14:textId="46F15601" w:rsidR="006945A0" w:rsidRPr="001355C5" w:rsidRDefault="006945A0" w:rsidP="00E53355">
      <w:pPr>
        <w:pStyle w:val="RevisionJuristischerAbsatzmanuell"/>
        <w:tabs>
          <w:tab w:val="clear" w:pos="850"/>
          <w:tab w:val="left" w:pos="1275"/>
        </w:tabs>
        <w:ind w:left="425"/>
        <w:rPr>
          <w:color w:val="auto"/>
        </w:rPr>
      </w:pPr>
      <w:r>
        <w:rPr>
          <w:color w:val="auto"/>
        </w:rPr>
        <w:t>Paragraphe 4</w:t>
      </w:r>
      <w:r w:rsidR="00436613">
        <w:rPr>
          <w:color w:val="auto"/>
        </w:rPr>
        <w:t xml:space="preserve"> </w:t>
      </w:r>
      <w:r>
        <w:rPr>
          <w:color w:val="auto"/>
        </w:rPr>
        <w:t>Le rapport visé à l’article 3, paragraphe 9 doit initialement être présenté au plus tard le 31 juillet 2022.</w:t>
      </w:r>
    </w:p>
    <w:p w14:paraId="07C8E75A" w14:textId="6563B299" w:rsidR="006945A0" w:rsidRPr="001355C5" w:rsidRDefault="006945A0" w:rsidP="00E53355">
      <w:pPr>
        <w:pStyle w:val="RevisionJuristischerAbsatzmanuell"/>
        <w:tabs>
          <w:tab w:val="clear" w:pos="850"/>
          <w:tab w:val="left" w:pos="1275"/>
        </w:tabs>
        <w:ind w:left="425"/>
        <w:rPr>
          <w:color w:val="auto"/>
        </w:rPr>
      </w:pPr>
      <w:bookmarkStart w:id="48" w:name="DQPErrorScope047B7994111A0D42104BD1C45D6"/>
      <w:r>
        <w:rPr>
          <w:color w:val="auto"/>
        </w:rPr>
        <w:t>Paragraphe 5</w:t>
      </w:r>
      <w:r w:rsidR="00436613">
        <w:rPr>
          <w:color w:val="auto"/>
        </w:rPr>
        <w:t xml:space="preserve"> </w:t>
      </w:r>
      <w:r>
        <w:rPr>
          <w:color w:val="auto"/>
        </w:rPr>
        <w:t>Pour les organismes d’autorégulation réglementée qui avaient déjà été reconnus le 28 juin 2021, l’article 3, paragraphe 6, point 3 s’applique jusqu’à la fin de l’année 2022, telle que modifiée par la Loi sur l’amélioration de l’application des Lois dans les Réseaux Sociaux du 1er septembre 2017 (Journal Officiel Fédéral I, p. 3352).</w:t>
      </w:r>
      <w:bookmarkEnd w:id="48"/>
    </w:p>
    <w:p w14:paraId="4160292F" w14:textId="4C1D3979" w:rsidR="006945A0" w:rsidRPr="001355C5" w:rsidRDefault="006945A0" w:rsidP="00E53355">
      <w:pPr>
        <w:pStyle w:val="RevisionJuristischerAbsatzmanuell"/>
        <w:tabs>
          <w:tab w:val="clear" w:pos="850"/>
          <w:tab w:val="left" w:pos="1275"/>
        </w:tabs>
        <w:ind w:left="425"/>
        <w:rPr>
          <w:color w:val="auto"/>
        </w:rPr>
      </w:pPr>
      <w:r>
        <w:rPr>
          <w:color w:val="auto"/>
        </w:rPr>
        <w:t>Paragraphe 6</w:t>
      </w:r>
      <w:r w:rsidR="00436613">
        <w:rPr>
          <w:color w:val="auto"/>
        </w:rPr>
        <w:t xml:space="preserve"> </w:t>
      </w:r>
      <w:r>
        <w:rPr>
          <w:color w:val="auto"/>
        </w:rPr>
        <w:t>Pour les fournisseurs qui ne fournissent pas de services de plateformes de partage de vidéos, l’article 3 ter ne s’applique qu’à partir du 1er octobre 2021. Dans le cas de fournisseurs de services de plateformes de partage de vidéos, l’article 3 ter ne s’applique qu’à partir du 1er octobre 2021 en ce qui concerne les contenus qui ne sont pas des vidéos ou des émissions générées par les utilisateurs».</w:t>
      </w:r>
    </w:p>
    <w:p w14:paraId="2118C079" w14:textId="440D3807" w:rsidR="00455A86" w:rsidRPr="001355C5" w:rsidRDefault="00B61AA0" w:rsidP="00B61AA0">
      <w:pPr>
        <w:pStyle w:val="ArtikelBezeichner"/>
        <w:numPr>
          <w:ilvl w:val="0"/>
          <w:numId w:val="0"/>
        </w:numPr>
      </w:pPr>
      <w:r>
        <w:t>Article 2</w:t>
      </w:r>
    </w:p>
    <w:p w14:paraId="4D9CB7F9" w14:textId="77777777" w:rsidR="00455A86" w:rsidRPr="001355C5" w:rsidRDefault="00455A86" w:rsidP="00455A86">
      <w:pPr>
        <w:pStyle w:val="Artikelberschrift"/>
      </w:pPr>
      <w:r>
        <w:t>M</w:t>
      </w:r>
      <w:bookmarkStart w:id="49" w:name="eNV_75EECEE39F6042299F02C89BB83ABA93_1"/>
      <w:bookmarkEnd w:id="49"/>
      <w:r>
        <w:t>odification de la Loi sur les Télémédias</w:t>
      </w:r>
    </w:p>
    <w:p w14:paraId="104AB961" w14:textId="56887D9A" w:rsidR="00455A86" w:rsidRPr="001355C5" w:rsidRDefault="00AC2CB9" w:rsidP="00FA30F0">
      <w:pPr>
        <w:pStyle w:val="JuristischerAbsatznichtnummeriert"/>
      </w:pPr>
      <w:r>
        <w:t>L’article 14 de la Loi sur le Régime Juridique des Déclarations Domiciliaires du 26 février 2007 (Journal Officiel de la République fédérale d’Allemagne I, p. 179), modifié en dernier lieu par l’article 12 de la Loi du 30 mars 2021 (Journal Officiel de la République Fédérale d’Allemagne I, p. 448, 1380), est modifié comme suit:</w:t>
      </w:r>
    </w:p>
    <w:p w14:paraId="1DB683A0" w14:textId="77777777" w:rsidR="00FF2EC1" w:rsidRPr="001355C5" w:rsidRDefault="00FF2EC1" w:rsidP="00FF2EC1">
      <w:pPr>
        <w:pStyle w:val="NummerierungStufe1"/>
      </w:pPr>
      <w:r>
        <w:t>La phrase suivante est ajoutée au paragraphe 3:</w:t>
      </w:r>
    </w:p>
    <w:p w14:paraId="7DE44C3D" w14:textId="77777777" w:rsidR="00FF2EC1" w:rsidRPr="001355C5" w:rsidRDefault="00FF2EC1" w:rsidP="00065020">
      <w:pPr>
        <w:pStyle w:val="RevisionJuristischerAbsatzFolgeabsatz"/>
        <w:ind w:left="425"/>
        <w:rPr>
          <w:color w:val="auto"/>
        </w:rPr>
      </w:pPr>
      <w:r>
        <w:rPr>
          <w:color w:val="auto"/>
        </w:rPr>
        <w:t>«Dans cette mesure, il est tenu de fournir des informations à la partie lésée».</w:t>
      </w:r>
    </w:p>
    <w:p w14:paraId="3A4DCC6D" w14:textId="77777777" w:rsidR="00FF2EC1" w:rsidRPr="001355C5" w:rsidRDefault="00FF2EC1" w:rsidP="005D706D">
      <w:pPr>
        <w:pStyle w:val="NummerierungStufe1"/>
      </w:pPr>
      <w:r>
        <w:t>La phrase suivante est insérée après le paragraphe 4, première phrase:</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Le tribunal statue également sur l’obligation de fournir des informations, à moins que la demande ne se limite expressément à ordonner la recevabilité des informations</w:t>
      </w:r>
      <w:r>
        <w:rPr>
          <w:rStyle w:val="RevisionText"/>
          <w:color w:val="auto"/>
        </w:rPr>
        <w:t>»</w:t>
      </w:r>
      <w:r>
        <w:rPr>
          <w:color w:val="auto"/>
        </w:rPr>
        <w:t>.</w:t>
      </w:r>
    </w:p>
    <w:p w14:paraId="3490D74B" w14:textId="1817ADD9" w:rsidR="008157F4" w:rsidRDefault="00B61AA0" w:rsidP="00B61AA0">
      <w:pPr>
        <w:pStyle w:val="ArtikelBezeichner"/>
        <w:numPr>
          <w:ilvl w:val="0"/>
          <w:numId w:val="0"/>
        </w:numPr>
      </w:pPr>
      <w:r>
        <w:lastRenderedPageBreak/>
        <w:t>Article 3</w:t>
      </w:r>
    </w:p>
    <w:p w14:paraId="33A01610" w14:textId="77777777" w:rsidR="008157F4" w:rsidRDefault="008157F4" w:rsidP="008157F4">
      <w:pPr>
        <w:pStyle w:val="Artikelberschrift"/>
      </w:pPr>
      <w:r>
        <w:t>Modification de la Loi sur la lutte contre l’extrémisme de droite et les crimes de haine</w:t>
      </w:r>
    </w:p>
    <w:p w14:paraId="1F7B3809" w14:textId="77777777" w:rsidR="008157F4" w:rsidRDefault="008157F4" w:rsidP="008157F4">
      <w:pPr>
        <w:pStyle w:val="JuristischerAbsatznichtnummeriert"/>
      </w:pPr>
      <w:r>
        <w:t>L’article 7, paragraphes 1 ter et 2 de la Loi sur la lutte contre l’extrémisme de droite et les crimes de haine du 30 mars 2021 (Journal Officiel Fédéral I, p. 441), telle que modifiée par l’article 15 de la Loi du 30 mars 2021 (Journal Officiel Fédéral I, p. 448), est abrogé.</w:t>
      </w:r>
    </w:p>
    <w:p w14:paraId="55216B0A" w14:textId="14079E9E" w:rsidR="006945A0" w:rsidRPr="006945A0" w:rsidRDefault="00B61AA0" w:rsidP="00B61AA0">
      <w:pPr>
        <w:pStyle w:val="ArtikelBezeichner"/>
        <w:numPr>
          <w:ilvl w:val="0"/>
          <w:numId w:val="0"/>
        </w:numPr>
      </w:pPr>
      <w:r>
        <w:t>Article 4</w:t>
      </w:r>
    </w:p>
    <w:p w14:paraId="7E143A31" w14:textId="77777777" w:rsidR="006945A0" w:rsidRPr="006945A0" w:rsidRDefault="006945A0" w:rsidP="008A1C13">
      <w:pPr>
        <w:pStyle w:val="Artikelberschrift"/>
      </w:pPr>
      <w:r>
        <w:t>Entrée en vigueur</w:t>
      </w:r>
    </w:p>
    <w:p w14:paraId="690968A7" w14:textId="29B2BF15" w:rsidR="006945A0" w:rsidRDefault="00065020" w:rsidP="0040116B">
      <w:pPr>
        <w:pStyle w:val="JuristischerAbsatznummeriert"/>
      </w:pPr>
      <w:r>
        <w:t>La présente Loi entre en vigueur le 28 juin 2021, sous réserve des dispositions des paragraphes 2 et 3.</w:t>
      </w:r>
    </w:p>
    <w:p w14:paraId="2900BC71" w14:textId="228CA322" w:rsidR="008157F4" w:rsidRPr="006945A0" w:rsidRDefault="00065020" w:rsidP="0040116B">
      <w:pPr>
        <w:pStyle w:val="JuristischerAbsatznummeriert"/>
      </w:pPr>
      <w:r>
        <w:t>À l’article 1, paragraphe 3 ter double lettre ter ter, l’article 3, paragraphe 2, point 5 de la loi relative à l’application des lois sur les réseaux entre en vigueur le 1er octobre 2021.</w:t>
      </w:r>
    </w:p>
    <w:p w14:paraId="1C49F280" w14:textId="77777777" w:rsidR="006945A0" w:rsidRPr="006945A0" w:rsidRDefault="006945A0" w:rsidP="0040116B">
      <w:pPr>
        <w:pStyle w:val="JuristischerAbsatznummeriert"/>
      </w:pPr>
      <w:r>
        <w:t>Le 1er février 2022, les dispositions suivantes entrent en vigueur:</w:t>
      </w:r>
    </w:p>
    <w:p w14:paraId="5BE8DBDC" w14:textId="77777777" w:rsidR="006945A0" w:rsidRDefault="00065020" w:rsidP="0040116B">
      <w:pPr>
        <w:pStyle w:val="NummerierungStufe1"/>
      </w:pPr>
      <w:r>
        <w:t>Article 1, paragraphe 4,</w:t>
      </w:r>
    </w:p>
    <w:p w14:paraId="0F476C14" w14:textId="77777777" w:rsidR="00065020" w:rsidRPr="006945A0" w:rsidRDefault="00065020" w:rsidP="0040116B">
      <w:pPr>
        <w:pStyle w:val="NummerierungStufe1"/>
      </w:pPr>
      <w:r>
        <w:t>Article 1, paragraphe 6 bis, double lettre quater quater et quinquies quinquies et point ter, et</w:t>
      </w:r>
    </w:p>
    <w:p w14:paraId="1354F279" w14:textId="496FF371" w:rsidR="006945A0" w:rsidRDefault="00065020" w:rsidP="008A1C13">
      <w:pPr>
        <w:pStyle w:val="NummerierungStufe1"/>
      </w:pPr>
      <w:r>
        <w:t>Article 1, paragraphe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Les droits du Bundesrat en vertu de la Constitution sont préservés.</w:t>
      </w:r>
    </w:p>
    <w:p w14:paraId="6630C8D5" w14:textId="21074584" w:rsidR="00524B83" w:rsidRPr="00524B83" w:rsidRDefault="00524B83" w:rsidP="00524B83">
      <w:pPr>
        <w:pStyle w:val="JuristischerAbsatzFolgeabsatz"/>
      </w:pPr>
      <w:r>
        <w:t>La Loi susmentionnée est exécutée par la présente. Elle est publiée au Journal Officiel Fédéral.</w:t>
      </w:r>
    </w:p>
    <w:p w14:paraId="789581D2" w14:textId="77777777" w:rsidR="00524B83" w:rsidRPr="00B61AA0" w:rsidRDefault="00524B83" w:rsidP="00524B83">
      <w:pPr>
        <w:pStyle w:val="JuristischerAbsatzFolgeabsatz"/>
      </w:pPr>
      <w:r>
        <w:t>Berlin, le 3 juin 2021</w:t>
      </w:r>
    </w:p>
    <w:p w14:paraId="1AA24B74" w14:textId="77777777" w:rsidR="00524B83" w:rsidRPr="003E21CE" w:rsidRDefault="00524B83" w:rsidP="00524B83">
      <w:pPr>
        <w:pStyle w:val="JuristischerAbsatzFolgeabsatz"/>
        <w:jc w:val="center"/>
        <w:rPr>
          <w:spacing w:val="50"/>
        </w:rPr>
      </w:pPr>
      <w:r w:rsidRPr="003E21CE">
        <w:rPr>
          <w:spacing w:val="50"/>
        </w:rPr>
        <w:t>Le Président Fédéral</w:t>
      </w:r>
    </w:p>
    <w:p w14:paraId="5F3565D9" w14:textId="77777777" w:rsidR="00524B83" w:rsidRPr="003E21CE" w:rsidRDefault="00524B83" w:rsidP="00524B83">
      <w:pPr>
        <w:pStyle w:val="JuristischerAbsatzFolgeabsatz"/>
        <w:jc w:val="center"/>
        <w:rPr>
          <w:spacing w:val="50"/>
        </w:rPr>
      </w:pPr>
      <w:r w:rsidRPr="003E21CE">
        <w:rPr>
          <w:spacing w:val="50"/>
        </w:rPr>
        <w:t>Steinmeier</w:t>
      </w:r>
    </w:p>
    <w:p w14:paraId="1E912554" w14:textId="77777777" w:rsidR="00524B83" w:rsidRPr="003E21CE" w:rsidRDefault="00524B83" w:rsidP="00524B83">
      <w:pPr>
        <w:pStyle w:val="JuristischerAbsatzFolgeabsatz"/>
        <w:jc w:val="center"/>
        <w:rPr>
          <w:spacing w:val="50"/>
        </w:rPr>
      </w:pPr>
      <w:r w:rsidRPr="003E21CE">
        <w:rPr>
          <w:spacing w:val="50"/>
        </w:rPr>
        <w:t>La Chancelière Fédérale</w:t>
      </w:r>
    </w:p>
    <w:p w14:paraId="4151C5C8" w14:textId="77777777" w:rsidR="00524B83" w:rsidRPr="003E21CE" w:rsidRDefault="00524B83" w:rsidP="00524B83">
      <w:pPr>
        <w:pStyle w:val="JuristischerAbsatzFolgeabsatz"/>
        <w:jc w:val="center"/>
        <w:rPr>
          <w:spacing w:val="50"/>
        </w:rPr>
      </w:pPr>
      <w:r w:rsidRPr="003E21CE">
        <w:rPr>
          <w:spacing w:val="50"/>
        </w:rPr>
        <w:t>Dr Angela Merkel</w:t>
      </w:r>
    </w:p>
    <w:p w14:paraId="791D6152" w14:textId="77777777" w:rsidR="00524B83" w:rsidRPr="003E21CE" w:rsidRDefault="00524B83" w:rsidP="00524B83">
      <w:pPr>
        <w:pStyle w:val="JuristischerAbsatzFolgeabsatz"/>
        <w:jc w:val="center"/>
        <w:rPr>
          <w:spacing w:val="50"/>
        </w:rPr>
      </w:pPr>
      <w:r w:rsidRPr="003E21CE">
        <w:rPr>
          <w:spacing w:val="50"/>
        </w:rPr>
        <w:t>La Ministre Fédérale</w:t>
      </w:r>
    </w:p>
    <w:p w14:paraId="772B748E" w14:textId="77777777" w:rsidR="00524B83" w:rsidRPr="003E21CE" w:rsidRDefault="00524B83" w:rsidP="00524B83">
      <w:pPr>
        <w:pStyle w:val="JuristischerAbsatzFolgeabsatz"/>
        <w:jc w:val="center"/>
        <w:rPr>
          <w:spacing w:val="50"/>
        </w:rPr>
      </w:pPr>
      <w:r w:rsidRPr="003E21CE">
        <w:rPr>
          <w:spacing w:val="50"/>
        </w:rPr>
        <w:t>pour la Justice et la Protection des Consommateurs</w:t>
      </w:r>
    </w:p>
    <w:p w14:paraId="4D3A1799" w14:textId="59236FD5" w:rsidR="00524B83" w:rsidRPr="003E21CE" w:rsidRDefault="00524B83" w:rsidP="00524B83">
      <w:pPr>
        <w:pStyle w:val="JuristischerAbsatzFolgeabsatz"/>
        <w:jc w:val="center"/>
        <w:rPr>
          <w:spacing w:val="50"/>
        </w:rPr>
      </w:pPr>
      <w:r w:rsidRPr="003E21CE">
        <w:rPr>
          <w:spacing w:val="50"/>
        </w:rPr>
        <w:t>Christine Lambrecht</w:t>
      </w:r>
    </w:p>
    <w:sectPr w:rsidR="00524B83" w:rsidRPr="003E21CE"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76C0" w14:textId="77777777" w:rsidR="00AD478F" w:rsidRDefault="00AD478F" w:rsidP="005D1540">
      <w:pPr>
        <w:spacing w:before="0" w:after="0"/>
      </w:pPr>
      <w:r>
        <w:separator/>
      </w:r>
    </w:p>
  </w:endnote>
  <w:endnote w:type="continuationSeparator" w:id="0">
    <w:p w14:paraId="4AA103EF" w14:textId="77777777" w:rsidR="00AD478F" w:rsidRDefault="00AD478F"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9D94" w14:textId="77777777" w:rsidR="00AD478F" w:rsidRDefault="00AD478F" w:rsidP="005D1540">
      <w:pPr>
        <w:spacing w:before="0" w:after="0"/>
      </w:pPr>
      <w:r>
        <w:separator/>
      </w:r>
    </w:p>
  </w:footnote>
  <w:footnote w:type="continuationSeparator" w:id="0">
    <w:p w14:paraId="4710C671" w14:textId="77777777" w:rsidR="00AD478F" w:rsidRDefault="00AD478F"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Le présent Acte vise à mettre en œuvre la Directive (UE)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(Directive «Services de Médias Audiovisuels») compte tenu de l’évolution des réalités du marché (JO L 303 du 28 novembre 2018, p. 69).</w:t>
      </w:r>
    </w:p>
  </w:footnote>
  <w:footnote w:id="2">
    <w:p w14:paraId="50BC2B1B" w14:textId="77777777" w:rsidR="00861858" w:rsidRDefault="00861858">
      <w:pPr>
        <w:pStyle w:val="Fotnotstext"/>
      </w:pPr>
      <w:r>
        <w:rPr>
          <w:rStyle w:val="Fotnotsreferens"/>
        </w:rPr>
        <w:footnoteRef/>
      </w:r>
      <w:r>
        <w:tab/>
      </w:r>
      <w:r>
        <w:t xml:space="preserve">Notifié </w:t>
      </w:r>
      <w:r>
        <w:t>conformément à la Directive (UE) 2015/1535 du Parlement européen et du Conseil du 9 septembre 2015 prévoyant une procédure d’information dans le domaine des réglementations techniques et des règles relatives aux services de la Société de l’information (JO L 241 du 17 septembre 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Dernière mise à jour: 17 juin 2021 15 h 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Version: </w:t>
    </w:r>
    <w:r>
      <w:rPr>
        <w:sz w:val="18"/>
      </w:rPr>
      <w:t>17 juin 2021 15 h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21CE"/>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36613"/>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263F"/>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478F"/>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14</Pages>
  <Words>6120</Words>
  <Characters>32438</Characters>
  <Application>Microsoft Office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13</cp:revision>
  <cp:lastPrinted>2021-01-19T16:21:00Z</cp:lastPrinted>
  <dcterms:created xsi:type="dcterms:W3CDTF">2021-06-14T09:43:00Z</dcterms:created>
  <dcterms:modified xsi:type="dcterms:W3CDTF">2022-01-03T20:53:00Z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