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4E783F" w:rsidRDefault="001B58A4" w:rsidP="001B58A4">
      <w:pPr>
        <w:autoSpaceDE w:val="0"/>
        <w:autoSpaceDN w:val="0"/>
        <w:adjustRightInd w:val="0"/>
        <w:spacing w:line="360" w:lineRule="auto"/>
        <w:jc w:val="center"/>
        <w:rPr>
          <w:rFonts w:ascii="Courier New" w:eastAsia="Times New Roman" w:hAnsi="Courier New" w:cs="Courier New"/>
          <w:sz w:val="20"/>
        </w:rPr>
      </w:pPr>
      <w:r w:rsidRPr="004E783F">
        <w:rPr>
          <w:rFonts w:ascii="Courier New" w:hAnsi="Courier New"/>
          <w:sz w:val="20"/>
        </w:rPr>
        <w:t>1. ------IND- 2019 0346 F-</w:t>
      </w:r>
      <w:r w:rsidR="00340062">
        <w:rPr>
          <w:rFonts w:ascii="Courier New" w:hAnsi="Courier New"/>
          <w:sz w:val="20"/>
        </w:rPr>
        <w:t>-</w:t>
      </w:r>
      <w:r w:rsidRPr="004E783F">
        <w:rPr>
          <w:rFonts w:ascii="Courier New" w:hAnsi="Courier New"/>
          <w:sz w:val="20"/>
        </w:rPr>
        <w:t xml:space="preserve"> BG-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4E783F" w:rsidTr="00014AE2">
        <w:trPr>
          <w:cantSplit/>
        </w:trPr>
        <w:tc>
          <w:tcPr>
            <w:tcW w:w="3982" w:type="dxa"/>
            <w:gridSpan w:val="3"/>
            <w:hideMark/>
          </w:tcPr>
          <w:p w:rsidR="00014AE2" w:rsidRPr="004E783F" w:rsidRDefault="00014AE2">
            <w:pPr>
              <w:pStyle w:val="SNREPUBLIQUE"/>
            </w:pPr>
            <w:r w:rsidRPr="004E783F">
              <w:t>ФРЕНСКА РЕПУБЛИКА</w:t>
            </w:r>
          </w:p>
        </w:tc>
      </w:tr>
      <w:tr w:rsidR="00014AE2" w:rsidRPr="004E783F" w:rsidTr="00014AE2">
        <w:trPr>
          <w:cantSplit/>
          <w:trHeight w:hRule="exact" w:val="113"/>
        </w:trPr>
        <w:tc>
          <w:tcPr>
            <w:tcW w:w="1527" w:type="dxa"/>
          </w:tcPr>
          <w:p w:rsidR="00014AE2" w:rsidRPr="004E783F" w:rsidRDefault="00014AE2">
            <w:pPr>
              <w:snapToGrid w:val="0"/>
              <w:rPr>
                <w:rFonts w:cs="Tahoma"/>
              </w:rPr>
            </w:pPr>
          </w:p>
        </w:tc>
        <w:tc>
          <w:tcPr>
            <w:tcW w:w="968" w:type="dxa"/>
            <w:tcBorders>
              <w:top w:val="nil"/>
              <w:left w:val="nil"/>
              <w:bottom w:val="single" w:sz="2" w:space="0" w:color="000000"/>
              <w:right w:val="nil"/>
            </w:tcBorders>
          </w:tcPr>
          <w:p w:rsidR="00014AE2" w:rsidRPr="004E783F" w:rsidRDefault="00014AE2">
            <w:pPr>
              <w:snapToGrid w:val="0"/>
              <w:rPr>
                <w:rFonts w:cs="Tahoma"/>
              </w:rPr>
            </w:pPr>
          </w:p>
        </w:tc>
        <w:tc>
          <w:tcPr>
            <w:tcW w:w="1487" w:type="dxa"/>
          </w:tcPr>
          <w:p w:rsidR="00014AE2" w:rsidRPr="004E783F" w:rsidRDefault="00014AE2">
            <w:pPr>
              <w:snapToGrid w:val="0"/>
              <w:rPr>
                <w:rFonts w:cs="Tahoma"/>
              </w:rPr>
            </w:pPr>
          </w:p>
        </w:tc>
      </w:tr>
      <w:tr w:rsidR="00014AE2" w:rsidRPr="004E783F" w:rsidTr="00014AE2">
        <w:trPr>
          <w:cantSplit/>
        </w:trPr>
        <w:tc>
          <w:tcPr>
            <w:tcW w:w="3982" w:type="dxa"/>
            <w:gridSpan w:val="3"/>
            <w:hideMark/>
          </w:tcPr>
          <w:p w:rsidR="00014AE2" w:rsidRPr="004E783F" w:rsidRDefault="00014AE2">
            <w:pPr>
              <w:pStyle w:val="SNTimbre"/>
            </w:pPr>
            <w:r w:rsidRPr="004E783F">
              <w:t>Министерство на екологичния и солидарен преход</w:t>
            </w:r>
          </w:p>
        </w:tc>
      </w:tr>
      <w:tr w:rsidR="00014AE2" w:rsidRPr="004E783F" w:rsidTr="00014AE2">
        <w:trPr>
          <w:cantSplit/>
          <w:trHeight w:hRule="exact" w:val="227"/>
        </w:trPr>
        <w:tc>
          <w:tcPr>
            <w:tcW w:w="1527" w:type="dxa"/>
          </w:tcPr>
          <w:p w:rsidR="00014AE2" w:rsidRPr="004E783F" w:rsidRDefault="00014AE2">
            <w:pPr>
              <w:snapToGrid w:val="0"/>
            </w:pPr>
          </w:p>
        </w:tc>
        <w:tc>
          <w:tcPr>
            <w:tcW w:w="968" w:type="dxa"/>
            <w:tcBorders>
              <w:top w:val="nil"/>
              <w:left w:val="nil"/>
              <w:bottom w:val="single" w:sz="2" w:space="0" w:color="000000"/>
              <w:right w:val="nil"/>
            </w:tcBorders>
          </w:tcPr>
          <w:p w:rsidR="00014AE2" w:rsidRPr="004E783F" w:rsidRDefault="00014AE2">
            <w:pPr>
              <w:snapToGrid w:val="0"/>
            </w:pPr>
          </w:p>
        </w:tc>
        <w:tc>
          <w:tcPr>
            <w:tcW w:w="1487" w:type="dxa"/>
          </w:tcPr>
          <w:p w:rsidR="00014AE2" w:rsidRPr="004E783F" w:rsidRDefault="00014AE2">
            <w:pPr>
              <w:snapToGrid w:val="0"/>
            </w:pPr>
          </w:p>
        </w:tc>
      </w:tr>
      <w:tr w:rsidR="00014AE2" w:rsidRPr="004E783F" w:rsidTr="00014AE2">
        <w:trPr>
          <w:cantSplit/>
          <w:trHeight w:hRule="exact" w:val="227"/>
        </w:trPr>
        <w:tc>
          <w:tcPr>
            <w:tcW w:w="1527" w:type="dxa"/>
          </w:tcPr>
          <w:p w:rsidR="00014AE2" w:rsidRPr="004E783F" w:rsidRDefault="00014AE2">
            <w:pPr>
              <w:snapToGrid w:val="0"/>
            </w:pPr>
          </w:p>
        </w:tc>
        <w:tc>
          <w:tcPr>
            <w:tcW w:w="968" w:type="dxa"/>
          </w:tcPr>
          <w:p w:rsidR="00014AE2" w:rsidRPr="004E783F" w:rsidRDefault="00014AE2">
            <w:pPr>
              <w:snapToGrid w:val="0"/>
            </w:pPr>
          </w:p>
        </w:tc>
        <w:tc>
          <w:tcPr>
            <w:tcW w:w="1487" w:type="dxa"/>
          </w:tcPr>
          <w:p w:rsidR="00014AE2" w:rsidRPr="004E783F" w:rsidRDefault="00014AE2">
            <w:pPr>
              <w:snapToGrid w:val="0"/>
            </w:pPr>
          </w:p>
        </w:tc>
      </w:tr>
    </w:tbl>
    <w:p w:rsidR="000908EA" w:rsidRPr="004E783F" w:rsidRDefault="000908EA">
      <w:pPr>
        <w:rPr>
          <w:rFonts w:ascii="Liberration sans" w:hAnsi="Liberration sans" w:hint="eastAsia"/>
          <w:sz w:val="24"/>
          <w:szCs w:val="24"/>
        </w:rPr>
      </w:pPr>
    </w:p>
    <w:p w:rsidR="00014AE2" w:rsidRPr="004E783F" w:rsidRDefault="00014AE2" w:rsidP="00014AE2">
      <w:pPr>
        <w:pStyle w:val="SNNature"/>
      </w:pPr>
      <w:r w:rsidRPr="004E783F">
        <w:t>Указ №°</w:t>
      </w:r>
      <w:bookmarkStart w:id="0" w:name="_GoBack"/>
      <w:r w:rsidRPr="004E783F">
        <w:t xml:space="preserve">  </w:t>
      </w:r>
      <w:bookmarkEnd w:id="0"/>
      <w:r w:rsidRPr="004E783F">
        <w:t xml:space="preserve">                        от</w:t>
      </w:r>
    </w:p>
    <w:p w:rsidR="000908EA" w:rsidRPr="004E783F" w:rsidRDefault="00014AE2" w:rsidP="000908EA">
      <w:pPr>
        <w:spacing w:after="0" w:line="240" w:lineRule="auto"/>
        <w:jc w:val="center"/>
        <w:rPr>
          <w:rFonts w:ascii="Liberration sans" w:hAnsi="Liberration sans" w:hint="eastAsia"/>
          <w:b/>
          <w:sz w:val="24"/>
          <w:szCs w:val="24"/>
        </w:rPr>
      </w:pPr>
      <w:r w:rsidRPr="004E783F">
        <w:rPr>
          <w:rFonts w:ascii="Liberration sans" w:hAnsi="Liberration sans"/>
          <w:b/>
          <w:sz w:val="24"/>
          <w:szCs w:val="24"/>
        </w:rPr>
        <w:t>относно забраната на определени пластмасови продукти за еднократна употреба</w:t>
      </w:r>
    </w:p>
    <w:p w:rsidR="000908EA" w:rsidRPr="004E783F" w:rsidRDefault="000908EA" w:rsidP="000908EA">
      <w:pPr>
        <w:spacing w:after="0" w:line="240" w:lineRule="auto"/>
        <w:jc w:val="center"/>
        <w:rPr>
          <w:rFonts w:ascii="Liberration sans" w:hAnsi="Liberration sans" w:hint="eastAsia"/>
          <w:sz w:val="24"/>
          <w:szCs w:val="24"/>
        </w:rPr>
      </w:pPr>
    </w:p>
    <w:p w:rsidR="00014AE2" w:rsidRPr="004E783F" w:rsidRDefault="00014AE2" w:rsidP="000908EA">
      <w:pPr>
        <w:spacing w:after="0" w:line="240" w:lineRule="auto"/>
        <w:jc w:val="center"/>
        <w:rPr>
          <w:rFonts w:ascii="Liberration sans" w:hAnsi="Liberration sans" w:hint="eastAsia"/>
          <w:sz w:val="24"/>
          <w:szCs w:val="24"/>
        </w:rPr>
      </w:pPr>
    </w:p>
    <w:p w:rsidR="000908EA" w:rsidRPr="004E783F" w:rsidRDefault="000908EA" w:rsidP="000908EA">
      <w:pPr>
        <w:spacing w:after="0" w:line="240" w:lineRule="auto"/>
        <w:jc w:val="center"/>
        <w:rPr>
          <w:rFonts w:ascii="Liberration sans" w:hAnsi="Liberration sans" w:hint="eastAsia"/>
          <w:sz w:val="24"/>
          <w:szCs w:val="24"/>
        </w:rPr>
      </w:pPr>
      <w:r w:rsidRPr="004E783F">
        <w:rPr>
          <w:rFonts w:ascii="Liberration sans" w:hAnsi="Liberration sans"/>
          <w:sz w:val="24"/>
          <w:szCs w:val="24"/>
        </w:rPr>
        <w:t>Реф. номер: […]</w:t>
      </w:r>
    </w:p>
    <w:p w:rsidR="000908EA" w:rsidRPr="004E783F" w:rsidRDefault="000908EA" w:rsidP="000908EA">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i/>
          <w:sz w:val="24"/>
          <w:szCs w:val="24"/>
        </w:rPr>
      </w:pPr>
      <w:r w:rsidRPr="004E783F">
        <w:rPr>
          <w:rFonts w:ascii="Liberration sans" w:hAnsi="Liberration sans"/>
          <w:b/>
          <w:i/>
          <w:sz w:val="24"/>
          <w:szCs w:val="24"/>
        </w:rPr>
        <w:t>Заинтересовани страни:</w:t>
      </w:r>
      <w:r w:rsidRPr="004E783F">
        <w:rPr>
          <w:rFonts w:ascii="Liberration sans" w:hAnsi="Liberration sans"/>
          <w:i/>
          <w:sz w:val="24"/>
          <w:szCs w:val="24"/>
        </w:rPr>
        <w:t xml:space="preserve"> физически или юридически лица, които доставят, използват, разпространяват или предоставят, срещу заплащане или безплатно, за нуждите на тяхната икономическа дейност, определени пластмасови продукти за еднократна употреба.</w:t>
      </w:r>
    </w:p>
    <w:p w:rsidR="00937C42" w:rsidRPr="004E783F" w:rsidRDefault="00937C42" w:rsidP="00937C42">
      <w:pPr>
        <w:spacing w:after="0" w:line="240" w:lineRule="auto"/>
        <w:jc w:val="both"/>
        <w:rPr>
          <w:rFonts w:ascii="Liberration sans" w:hAnsi="Liberration sans" w:hint="eastAsia"/>
          <w:b/>
          <w:i/>
          <w:sz w:val="24"/>
          <w:szCs w:val="24"/>
        </w:rPr>
      </w:pPr>
    </w:p>
    <w:p w:rsidR="00937C42" w:rsidRPr="004E783F" w:rsidRDefault="00937C42" w:rsidP="00937C42">
      <w:pPr>
        <w:spacing w:after="0" w:line="240" w:lineRule="auto"/>
        <w:jc w:val="both"/>
        <w:rPr>
          <w:rFonts w:ascii="Liberration sans" w:hAnsi="Liberration sans" w:hint="eastAsia"/>
          <w:i/>
          <w:sz w:val="24"/>
          <w:szCs w:val="24"/>
        </w:rPr>
      </w:pPr>
      <w:r w:rsidRPr="004E783F">
        <w:rPr>
          <w:rFonts w:ascii="Liberration sans" w:hAnsi="Liberration sans"/>
          <w:b/>
          <w:i/>
          <w:sz w:val="24"/>
          <w:szCs w:val="24"/>
        </w:rPr>
        <w:t>Относно:</w:t>
      </w:r>
      <w:r w:rsidRPr="004E783F">
        <w:rPr>
          <w:rFonts w:ascii="Liberration sans" w:hAnsi="Liberration sans"/>
          <w:i/>
          <w:sz w:val="24"/>
          <w:szCs w:val="24"/>
        </w:rPr>
        <w:t xml:space="preserve"> условия за прилагане на забраната за предоставяне на определени пластмасови продукти за еднократна употреба.</w:t>
      </w:r>
    </w:p>
    <w:p w:rsidR="00937C42" w:rsidRPr="004E783F" w:rsidRDefault="00937C42" w:rsidP="00937C42">
      <w:pPr>
        <w:spacing w:after="0" w:line="240" w:lineRule="auto"/>
        <w:jc w:val="both"/>
        <w:rPr>
          <w:rFonts w:ascii="Liberration sans" w:hAnsi="Liberration sans" w:hint="eastAsia"/>
          <w:b/>
          <w:i/>
          <w:sz w:val="24"/>
          <w:szCs w:val="24"/>
        </w:rPr>
      </w:pPr>
    </w:p>
    <w:p w:rsidR="00937C42" w:rsidRPr="004E783F" w:rsidRDefault="00937C42" w:rsidP="00937C42">
      <w:pPr>
        <w:spacing w:after="0" w:line="240" w:lineRule="auto"/>
        <w:jc w:val="both"/>
      </w:pPr>
      <w:r w:rsidRPr="004E783F">
        <w:rPr>
          <w:rFonts w:ascii="Liberration sans" w:hAnsi="Liberration sans"/>
          <w:b/>
          <w:i/>
          <w:sz w:val="24"/>
          <w:szCs w:val="24"/>
        </w:rPr>
        <w:t>Влизане в сила:</w:t>
      </w:r>
      <w:r w:rsidRPr="004E783F">
        <w:rPr>
          <w:rFonts w:ascii="Liberration sans" w:hAnsi="Liberration sans"/>
          <w:i/>
          <w:sz w:val="24"/>
          <w:szCs w:val="24"/>
        </w:rPr>
        <w:t xml:space="preserve"> разпоредбите на настоящия указ влизат в сила на 1 януари 2020 г., с изключение на разпоредбите на член 3, чието влизане в сила се предвижда за 3 юли 2021 г.</w:t>
      </w:r>
    </w:p>
    <w:p w:rsidR="00937C42" w:rsidRPr="004E783F" w:rsidRDefault="00937C42" w:rsidP="00937C42">
      <w:pPr>
        <w:spacing w:after="0" w:line="240" w:lineRule="auto"/>
        <w:jc w:val="both"/>
        <w:rPr>
          <w:rFonts w:ascii="Liberration sans" w:hAnsi="Liberration sans" w:hint="eastAsia"/>
          <w:b/>
          <w:i/>
          <w:sz w:val="24"/>
          <w:szCs w:val="24"/>
        </w:rPr>
      </w:pPr>
    </w:p>
    <w:p w:rsidR="00937C42" w:rsidRPr="004E783F" w:rsidRDefault="00937C42" w:rsidP="00937C42">
      <w:pPr>
        <w:spacing w:after="0" w:line="240" w:lineRule="auto"/>
        <w:jc w:val="both"/>
        <w:rPr>
          <w:rFonts w:ascii="Liberration sans" w:hAnsi="Liberration sans" w:hint="eastAsia"/>
          <w:i/>
          <w:sz w:val="24"/>
          <w:szCs w:val="24"/>
        </w:rPr>
      </w:pPr>
      <w:r w:rsidRPr="004E783F">
        <w:rPr>
          <w:rFonts w:ascii="Liberration sans" w:hAnsi="Liberration sans"/>
          <w:b/>
          <w:i/>
          <w:sz w:val="24"/>
          <w:szCs w:val="24"/>
        </w:rPr>
        <w:t>Бележка:</w:t>
      </w:r>
      <w:r w:rsidRPr="004E783F">
        <w:rPr>
          <w:rFonts w:ascii="Liberration sans" w:hAnsi="Liberration sans"/>
          <w:i/>
          <w:sz w:val="24"/>
          <w:szCs w:val="24"/>
        </w:rPr>
        <w:t xml:space="preserve"> с проекта на указ се определят условията за прилагане на законодателните разпоредби на Кодекса за околната среда, с които се цели да се забрани от 1 януари 2020 г. предоставянето на определени пластмасови продукти за еднократна употреба. За тази цел с него се уточняват правилата за прилагане на член L. 541-10-5, III от Кодекса за околната среда. </w:t>
      </w:r>
    </w:p>
    <w:p w:rsidR="00937C42" w:rsidRPr="004E783F" w:rsidRDefault="00937C42" w:rsidP="00937C42">
      <w:pPr>
        <w:spacing w:after="0" w:line="240" w:lineRule="auto"/>
        <w:jc w:val="both"/>
        <w:rPr>
          <w:rFonts w:ascii="Liberration sans" w:hAnsi="Liberration sans" w:hint="eastAsia"/>
          <w:b/>
          <w:i/>
          <w:sz w:val="24"/>
          <w:szCs w:val="24"/>
        </w:rPr>
      </w:pPr>
    </w:p>
    <w:p w:rsidR="00937C42" w:rsidRPr="004E783F" w:rsidRDefault="00937C42" w:rsidP="00937C42">
      <w:pPr>
        <w:spacing w:after="0" w:line="240" w:lineRule="auto"/>
        <w:jc w:val="both"/>
      </w:pPr>
      <w:r w:rsidRPr="004E783F">
        <w:rPr>
          <w:rFonts w:ascii="Liberration sans" w:hAnsi="Liberration sans"/>
          <w:b/>
          <w:i/>
          <w:sz w:val="24"/>
          <w:szCs w:val="24"/>
        </w:rPr>
        <w:t>Позовавания:</w:t>
      </w:r>
      <w:r w:rsidRPr="004E783F">
        <w:rPr>
          <w:rFonts w:ascii="Liberration sans" w:hAnsi="Liberration sans"/>
          <w:i/>
          <w:sz w:val="24"/>
          <w:szCs w:val="24"/>
        </w:rPr>
        <w:t xml:space="preserve"> указът е за прилагане на член L. 541-10-5, III, първа алинея от Кодекса за околната среда, въведен с член 73 от Закон № 2015-992 от 17 август 2015 г. за енергийния преход за екологосъобразен растеж и изменен с член 28 от Закон № 2018-938 от 30 октомври 2018 г. за баланса в търговските отношения в сектора на селскостопанските и хранителните продукти и здравословно, устойчиво и достъпно за всички хранене.</w:t>
      </w:r>
    </w:p>
    <w:p w:rsidR="00937C42" w:rsidRPr="004E783F" w:rsidRDefault="00937C42" w:rsidP="00937C42">
      <w:pPr>
        <w:spacing w:after="0" w:line="240" w:lineRule="auto"/>
        <w:jc w:val="both"/>
        <w:rPr>
          <w:rFonts w:ascii="Liberration sans" w:hAnsi="Liberration sans" w:hint="eastAsia"/>
          <w:b/>
          <w:sz w:val="24"/>
          <w:szCs w:val="24"/>
        </w:rPr>
      </w:pPr>
    </w:p>
    <w:p w:rsidR="00937C42" w:rsidRPr="004E783F" w:rsidRDefault="00937C42" w:rsidP="00937C42">
      <w:pPr>
        <w:spacing w:after="0" w:line="240" w:lineRule="auto"/>
        <w:jc w:val="both"/>
        <w:rPr>
          <w:rFonts w:ascii="Liberration sans" w:hAnsi="Liberration sans" w:hint="eastAsia"/>
          <w:b/>
          <w:sz w:val="24"/>
          <w:szCs w:val="24"/>
        </w:rPr>
      </w:pPr>
    </w:p>
    <w:p w:rsidR="00937C42" w:rsidRPr="004E783F" w:rsidRDefault="00937C42" w:rsidP="00937C42">
      <w:pPr>
        <w:spacing w:after="0" w:line="240" w:lineRule="auto"/>
        <w:jc w:val="both"/>
        <w:rPr>
          <w:rFonts w:ascii="Liberration sans" w:hAnsi="Liberration sans" w:hint="eastAsia"/>
          <w:b/>
          <w:sz w:val="24"/>
          <w:szCs w:val="24"/>
        </w:rPr>
      </w:pPr>
      <w:r w:rsidRPr="004E783F">
        <w:rPr>
          <w:rFonts w:ascii="Liberration sans" w:hAnsi="Liberration sans"/>
          <w:b/>
          <w:sz w:val="24"/>
          <w:szCs w:val="24"/>
        </w:rPr>
        <w:t>Министър-председателят,</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доклада на министъра на екологичния и солидарен преход и министъра на икономиката и финансите,</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Директива 94/62/ЕО на Европейския парламент и на Съвета от 20 декември 1994 г. относно опаковките и отпадъците от опаковки, по-специално изменена с Директива 2004/12/ЕО на Европейския парламент и на Съвета от 11 февруари 2004 г.,</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Директива (ЕС) 2019/904 на Европейския парламент и на Съвета относно намаляването на въздействието на определени пластмасови продукти върху околната среда,</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Директива 90/385/ЕИО относно сближаване на законодателството на държавите членки, свързано с активните имплантируеми медицински изделия,</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Директива 93/42/ЕИО относно медицинските изделия,</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Кодекса за околната среда, по-специално член L. 541-10-5, III от него, въведен с член 73 от Закон № 2015-992 от 17 август 2015 г. за енергийния преход за екологосъобразен растеж и изменен с член 28 от Закон № 2018-938 от 30 октомври 2018 г. за баланса в търговските отношения в сектора на селскостопанските и хранителните продукти и здравословно, устойчиво и достъпно за всички хранене,</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забележките по време на обществената консултация, осъществена от XX xxx 2019 г. до XX xxx 2019 г. съгласно член L. 123-19-1 от Кодекса за околната среда,</w:t>
      </w:r>
    </w:p>
    <w:p w:rsidR="00327313" w:rsidRPr="004E783F" w:rsidRDefault="00327313"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като взе предвид Нотификация № …., изпратена до Европейската комисия на ………..,</w:t>
      </w:r>
    </w:p>
    <w:p w:rsidR="00937C42" w:rsidRPr="004E783F" w:rsidRDefault="00937C42" w:rsidP="00937C42">
      <w:pPr>
        <w:spacing w:after="0" w:line="240" w:lineRule="auto"/>
        <w:rPr>
          <w:rFonts w:ascii="Liberration sans" w:hAnsi="Liberration sans" w:hint="eastAsia"/>
          <w:sz w:val="24"/>
          <w:szCs w:val="24"/>
        </w:rPr>
      </w:pPr>
    </w:p>
    <w:p w:rsidR="00937C42" w:rsidRPr="004E783F" w:rsidRDefault="00937C42" w:rsidP="00327313">
      <w:pPr>
        <w:keepNext/>
        <w:spacing w:after="0" w:line="240" w:lineRule="auto"/>
        <w:jc w:val="center"/>
        <w:rPr>
          <w:rFonts w:ascii="Liberration sans" w:hAnsi="Liberration sans" w:hint="eastAsia"/>
          <w:b/>
          <w:sz w:val="24"/>
          <w:szCs w:val="24"/>
        </w:rPr>
      </w:pPr>
      <w:r w:rsidRPr="004E783F">
        <w:rPr>
          <w:rFonts w:ascii="Liberration sans" w:hAnsi="Liberration sans"/>
          <w:b/>
          <w:sz w:val="24"/>
          <w:szCs w:val="24"/>
        </w:rPr>
        <w:t>реши:</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center"/>
        <w:rPr>
          <w:rFonts w:ascii="Liberration sans" w:hAnsi="Liberration sans" w:hint="eastAsia"/>
          <w:b/>
          <w:sz w:val="24"/>
          <w:szCs w:val="24"/>
        </w:rPr>
      </w:pPr>
      <w:r w:rsidRPr="004E783F">
        <w:rPr>
          <w:rFonts w:ascii="Liberration sans" w:hAnsi="Liberration sans"/>
          <w:b/>
          <w:sz w:val="24"/>
          <w:szCs w:val="24"/>
        </w:rPr>
        <w:t>Член 1</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both"/>
        <w:rPr>
          <w:rFonts w:ascii="Liberration sans" w:hAnsi="Liberration sans" w:hint="eastAsia"/>
          <w:sz w:val="24"/>
          <w:szCs w:val="24"/>
        </w:rPr>
      </w:pPr>
      <w:r w:rsidRPr="004E783F">
        <w:rPr>
          <w:rFonts w:ascii="Liberration sans" w:hAnsi="Liberration sans"/>
          <w:sz w:val="24"/>
          <w:szCs w:val="24"/>
        </w:rPr>
        <w:t>Книга V, дял IV, глава III, раздел 21, подраздел 1 от регулаторната част на Кодекса за околната среда се заменя със следните разпоредби:</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„Подраздел 1: Общи разпоредби</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„Член D543-294</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„За прилагането на член L. 541-10-5, ІІІ и на настоящия раздел се прилагат следните определения:</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„1) „Пластмаса“ означава материал, състоящ се от полимер, както е определен в член 3, точка 5 от Регламент (ЕО) № 1907/2006 на Европейския парламент и на Съвета от 18 декември 2006 г., към който може да са добавени адитиви или други вещества и който може да функционира като основен структурен компонент на крайни продукти, с изключение на естествените полимери, които не са били химически модифицирани;</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„2) „Пластмасов продукт за еднократна употреба“ означава продукт, който е направен изцяло или отчасти от пластмаса и не е замислен, проектиран или пуснат на пазара, за да направи в рамките на своя експлоатационен живот многократни цикли или обороти, като се връща на производител за повторно пълнене, или не е замислен, проектиран или пуснат на пазара за повторна употреба за същата цел, за която е бил замислен;</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 xml:space="preserve">„3) „Производител“ означава всяко физическо или юридическо лице, което професионално произвежда, пълни, продава или внася, независимо от използваните техники за продажба, включително чрез договори от разстояние, пластмасови продукти за еднократна употреба, пълнени пластмасови продукти за еднократна употреба; </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„4) „Предоставяне“ означава всяка доставка на продукт за дистрибуция, потребление или използване на националната територия в процеса на търговска дейност, срещу заплащане или безплатно;</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„5) „Пускане на пазара“ означава предоставянето за първи път на националната територия;</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„6) „Опаковка“ означава продуктите, посочени с Директива 94/62/ЕО на Европейския парламент и на Съвета от 20 декември 1994 г., изменена, относно опаковките и отпадъците от опаковки;</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„7) „Чаши и стъклени чаши“ означава чашите и стъклените чаши, изработени изцяло от пластмаса;</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Standard"/>
        <w:jc w:val="both"/>
        <w:rPr>
          <w:rFonts w:ascii="Liberration sans" w:hAnsi="Liberration sans" w:hint="eastAsia"/>
        </w:rPr>
      </w:pPr>
      <w:r w:rsidRPr="004E783F">
        <w:rPr>
          <w:rFonts w:ascii="Liberration sans" w:hAnsi="Liberration sans"/>
        </w:rPr>
        <w:t>„8) „Кухненски чинии за храна за еднократна употреба“ означава чиниите, изработени изцяло от пластмаса;</w:t>
      </w:r>
    </w:p>
    <w:p w:rsidR="00937C42" w:rsidRPr="004E783F" w:rsidRDefault="00937C42" w:rsidP="00937C42">
      <w:pPr>
        <w:pStyle w:val="Standard"/>
        <w:jc w:val="both"/>
        <w:rPr>
          <w:rFonts w:ascii="Liberration sans" w:hAnsi="Liberration sans" w:hint="eastAsia"/>
        </w:rPr>
      </w:pPr>
    </w:p>
    <w:p w:rsidR="00937C42" w:rsidRPr="004E783F" w:rsidRDefault="00937C42" w:rsidP="00937C42">
      <w:pPr>
        <w:pStyle w:val="Textbody"/>
        <w:spacing w:after="0" w:line="240" w:lineRule="auto"/>
        <w:jc w:val="both"/>
        <w:rPr>
          <w:rFonts w:ascii="Liberration sans" w:hAnsi="Liberration sans" w:hint="eastAsia"/>
        </w:rPr>
      </w:pPr>
      <w:r w:rsidRPr="004E783F">
        <w:rPr>
          <w:rFonts w:ascii="Liberration sans" w:hAnsi="Liberration sans"/>
        </w:rPr>
        <w:t>„9) „Прибори за хранене“ означава вилиците, ножовете, лъжиците и пръчиците за хранене, посочени в част Б от приложението към Директива (ЕС) 2019/904, с изключение на тези, които се използват в затворите, здравните институции и във въздушния, железопътния и морския транспорт;</w:t>
      </w:r>
    </w:p>
    <w:p w:rsidR="00937C42" w:rsidRPr="004E783F" w:rsidRDefault="00937C42" w:rsidP="00937C42">
      <w:pPr>
        <w:pStyle w:val="Textbody"/>
        <w:spacing w:after="0" w:line="240" w:lineRule="auto"/>
        <w:jc w:val="both"/>
        <w:rPr>
          <w:rFonts w:ascii="Liberration sans" w:hAnsi="Liberration sans" w:hint="eastAsia"/>
        </w:rPr>
      </w:pPr>
    </w:p>
    <w:p w:rsidR="00937C42" w:rsidRPr="004E783F" w:rsidRDefault="00937C42" w:rsidP="00937C42">
      <w:pPr>
        <w:pStyle w:val="Textbody"/>
        <w:spacing w:after="0" w:line="240" w:lineRule="auto"/>
        <w:jc w:val="both"/>
        <w:rPr>
          <w:rFonts w:ascii="Liberration sans" w:hAnsi="Liberration sans" w:hint="eastAsia"/>
        </w:rPr>
      </w:pPr>
      <w:r w:rsidRPr="004E783F">
        <w:rPr>
          <w:rFonts w:ascii="Liberration sans" w:hAnsi="Liberration sans"/>
        </w:rPr>
        <w:t>„10) „Табли за хранене, съдове за лед, салатиери и кутии“ означава съдовете за храна, както са посочени в част А от приложението към Директива (ЕС) 2019/904, изработени изцяло от пластмаса, използвани за съхранение на храна, която e предназначена за незабавна консумация, както на място, така и за изнасяне от обекта, по принцип се консумира от съда, и е готова за консумация без по-нататъшна подготовка, като например готвене, варене или загряване,;</w:t>
      </w:r>
    </w:p>
    <w:p w:rsidR="00937C42" w:rsidRPr="004E783F" w:rsidRDefault="00937C42" w:rsidP="00937C42">
      <w:pPr>
        <w:pStyle w:val="Textbody"/>
        <w:spacing w:after="0" w:line="240" w:lineRule="auto"/>
        <w:jc w:val="both"/>
        <w:rPr>
          <w:rFonts w:ascii="Liberration sans" w:hAnsi="Liberration sans" w:hint="eastAsia"/>
        </w:rPr>
      </w:pPr>
    </w:p>
    <w:p w:rsidR="00937C42" w:rsidRPr="004E783F" w:rsidRDefault="00937C42" w:rsidP="00937C42">
      <w:pPr>
        <w:pStyle w:val="Textbody"/>
        <w:spacing w:after="0" w:line="240" w:lineRule="auto"/>
        <w:jc w:val="both"/>
        <w:rPr>
          <w:rFonts w:ascii="Liberration sans" w:hAnsi="Liberration sans" w:hint="eastAsia"/>
        </w:rPr>
      </w:pPr>
      <w:r w:rsidRPr="004E783F">
        <w:rPr>
          <w:rFonts w:ascii="Liberration sans" w:hAnsi="Liberration sans"/>
        </w:rPr>
        <w:t>„11) „Сламки“ означава сламките, които се предоставят на мястото на употреба или които се продават като единичен продукт или като партида на крайния потребител, с изключение на тези, които попадат в обхвата на Директива 90/385/ЕИО или на Директива 93/42/ЕИО;</w:t>
      </w:r>
    </w:p>
    <w:p w:rsidR="00937C42" w:rsidRPr="004E783F" w:rsidRDefault="00937C42" w:rsidP="00937C42">
      <w:pPr>
        <w:pStyle w:val="Textbody"/>
        <w:spacing w:after="0" w:line="240" w:lineRule="auto"/>
        <w:jc w:val="both"/>
        <w:rPr>
          <w:rFonts w:ascii="Liberration sans" w:hAnsi="Liberration sans" w:hint="eastAsia"/>
        </w:rPr>
      </w:pPr>
    </w:p>
    <w:p w:rsidR="00937C42" w:rsidRPr="004E783F" w:rsidRDefault="00937C42" w:rsidP="00937C42">
      <w:pPr>
        <w:pStyle w:val="Textbody"/>
        <w:spacing w:after="0" w:line="240" w:lineRule="auto"/>
        <w:jc w:val="both"/>
        <w:rPr>
          <w:rFonts w:ascii="Liberration sans" w:hAnsi="Liberration sans" w:hint="eastAsia"/>
        </w:rPr>
      </w:pPr>
      <w:r w:rsidRPr="004E783F">
        <w:rPr>
          <w:rFonts w:ascii="Liberration sans" w:hAnsi="Liberration sans"/>
        </w:rPr>
        <w:t>„12) „Стъклени капаци“ означава стъклените капаци или за чаши, които попадат в обхвата на капаците за чаши за напитки по смисъла на част А от приложението към Директива (ЕС) 2019/904;</w:t>
      </w:r>
    </w:p>
    <w:p w:rsidR="00937C42" w:rsidRPr="004E783F" w:rsidRDefault="00937C42" w:rsidP="00937C42">
      <w:pPr>
        <w:pStyle w:val="Textbody"/>
        <w:spacing w:after="0" w:line="240" w:lineRule="auto"/>
        <w:jc w:val="both"/>
        <w:rPr>
          <w:rFonts w:ascii="Liberration sans" w:hAnsi="Liberration sans" w:hint="eastAsia"/>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„13) „Компостируеми продукти при домашно компостиране“ означава продуктите, които отговарят на изискванията на одобрения френски стандарт относно спецификациите за пластмасите, годни за домашно компостиране, както и законно произведените или пуснатите на пазара в държава — членка на Европейския съюз или в Турция, или законно произведените в държава, която е страна по споразумението за създаване на Европейското икономическо пространство, и представляващи еквивалентни гаранции;</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„14) „Материал, който е на биологична основа“ означава всеки материал с биологичен произход, с изключение на материалите, включени в геоложки или вкаменени образувания;</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rPr>
          <w:rFonts w:ascii="Liberration sans" w:hAnsi="Liberration sans" w:hint="eastAsia"/>
          <w:sz w:val="24"/>
          <w:szCs w:val="24"/>
        </w:rPr>
      </w:pPr>
      <w:r w:rsidRPr="004E783F">
        <w:rPr>
          <w:rFonts w:ascii="Liberration sans" w:hAnsi="Liberration sans"/>
          <w:sz w:val="24"/>
          <w:szCs w:val="24"/>
        </w:rPr>
        <w:t>„15) „Съдържание, което е на биологична основа“ означава процент, изразен като фракция на общия въглерод, на материали, които са на биологична основа, съдържащи се в чашите, стъклените чаши или чиниите, определен съгласно метода на изчисляване, определен с френския стандарт, или всеки друг стандарт, представляващ еквивалентни гаранции, който действа на международно равнище, относно определянето на съдържанието на въглерод, който е на биологична основа, на пластмасите.</w:t>
      </w:r>
    </w:p>
    <w:p w:rsidR="00937C42" w:rsidRPr="004E783F" w:rsidRDefault="00937C42" w:rsidP="00937C42">
      <w:pPr>
        <w:spacing w:after="0" w:line="240" w:lineRule="auto"/>
        <w:rPr>
          <w:rFonts w:ascii="Liberration sans" w:hAnsi="Liberration sans" w:hint="eastAsia"/>
          <w:sz w:val="24"/>
          <w:szCs w:val="24"/>
        </w:rPr>
      </w:pPr>
    </w:p>
    <w:p w:rsidR="00937C42" w:rsidRPr="004E783F" w:rsidRDefault="00937C42" w:rsidP="00327313">
      <w:pPr>
        <w:keepNext/>
        <w:spacing w:after="0" w:line="240" w:lineRule="auto"/>
        <w:jc w:val="center"/>
        <w:rPr>
          <w:rFonts w:ascii="Liberration sans" w:hAnsi="Liberration sans" w:hint="eastAsia"/>
          <w:b/>
          <w:sz w:val="24"/>
          <w:szCs w:val="24"/>
        </w:rPr>
      </w:pPr>
      <w:r w:rsidRPr="004E783F">
        <w:rPr>
          <w:rFonts w:ascii="Liberration sans" w:hAnsi="Liberration sans"/>
          <w:b/>
          <w:sz w:val="24"/>
          <w:szCs w:val="24"/>
        </w:rPr>
        <w:t>Член 2</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 xml:space="preserve">Книга V, дял IV, глава III, раздел 21, подраздел 2 от регулаторната част на Кодекса за околната среда се изменя, както следва: </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1) Заглавието на подраздел 2 става: „Пластмасови продукти за еднократна употреба“;</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2) Член D. 543-295 се заменя със следната разпоредба:</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pPr>
      <w:r w:rsidRPr="004E783F">
        <w:rPr>
          <w:rFonts w:ascii="Liberration sans" w:hAnsi="Liberration sans"/>
          <w:sz w:val="24"/>
          <w:szCs w:val="24"/>
        </w:rPr>
        <w:t>„Продуктите, посочени в член L541-10-5, III, първа алинея, за които предоставянето е прекратено, са пластмасовите за еднократна употреба, с изключение на опаковките. “</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3) Член D. 543-296 се заменя със следната разпоредба:</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 xml:space="preserve">„Минималното съдържание, което е на биологична основа, на продуктите, посочени в член L. 541-10-5, III, първа алинея, е 50 % от 1 януари 2020 г. и 60 % от 1 януари 2025 г. </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center"/>
        <w:rPr>
          <w:rFonts w:ascii="Liberration sans" w:hAnsi="Liberration sans" w:hint="eastAsia"/>
          <w:b/>
          <w:sz w:val="24"/>
          <w:szCs w:val="24"/>
        </w:rPr>
      </w:pPr>
      <w:r w:rsidRPr="004E783F">
        <w:rPr>
          <w:rFonts w:ascii="Liberration sans" w:hAnsi="Liberration sans"/>
          <w:b/>
          <w:sz w:val="24"/>
          <w:szCs w:val="24"/>
        </w:rPr>
        <w:t>Член 3</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both"/>
        <w:rPr>
          <w:rFonts w:ascii="Liberration sans" w:hAnsi="Liberration sans" w:hint="eastAsia"/>
          <w:sz w:val="24"/>
          <w:szCs w:val="24"/>
        </w:rPr>
      </w:pPr>
      <w:r w:rsidRPr="004E783F">
        <w:rPr>
          <w:rFonts w:ascii="Liberration sans" w:hAnsi="Liberration sans"/>
          <w:sz w:val="24"/>
          <w:szCs w:val="24"/>
        </w:rPr>
        <w:t>1) Член D. 543-294 се изменя, както следва:</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а) точка 7 се допълва с думите: „и изработени частично от пластмаса, със съдържание над максималното съдържание, определено с постановление за уточняване на разрешеното максимално съдържание на пластмаса и условията, при които съдържанието на пластмаса постепенно се намалява“;</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б) в точка 8 думите: „изработени изцяло от пластмаса“ се заменят с думите: „, включително с пластмасово покритие, посочени в част Б от приложението към Директива (ЕС) 2019/904“;</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в) в точка 9 думите: „с изключение на тези, които се използват в затворите, здравните институции и във въздушния, железопътния и морския транспорт“ се заличават;</w:t>
      </w:r>
    </w:p>
    <w:p w:rsidR="00871194" w:rsidRPr="004E783F" w:rsidRDefault="00871194"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г) в точка 11 думите: „, които се предоставят на мястото на употреба или които се продават като единичен продукт или като партида на крайния потребител“ се заменят с думите: „, които са посочени в част Б от приложението към Директива (ЕС) 2019/904“;</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2) В член D. 543-295 думите: „с изключение на“ се заменят с думата „включително“;</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3) Член D. 543-296 се допълва с текста „При все това, освобождаването, посочено в същата алинея, не е приложимо за кухненските чинии за храна за еднократна употреба, сламките, приборите за хранене и бъркалките“.</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center"/>
        <w:rPr>
          <w:rFonts w:ascii="Liberration sans" w:hAnsi="Liberration sans" w:hint="eastAsia"/>
          <w:b/>
          <w:sz w:val="24"/>
          <w:szCs w:val="24"/>
        </w:rPr>
      </w:pPr>
      <w:r w:rsidRPr="004E783F">
        <w:rPr>
          <w:rFonts w:ascii="Liberration sans" w:hAnsi="Liberration sans"/>
          <w:b/>
          <w:sz w:val="24"/>
          <w:szCs w:val="24"/>
        </w:rPr>
        <w:t>Член 4</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rPr>
          <w:rFonts w:ascii="Liberration sans" w:hAnsi="Liberration sans" w:hint="eastAsia"/>
          <w:sz w:val="24"/>
          <w:szCs w:val="24"/>
        </w:rPr>
      </w:pPr>
      <w:r w:rsidRPr="004E783F">
        <w:rPr>
          <w:rFonts w:ascii="Liberration sans" w:hAnsi="Liberration sans"/>
          <w:sz w:val="24"/>
          <w:szCs w:val="24"/>
        </w:rPr>
        <w:t>Разпоредбите на настоящия указ влизат в сила на 1 януари 2020 г., с изключение на тези на член 3, които влизат в сила на 3 юли 2021 г.</w:t>
      </w:r>
    </w:p>
    <w:p w:rsidR="00937C42" w:rsidRPr="004E783F" w:rsidRDefault="00937C42" w:rsidP="00937C42">
      <w:pPr>
        <w:spacing w:after="0" w:line="240" w:lineRule="auto"/>
        <w:jc w:val="both"/>
        <w:rPr>
          <w:rFonts w:ascii="Liberration sans" w:hAnsi="Liberration sans" w:hint="eastAsia"/>
          <w:sz w:val="24"/>
          <w:szCs w:val="24"/>
        </w:rPr>
      </w:pPr>
    </w:p>
    <w:p w:rsidR="00937C42" w:rsidRPr="004E783F" w:rsidRDefault="00937C42" w:rsidP="00327313">
      <w:pPr>
        <w:keepNext/>
        <w:spacing w:after="0" w:line="240" w:lineRule="auto"/>
        <w:jc w:val="center"/>
      </w:pPr>
      <w:r w:rsidRPr="004E783F">
        <w:rPr>
          <w:rFonts w:ascii="Liberration sans" w:hAnsi="Liberration sans"/>
          <w:b/>
          <w:sz w:val="24"/>
          <w:szCs w:val="24"/>
        </w:rPr>
        <w:t>Член 5</w:t>
      </w:r>
    </w:p>
    <w:p w:rsidR="00937C42" w:rsidRPr="004E783F" w:rsidRDefault="00937C42" w:rsidP="00327313">
      <w:pPr>
        <w:keepNext/>
        <w:spacing w:after="0" w:line="240" w:lineRule="auto"/>
        <w:jc w:val="both"/>
        <w:rPr>
          <w:rFonts w:ascii="Liberration sans" w:hAnsi="Liberration sans" w:hint="eastAsia"/>
          <w:sz w:val="24"/>
          <w:szCs w:val="24"/>
        </w:rPr>
      </w:pPr>
    </w:p>
    <w:p w:rsidR="00937C42" w:rsidRPr="004E783F" w:rsidRDefault="00937C42" w:rsidP="00937C42">
      <w:pPr>
        <w:spacing w:after="0" w:line="240" w:lineRule="auto"/>
        <w:jc w:val="both"/>
      </w:pPr>
      <w:r w:rsidRPr="004E783F">
        <w:rPr>
          <w:rFonts w:ascii="Liberration sans" w:hAnsi="Liberration sans"/>
          <w:sz w:val="24"/>
          <w:szCs w:val="24"/>
        </w:rPr>
        <w:t>Министърът на екологичния и солидарен преход и министърът на икономиката и финансите се задължават, всеки в съответната област, с изпълнението на настоящия указ, който ще бъде публикуван в Официален вестник на Френската република.</w:t>
      </w:r>
    </w:p>
    <w:sectPr w:rsidR="00937C42" w:rsidRPr="004E78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D0" w:rsidRDefault="008503D0" w:rsidP="00355C58">
      <w:pPr>
        <w:spacing w:after="0" w:line="240" w:lineRule="auto"/>
      </w:pPr>
      <w:r>
        <w:separator/>
      </w:r>
    </w:p>
  </w:endnote>
  <w:endnote w:type="continuationSeparator" w:id="0">
    <w:p w:rsidR="008503D0" w:rsidRDefault="008503D0"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DengXia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D0" w:rsidRDefault="008503D0" w:rsidP="00355C58">
      <w:pPr>
        <w:spacing w:after="0" w:line="240" w:lineRule="auto"/>
      </w:pPr>
      <w:r>
        <w:separator/>
      </w:r>
    </w:p>
  </w:footnote>
  <w:footnote w:type="continuationSeparator" w:id="0">
    <w:p w:rsidR="008503D0" w:rsidRDefault="008503D0"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宋体"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宋体"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8665F"/>
    <w:rsid w:val="00294E66"/>
    <w:rsid w:val="002A04FA"/>
    <w:rsid w:val="002E14B9"/>
    <w:rsid w:val="002F4D67"/>
    <w:rsid w:val="003079E2"/>
    <w:rsid w:val="003110E1"/>
    <w:rsid w:val="00327313"/>
    <w:rsid w:val="00340062"/>
    <w:rsid w:val="003530E0"/>
    <w:rsid w:val="00355C58"/>
    <w:rsid w:val="003A648D"/>
    <w:rsid w:val="003B1EE4"/>
    <w:rsid w:val="003D24A8"/>
    <w:rsid w:val="003D3901"/>
    <w:rsid w:val="00402905"/>
    <w:rsid w:val="00412915"/>
    <w:rsid w:val="00476578"/>
    <w:rsid w:val="004B0DD8"/>
    <w:rsid w:val="004D3369"/>
    <w:rsid w:val="004D7B39"/>
    <w:rsid w:val="004E2DE5"/>
    <w:rsid w:val="004E783F"/>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03D0"/>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977D2"/>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83ADD-1DD1-46BA-91EC-080C023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1E0B-03EA-4590-A3CB-82F11770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1485</Words>
  <Characters>8467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Liu, Lei</cp:lastModifiedBy>
  <cp:revision>8</cp:revision>
  <cp:lastPrinted>2019-07-18T11:34:00Z</cp:lastPrinted>
  <dcterms:created xsi:type="dcterms:W3CDTF">2019-07-18T13:11:00Z</dcterms:created>
  <dcterms:modified xsi:type="dcterms:W3CDTF">2019-07-24T03:17:00Z</dcterms:modified>
</cp:coreProperties>
</file>