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14" w:rsidRPr="00E12914" w:rsidRDefault="00E12914" w:rsidP="00E12914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------IND- 2017 0353 DK- ES</w:t>
      </w:r>
      <w:r w:rsidR="00100A11">
        <w:rPr>
          <w:rFonts w:ascii="Courier New" w:hAnsi="Courier New"/>
          <w:sz w:val="20"/>
        </w:rPr>
        <w:t>- ------ 20190725 --- --- PROJE</w:t>
      </w:r>
      <w:r>
        <w:rPr>
          <w:rFonts w:ascii="Courier New" w:hAnsi="Courier New"/>
          <w:sz w:val="20"/>
        </w:rPr>
        <w:t>T</w:t>
      </w:r>
      <w:bookmarkStart w:id="0" w:name="_GoBack"/>
      <w:bookmarkEnd w:id="0"/>
    </w:p>
    <w:p w:rsidR="001F1CEA" w:rsidRDefault="001F1CEA" w:rsidP="00E12914">
      <w:pPr>
        <w:pStyle w:val="Heading1"/>
        <w:keepNext w:val="0"/>
      </w:pPr>
      <w:r>
        <w:t>Proyecto de Orden relativa a la prohibición de los microplásticos en los productos cosméticos de enjuague</w:t>
      </w:r>
      <w:r>
        <w:rPr>
          <w:rStyle w:val="FootnoteReference"/>
        </w:rPr>
        <w:footnoteReference w:id="1"/>
      </w:r>
    </w:p>
    <w:p w:rsidR="001F1CEA" w:rsidRDefault="001F1CEA" w:rsidP="00E12914"/>
    <w:p w:rsidR="001F1CEA" w:rsidRDefault="001F1CEA" w:rsidP="00E12914">
      <w:r>
        <w:t>En virtud del artículo 8, apartado 1, el artículo 30, apartado 1, el artículo 31, apartado 1, el artículo 45, apartado 1, y el artículo 59, apartado 4, de la Ley sobre productos químicos (véase el Decreto n.º 115, de 26 de enero de 2017), se establece lo siguiente:</w:t>
      </w:r>
    </w:p>
    <w:p w:rsidR="001F1CEA" w:rsidRP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Aplicación de la Orden</w:t>
      </w:r>
    </w:p>
    <w:p w:rsidR="001F1CEA" w:rsidRDefault="001F1CEA" w:rsidP="00E12914">
      <w:r>
        <w:t>Artículo 1. La presente Orden se aplicará a los productos cosméticos de enjuague (véase, no obstante, el apartado 2).</w:t>
      </w:r>
    </w:p>
    <w:p w:rsidR="001F1CEA" w:rsidRDefault="001F1CEA" w:rsidP="00E12914">
      <w:r>
        <w:t>Apartado 2. La presente Orden no incluye los productos cosméticos de enjuague que contienen microplásticos cubiertos por el Reglamento n.º 1907/2006/CE del Parlamento Europeo y del Consejo, de 18 de diciembre de 2006.</w:t>
      </w:r>
    </w:p>
    <w:p w:rsidR="001F1CEA" w:rsidRDefault="001F1CEA" w:rsidP="00E12914">
      <w:pPr>
        <w:keepNext/>
        <w:keepLines/>
      </w:pPr>
      <w:r>
        <w:t>Artículo 2. A efectos de la presente Orden, se aplicarán las siguientes definiciones:</w:t>
      </w:r>
    </w:p>
    <w:p w:rsidR="001F1CEA" w:rsidRDefault="001F1CEA" w:rsidP="00E12914">
      <w:r>
        <w:t>1) «productos cosméticos»: toda sustancia o mezcla destinada a entrar en contacto con partes del cuerpo humano (piel, cabello y vellos, uñas, labios y órganos genitales externos) o con los dientes y las membranas mucosas orales, única o principalmente con la intención de limpiarlos o perfumarlos, para cambiar su apariencia, protegerlos, mantenerlos en buen estado o mejorar el olor corporal;</w:t>
      </w:r>
    </w:p>
    <w:p w:rsidR="001F1CEA" w:rsidRDefault="001F1CEA" w:rsidP="00E12914">
      <w:r>
        <w:t>2) «producto cosmético de enjuague»: un producto cosmético diseñado para retirarse después de su uso en la piel, el pelo o las membranas mucosas;</w:t>
      </w:r>
    </w:p>
    <w:p w:rsidR="001F1CEA" w:rsidRDefault="001F1CEA" w:rsidP="00E12914">
      <w:r>
        <w:t>3) «plástico»: una sustancia polimérica sintética que puede fundirse, someterse a extrusión o manipularse en diversas formas fijas, y que conserva su forma final durante su uso en las aplicaciones previstas;</w:t>
      </w:r>
    </w:p>
    <w:p w:rsidR="001F1CEA" w:rsidRDefault="001F1CEA" w:rsidP="00E12914">
      <w:r>
        <w:t>4) «microplástico»: plástico en estado sólido cuyas dimensiones no superan los 5 mm, es insoluble en agua y no cumple las condiciones de ser fácilmente biodegradable de conformidad con la directriz de ensayo 301 de la OCDE.</w:t>
      </w:r>
      <w:r>
        <w:rPr>
          <w:rStyle w:val="FootnoteReference"/>
        </w:rPr>
        <w:footnoteReference w:id="2"/>
      </w:r>
    </w:p>
    <w:p w:rsidR="001F1CEA" w:rsidRDefault="001F1CEA" w:rsidP="00E12914">
      <w:pPr>
        <w:rPr>
          <w:i/>
        </w:rPr>
      </w:pPr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lastRenderedPageBreak/>
        <w:t>Prohibición de la importación, exportación y comercialización</w:t>
      </w:r>
    </w:p>
    <w:p w:rsidR="001F1CEA" w:rsidRDefault="001F1CEA" w:rsidP="00E12914">
      <w:r>
        <w:t>Artículo 3. Están prohibidas la importación y la venta de productos cosméticos de enjuague que contienen microplásticos (véanse, no obstante, los apartados 3 y 4).</w:t>
      </w:r>
    </w:p>
    <w:p w:rsidR="001F1CEA" w:rsidRDefault="001F1CEA" w:rsidP="00E12914">
      <w:r>
        <w:t>Apartado 2. La exportación de productos cosméticos de enjuague que contienen microplásticos está prohibida.</w:t>
      </w:r>
    </w:p>
    <w:p w:rsidR="001F1CEA" w:rsidRDefault="001F1CEA" w:rsidP="00E12914">
      <w:r>
        <w:t>Apartado 3. La prohibición mencionada en los apartados 1 y 2 no se aplica las mercancías en tránsito.</w:t>
      </w:r>
    </w:p>
    <w:p w:rsidR="001F1CEA" w:rsidRPr="00D634A2" w:rsidRDefault="001F1CEA" w:rsidP="00E12914">
      <w:r>
        <w:t>Apartado 4. La prohibición mencionada en los apartados 1 y 2 no se aplica a los productos cosméticos de enjuague importados o exportados por particulares para uso propio no comercial.</w:t>
      </w:r>
    </w:p>
    <w:p w:rsid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Control, dispensación y acceso a los recursos</w:t>
      </w:r>
    </w:p>
    <w:p w:rsidR="001F1CEA" w:rsidRDefault="001F1CEA" w:rsidP="00E12914">
      <w:r>
        <w:t>Artículo 4. La Agencia danesa de protección del medioambiente supervisa y controla el cumplimiento de las reglamentaciones de la presente Orden (véanse las disposiciones de la legislación pertinente).</w:t>
      </w:r>
    </w:p>
    <w:p w:rsidR="001F1CEA" w:rsidRDefault="001F1CEA" w:rsidP="00E12914">
      <w:r>
        <w:t>Apartado 2. En circunstancias especiales, la Agencia de protección del medioambiente podrá permitir exenciones al artículo 3, apartados 1 y 2. La Agencia de protección medioambiental puede establecer condiciones para dichas exenciones.</w:t>
      </w:r>
    </w:p>
    <w:p w:rsidR="001F1CEA" w:rsidRDefault="001F1CEA" w:rsidP="00E12914">
      <w:r>
        <w:t>Apartado 3. En virtud del apartado 2, las decisiones de la Agencia de protección del medioambiente no podrán ser apeladas ante ninguna otra autoridad administrativa.</w:t>
      </w:r>
    </w:p>
    <w:p w:rsid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Sanciones y entrada en vigor</w:t>
      </w:r>
    </w:p>
    <w:p w:rsidR="001F1CEA" w:rsidRDefault="001F1CEA" w:rsidP="00E12914">
      <w:pPr>
        <w:keepNext/>
        <w:keepLines/>
      </w:pPr>
      <w:r>
        <w:t>Artículo 5. A menos que se imponga una sanción mayor de conformidad con otra legislación, se impondrá una multa a cualquier persona que:</w:t>
      </w:r>
    </w:p>
    <w:p w:rsidR="001F1CEA" w:rsidRDefault="001F1CEA" w:rsidP="00E12914">
      <w:r>
        <w:t>1) viole la prohibición de importación y venta establecida en el artículo 3, apartado 1;</w:t>
      </w:r>
    </w:p>
    <w:p w:rsidR="001F1CEA" w:rsidRDefault="001F1CEA" w:rsidP="00E12914">
      <w:r>
        <w:t>2) viole la prohibición de exportación establecida en el artículo 3, apartado 2; o</w:t>
      </w:r>
    </w:p>
    <w:p w:rsidR="001F1CEA" w:rsidRDefault="001F1CEA" w:rsidP="00E12914">
      <w:r>
        <w:t>3) no cumpla las condiciones asociadas con las dispensaciones en virtud del artículo 4, apartado 2.</w:t>
      </w:r>
    </w:p>
    <w:p w:rsidR="001F1CEA" w:rsidRDefault="001F1CEA" w:rsidP="00E12914">
      <w:pPr>
        <w:keepNext/>
        <w:keepLines/>
      </w:pPr>
      <w:r>
        <w:t>Apartado 2. Esta sanción puede aumentar a prisión de hasta dos años si la infracción se ha cometido deliberadamente o por negligencia grave, y si la infracción:</w:t>
      </w:r>
    </w:p>
    <w:p w:rsidR="001F1CEA" w:rsidRDefault="001F1CEA" w:rsidP="00E12914">
      <w:r>
        <w:t>1) ha causado daños a la vida o la salud humana, o ha creado el riesgo de que se pudiesen producir;</w:t>
      </w:r>
    </w:p>
    <w:p w:rsidR="001F1CEA" w:rsidRDefault="001F1CEA" w:rsidP="00E12914">
      <w:r>
        <w:lastRenderedPageBreak/>
        <w:t>2) ha provocado daños al medioambiente, o ha creado el riesgo de que se pudiesen producir; o</w:t>
      </w:r>
    </w:p>
    <w:p w:rsidR="001F1CEA" w:rsidRDefault="001F1CEA" w:rsidP="00E12914">
      <w:r>
        <w:t>3) ha implicado o estaba destinada a obtener un beneficio económico, incluidos ahorros, para el responsable u otros.</w:t>
      </w:r>
    </w:p>
    <w:p w:rsidR="001F1CEA" w:rsidRDefault="001F1CEA" w:rsidP="00E12914">
      <w:r>
        <w:t>Apartado 3. Las empresas, etc. (personas jurídicas) podrán estar sujetas a responsabilidad penal de conformidad con la disposición del capítulo 5 del Código Penal danés.</w:t>
      </w:r>
    </w:p>
    <w:p w:rsidR="001F1CEA" w:rsidRDefault="001F1CEA" w:rsidP="00E12914">
      <w:r>
        <w:t>Artículo 6. La presente Orden entrará en vigor el 1 de enero de 2020.</w:t>
      </w:r>
    </w:p>
    <w:sectPr w:rsidR="001F1CEA" w:rsidSect="00E1291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418" w:bottom="1701" w:left="1418" w:header="459" w:footer="9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17" w:rsidRDefault="00EC7B17">
      <w:r>
        <w:separator/>
      </w:r>
    </w:p>
  </w:endnote>
  <w:endnote w:type="continuationSeparator" w:id="0">
    <w:p w:rsidR="00EC7B17" w:rsidRDefault="00EC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79" w:rsidRDefault="00467E79" w:rsidP="004959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CEA">
      <w:rPr>
        <w:rStyle w:val="PageNumber"/>
      </w:rPr>
      <w:t>1</w:t>
    </w:r>
    <w:r>
      <w:rPr>
        <w:rStyle w:val="PageNumber"/>
      </w:rPr>
      <w:fldChar w:fldCharType="end"/>
    </w:r>
  </w:p>
  <w:p w:rsidR="00467E79" w:rsidRDefault="00467E79" w:rsidP="00E948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FE" w:rsidRDefault="007A04FE" w:rsidP="00BC1C77">
    <w:pPr>
      <w:pStyle w:val="Footer"/>
      <w:ind w:right="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0A1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EA" w:rsidRPr="00DF280C" w:rsidRDefault="001F1CEA" w:rsidP="001F1CEA">
    <w:pPr>
      <w:pStyle w:val="Template-Address"/>
    </w:pPr>
    <w:r>
      <w:t xml:space="preserve">Miljø- og Fødevareministeriet • Slotsholmsgade 12 • DK-1216 Copenhague K </w:t>
    </w:r>
  </w:p>
  <w:p w:rsidR="0048667B" w:rsidRPr="00E12914" w:rsidRDefault="001F1CEA" w:rsidP="00E12914">
    <w:pPr>
      <w:pStyle w:val="Template-Address"/>
    </w:pPr>
    <w:r>
      <w:t xml:space="preserve">Tel. +45 38 14 21 42 • Fax +45 33 14 50 42 • n.º registro legal 12854358 • EAN 5798000862005 • mfvm@mfvm.dk • www.mfvm.dk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17" w:rsidRDefault="00EC7B17">
      <w:r>
        <w:separator/>
      </w:r>
    </w:p>
  </w:footnote>
  <w:footnote w:type="continuationSeparator" w:id="0">
    <w:p w:rsidR="00EC7B17" w:rsidRDefault="00EC7B17">
      <w:r>
        <w:continuationSeparator/>
      </w:r>
    </w:p>
  </w:footnote>
  <w:footnote w:id="1">
    <w:p w:rsidR="001F1CEA" w:rsidRDefault="001F1CEA" w:rsidP="001F1CEA">
      <w:pPr>
        <w:pStyle w:val="FootnoteText"/>
      </w:pPr>
      <w:r>
        <w:rPr>
          <w:rStyle w:val="FootnoteReference"/>
        </w:rPr>
        <w:footnoteRef/>
      </w:r>
      <w:r>
        <w:t xml:space="preserve"> Insertar aquí una nota que indique que se ha notificado la Orden cuando se haya efectuado dicha notificación.</w:t>
      </w:r>
    </w:p>
  </w:footnote>
  <w:footnote w:id="2">
    <w:p w:rsidR="001F1CEA" w:rsidRPr="001F1CEA" w:rsidRDefault="001F1CEA" w:rsidP="001F1CEA">
      <w:pPr>
        <w:pStyle w:val="FootnoteText"/>
        <w:rPr>
          <w:rFonts w:asciiTheme="minorHAnsi" w:hAnsiTheme="minorHAnsi"/>
          <w:szCs w:val="18"/>
        </w:rPr>
      </w:pPr>
      <w:r>
        <w:rPr>
          <w:rStyle w:val="FootnoteReference"/>
          <w:rFonts w:asciiTheme="minorHAnsi" w:hAnsiTheme="minorHAnsi"/>
          <w:sz w:val="18"/>
        </w:rPr>
        <w:footnoteRef/>
      </w:r>
      <w:r>
        <w:rPr>
          <w:rFonts w:asciiTheme="minorHAnsi" w:hAnsiTheme="minorHAnsi"/>
        </w:rPr>
        <w:t xml:space="preserve"> OCDE (1992), </w:t>
      </w:r>
      <w:r>
        <w:rPr>
          <w:rFonts w:asciiTheme="minorHAnsi" w:hAnsiTheme="minorHAnsi"/>
          <w:i/>
        </w:rPr>
        <w:t>Test No. 301. Ready Biodegradability</w:t>
      </w:r>
      <w:r>
        <w:rPr>
          <w:rFonts w:asciiTheme="minorHAnsi" w:hAnsiTheme="minorHAnsi"/>
        </w:rPr>
        <w:t xml:space="preserve"> [Ensayo n.º 301. Biodegradabilidad fácil], Directrices de la OCDE para el ensayo de productos químicos, apartado 3, OECD Publishing, París.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7B" w:rsidRDefault="000E717B">
    <w:pPr>
      <w:pStyle w:val="Header"/>
    </w:pPr>
  </w:p>
  <w:p w:rsidR="005A0290" w:rsidRDefault="005A0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DBA" w:rsidRDefault="001F1CEA" w:rsidP="00E12914">
    <w:r>
      <w:rPr>
        <w:noProof/>
        <w:lang w:val="en-US" w:eastAsia="en-US" w:bidi="ar-SA"/>
      </w:rPr>
      <w:drawing>
        <wp:anchor distT="0" distB="0" distL="114300" distR="114300" simplePos="0" relativeHeight="251658752" behindDoc="0" locked="1" layoutInCell="1" allowOverlap="1" wp14:anchorId="135A6758" wp14:editId="0E3B5E68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8896" cy="792480"/>
          <wp:effectExtent l="0" t="0" r="0" b="0"/>
          <wp:wrapNone/>
          <wp:docPr id="4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8896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F7C2763" wp14:editId="28FFBC3C">
              <wp:simplePos x="0" y="0"/>
              <wp:positionH relativeFrom="rightMargin">
                <wp:posOffset>-1106805</wp:posOffset>
              </wp:positionH>
              <wp:positionV relativeFrom="page">
                <wp:posOffset>485775</wp:posOffset>
              </wp:positionV>
              <wp:extent cx="1762125" cy="704850"/>
              <wp:effectExtent l="0" t="0" r="9525" b="0"/>
              <wp:wrapNone/>
              <wp:docPr id="3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04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914" w:rsidRPr="00CD41D2" w:rsidRDefault="00E12914" w:rsidP="00E12914">
                          <w:pPr>
                            <w:rPr>
                              <w:rFonts w:ascii="Arial" w:hAnsi="Arial" w:cs="Arial"/>
                              <w:color w:val="003127" w:themeColor="accent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127" w:themeColor="accent1"/>
                              <w:sz w:val="21"/>
                            </w:rPr>
                            <w:t>Ministerio de Medioambiente y Alimentación</w:t>
                          </w:r>
                          <w:r>
                            <w:rPr>
                              <w:rFonts w:ascii="Arial" w:hAnsi="Arial"/>
                              <w:color w:val="003127" w:themeColor="accent1"/>
                              <w:sz w:val="21"/>
                              <w:szCs w:val="21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003127" w:themeColor="accent1"/>
                              <w:sz w:val="21"/>
                            </w:rPr>
                            <w:t>de Dinamarca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C2763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-87.15pt;margin-top:38.25pt;width:138.7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" fillcolor="white [3212]" stroked="f" strokeweight=".5pt">
              <v:textbox inset="0,0,0,0">
                <w:txbxContent>
                  <w:p w:rsidR="00E12914" w:rsidRPr="00CD41D2" w:rsidRDefault="00E12914" w:rsidP="00E12914">
                    <w:pPr>
                      <w:rPr>
                        <w:rFonts w:ascii="Arial" w:hAnsi="Arial" w:cs="Arial"/>
                        <w:color w:val="003127" w:themeColor="accent1"/>
                        <w:sz w:val="21"/>
                        <w:szCs w:val="21"/>
                      </w:rPr>
                    </w:pPr>
                    <w:r>
                      <w:rPr>
                        <w:rFonts w:ascii="Arial" w:hAnsi="Arial"/>
                        <w:b/>
                        <w:color w:val="003127" w:themeColor="accent1"/>
                        <w:sz w:val="21"/>
                      </w:rPr>
                      <w:t>Ministerio de Medioambiente y Alimentación</w:t>
                    </w:r>
                    <w:r>
                      <w:rPr>
                        <w:rFonts w:ascii="Arial" w:hAnsi="Arial"/>
                        <w:color w:val="003127" w:themeColor="accent1"/>
                        <w:sz w:val="21"/>
                        <w:szCs w:val="21"/>
                      </w:rPr>
                      <w:br/>
                    </w:r>
                    <w:r>
                      <w:rPr>
                        <w:rFonts w:ascii="Arial" w:hAnsi="Arial"/>
                        <w:color w:val="003127" w:themeColor="accent1"/>
                        <w:sz w:val="21"/>
                      </w:rPr>
                      <w:t>de Dinamarca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oNotHyphenateCap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EA"/>
    <w:rsid w:val="00002EA0"/>
    <w:rsid w:val="00003636"/>
    <w:rsid w:val="00005FAA"/>
    <w:rsid w:val="00010163"/>
    <w:rsid w:val="0001457C"/>
    <w:rsid w:val="0001528D"/>
    <w:rsid w:val="000166A0"/>
    <w:rsid w:val="00030051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717B"/>
    <w:rsid w:val="000F0B81"/>
    <w:rsid w:val="00100A11"/>
    <w:rsid w:val="001062D0"/>
    <w:rsid w:val="00114DE6"/>
    <w:rsid w:val="001210A9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A0525"/>
    <w:rsid w:val="001A4CEE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7F16"/>
    <w:rsid w:val="001F1CEA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265A"/>
    <w:rsid w:val="002C4595"/>
    <w:rsid w:val="002C4D00"/>
    <w:rsid w:val="002D00C9"/>
    <w:rsid w:val="002D268E"/>
    <w:rsid w:val="002D7F0F"/>
    <w:rsid w:val="003001A2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465B4"/>
    <w:rsid w:val="003470FB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3350"/>
    <w:rsid w:val="003A3369"/>
    <w:rsid w:val="003A44A9"/>
    <w:rsid w:val="003B19B2"/>
    <w:rsid w:val="003B6C74"/>
    <w:rsid w:val="003C67E6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21D7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67B"/>
    <w:rsid w:val="00495993"/>
    <w:rsid w:val="004A3AAA"/>
    <w:rsid w:val="004A4315"/>
    <w:rsid w:val="004B5995"/>
    <w:rsid w:val="004B5AC3"/>
    <w:rsid w:val="004B6A8B"/>
    <w:rsid w:val="004C0742"/>
    <w:rsid w:val="004C237E"/>
    <w:rsid w:val="004C491E"/>
    <w:rsid w:val="004C63FE"/>
    <w:rsid w:val="004D1810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5B7D"/>
    <w:rsid w:val="00541D1B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D39E0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3673"/>
    <w:rsid w:val="007540BD"/>
    <w:rsid w:val="00762205"/>
    <w:rsid w:val="0076323D"/>
    <w:rsid w:val="00764201"/>
    <w:rsid w:val="007830BE"/>
    <w:rsid w:val="007940C9"/>
    <w:rsid w:val="00796312"/>
    <w:rsid w:val="007A04FE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3B3"/>
    <w:rsid w:val="007F770C"/>
    <w:rsid w:val="00802CB9"/>
    <w:rsid w:val="00807BA4"/>
    <w:rsid w:val="0081105F"/>
    <w:rsid w:val="00821133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84200"/>
    <w:rsid w:val="00892B13"/>
    <w:rsid w:val="008A1C6B"/>
    <w:rsid w:val="008A4864"/>
    <w:rsid w:val="008A6D27"/>
    <w:rsid w:val="008B1B83"/>
    <w:rsid w:val="008B3ADA"/>
    <w:rsid w:val="008C5F4A"/>
    <w:rsid w:val="008E3990"/>
    <w:rsid w:val="008F272E"/>
    <w:rsid w:val="008F6B2B"/>
    <w:rsid w:val="00905C37"/>
    <w:rsid w:val="00906916"/>
    <w:rsid w:val="0092514B"/>
    <w:rsid w:val="009264AA"/>
    <w:rsid w:val="009354A9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58B3"/>
    <w:rsid w:val="00B441D7"/>
    <w:rsid w:val="00B5420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40C8"/>
    <w:rsid w:val="00BB6985"/>
    <w:rsid w:val="00BC1C77"/>
    <w:rsid w:val="00BC6602"/>
    <w:rsid w:val="00BD3A3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6892"/>
    <w:rsid w:val="00CC77A5"/>
    <w:rsid w:val="00CD31FE"/>
    <w:rsid w:val="00CD4F1D"/>
    <w:rsid w:val="00CE1EC6"/>
    <w:rsid w:val="00CE5201"/>
    <w:rsid w:val="00CF1627"/>
    <w:rsid w:val="00CF2263"/>
    <w:rsid w:val="00CF760D"/>
    <w:rsid w:val="00D008ED"/>
    <w:rsid w:val="00D01984"/>
    <w:rsid w:val="00D01EDA"/>
    <w:rsid w:val="00D16472"/>
    <w:rsid w:val="00D321C9"/>
    <w:rsid w:val="00D37FC2"/>
    <w:rsid w:val="00D43DB0"/>
    <w:rsid w:val="00D570C5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80C"/>
    <w:rsid w:val="00DF2F94"/>
    <w:rsid w:val="00E11688"/>
    <w:rsid w:val="00E12914"/>
    <w:rsid w:val="00E26EAA"/>
    <w:rsid w:val="00E27CC3"/>
    <w:rsid w:val="00E30FCA"/>
    <w:rsid w:val="00E36F97"/>
    <w:rsid w:val="00E42057"/>
    <w:rsid w:val="00E44C4F"/>
    <w:rsid w:val="00E46DA0"/>
    <w:rsid w:val="00E62BEE"/>
    <w:rsid w:val="00E63075"/>
    <w:rsid w:val="00E644BF"/>
    <w:rsid w:val="00E73A40"/>
    <w:rsid w:val="00E806E3"/>
    <w:rsid w:val="00E81697"/>
    <w:rsid w:val="00E83744"/>
    <w:rsid w:val="00E928D4"/>
    <w:rsid w:val="00E94852"/>
    <w:rsid w:val="00EA4D25"/>
    <w:rsid w:val="00EA576F"/>
    <w:rsid w:val="00EB0255"/>
    <w:rsid w:val="00EB3838"/>
    <w:rsid w:val="00EB4C77"/>
    <w:rsid w:val="00EB68CC"/>
    <w:rsid w:val="00EC2095"/>
    <w:rsid w:val="00EC5E51"/>
    <w:rsid w:val="00EC76B0"/>
    <w:rsid w:val="00EC7B17"/>
    <w:rsid w:val="00ED48AE"/>
    <w:rsid w:val="00EE65A7"/>
    <w:rsid w:val="00EF48EC"/>
    <w:rsid w:val="00EF6016"/>
    <w:rsid w:val="00F05E03"/>
    <w:rsid w:val="00F2061A"/>
    <w:rsid w:val="00F30057"/>
    <w:rsid w:val="00F30DC3"/>
    <w:rsid w:val="00F31EFD"/>
    <w:rsid w:val="00F34750"/>
    <w:rsid w:val="00F44CF6"/>
    <w:rsid w:val="00F46114"/>
    <w:rsid w:val="00F47B3A"/>
    <w:rsid w:val="00F602C8"/>
    <w:rsid w:val="00F62595"/>
    <w:rsid w:val="00F7168A"/>
    <w:rsid w:val="00F71C13"/>
    <w:rsid w:val="00F77228"/>
    <w:rsid w:val="00F90567"/>
    <w:rsid w:val="00F908EE"/>
    <w:rsid w:val="00F91352"/>
    <w:rsid w:val="00F922ED"/>
    <w:rsid w:val="00FB7ADE"/>
    <w:rsid w:val="00FC164F"/>
    <w:rsid w:val="00FD2036"/>
    <w:rsid w:val="00FE45B3"/>
    <w:rsid w:val="00FE7E7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2D8327-29D1-4392-B98B-3E4853A3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Times New Roman" w:hAnsi="Georgia" w:cs="Times New Roman"/>
        <w:lang w:val="es-ES" w:eastAsia="es-ES" w:bidi="es-ES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3A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780"/>
    <w:pPr>
      <w:keepNext/>
      <w:keepLines/>
      <w:spacing w:before="260" w:after="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780"/>
    <w:pPr>
      <w:keepNext/>
      <w:keepLines/>
      <w:spacing w:before="260" w:after="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1"/>
    <w:semiHidden/>
    <w:rsid w:val="00AB363A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rsid w:val="00AB363A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rsid w:val="00AB363A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rsid w:val="00AB363A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rsid w:val="00AB363A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rsid w:val="00AB3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62EAC"/>
    <w:pPr>
      <w:tabs>
        <w:tab w:val="center" w:pos="4819"/>
        <w:tab w:val="right" w:pos="9638"/>
      </w:tabs>
      <w:spacing w:after="0" w:line="168" w:lineRule="atLeast"/>
      <w:ind w:right="567"/>
    </w:pPr>
    <w:rPr>
      <w:rFonts w:ascii="Georgia" w:eastAsia="Times New Roman" w:hAnsi="Georgia" w:cs="Times New Roman"/>
      <w:sz w:val="14"/>
      <w:szCs w:val="20"/>
    </w:rPr>
  </w:style>
  <w:style w:type="character" w:styleId="PageNumber">
    <w:name w:val="page number"/>
    <w:basedOn w:val="DefaultParagraphFont"/>
    <w:uiPriority w:val="99"/>
    <w:semiHidden/>
    <w:rsid w:val="009C37F8"/>
    <w:rPr>
      <w:rFonts w:ascii="Georgia" w:hAnsi="Georgia"/>
      <w:sz w:val="20"/>
    </w:rPr>
  </w:style>
  <w:style w:type="table" w:styleId="TableGrid">
    <w:name w:val="Table Grid"/>
    <w:basedOn w:val="Table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0A7219"/>
    <w:rPr>
      <w:rFonts w:ascii="Arial" w:hAnsi="Arial"/>
      <w:sz w:val="22"/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rsid w:val="000A7219"/>
    <w:pPr>
      <w:spacing w:after="0" w:line="260" w:lineRule="atLeast"/>
    </w:pPr>
    <w:rPr>
      <w:rFonts w:ascii="Georgia" w:eastAsia="Times New Roman" w:hAnsi="Georgia" w:cs="Times New Roman"/>
      <w:sz w:val="18"/>
      <w:szCs w:val="20"/>
    </w:rPr>
  </w:style>
  <w:style w:type="character" w:customStyle="1" w:styleId="ForklarendeTekst">
    <w:name w:val="ForklarendeTekst"/>
    <w:basedOn w:val="DefaultParagraphFon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Footer"/>
    <w:uiPriority w:val="9"/>
    <w:semiHidden/>
    <w:rsid w:val="00AB363A"/>
    <w:rPr>
      <w:rFonts w:cs="Arial"/>
      <w:noProof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0A1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 w:line="260" w:lineRule="atLeast"/>
    </w:pPr>
    <w:rPr>
      <w:rFonts w:ascii="Georgia" w:eastAsia="Times New Roman" w:hAnsi="Georgia" w:cs="Times New Roman"/>
      <w:sz w:val="20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ubtleReference">
    <w:name w:val="Subtle Reference"/>
    <w:basedOn w:val="DefaultParagraphFont"/>
    <w:uiPriority w:val="99"/>
    <w:semiHidden/>
    <w:qFormat/>
    <w:rsid w:val="00225534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NoLis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rsid w:val="00225534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numbering" w:styleId="ArticleSection">
    <w:name w:val="Outline List 3"/>
    <w:basedOn w:val="NoList"/>
    <w:uiPriority w:val="99"/>
    <w:semiHidden/>
    <w:rsid w:val="0022553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styleId="BlockText">
    <w:name w:val="Block Text"/>
    <w:basedOn w:val="Normal"/>
    <w:uiPriority w:val="99"/>
    <w:semiHidden/>
    <w:rsid w:val="00225534"/>
    <w:pPr>
      <w:pBdr>
        <w:top w:val="single" w:sz="2" w:space="10" w:color="003127" w:themeColor="accent1" w:shadow="1"/>
        <w:left w:val="single" w:sz="2" w:space="10" w:color="003127" w:themeColor="accent1" w:shadow="1"/>
        <w:bottom w:val="single" w:sz="2" w:space="10" w:color="003127" w:themeColor="accent1" w:shadow="1"/>
        <w:right w:val="single" w:sz="2" w:space="10" w:color="003127" w:themeColor="accent1" w:shadow="1"/>
      </w:pBdr>
      <w:spacing w:after="0" w:line="260" w:lineRule="atLeast"/>
      <w:ind w:left="1152" w:right="1152"/>
    </w:pPr>
    <w:rPr>
      <w:rFonts w:eastAsiaTheme="minorEastAsia"/>
      <w:i/>
      <w:iCs/>
      <w:color w:val="003127" w:themeColor="accent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25534"/>
    <w:rPr>
      <w:rFonts w:ascii="Georgia" w:hAnsi="Georgia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25534"/>
    <w:pPr>
      <w:spacing w:after="120" w:line="48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25534"/>
    <w:rPr>
      <w:rFonts w:ascii="Georgia" w:hAnsi="Georgia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25534"/>
    <w:rPr>
      <w:rFonts w:ascii="Georgia" w:hAnsi="Georg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55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5534"/>
    <w:rPr>
      <w:rFonts w:ascii="Georgia" w:hAnsi="Georgia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5534"/>
    <w:rPr>
      <w:rFonts w:ascii="Georgia" w:hAnsi="Georgia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553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5534"/>
    <w:rPr>
      <w:rFonts w:ascii="Georgia" w:hAnsi="Georgia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25534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5534"/>
    <w:rPr>
      <w:rFonts w:ascii="Georgia" w:hAnsi="Georgia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5534"/>
    <w:rPr>
      <w:rFonts w:ascii="Georgia" w:hAnsi="Georgi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25534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6F4577"/>
    <w:pPr>
      <w:spacing w:line="240" w:lineRule="auto"/>
    </w:pPr>
    <w:rPr>
      <w:rFonts w:ascii="Georgia" w:eastAsia="Times New Roman" w:hAnsi="Georgia" w:cs="Times New Roman"/>
      <w:b/>
      <w:bCs/>
      <w:color w:val="003127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225534"/>
    <w:rPr>
      <w:rFonts w:ascii="Georgia" w:hAnsi="Georgia"/>
      <w:szCs w:val="24"/>
    </w:rPr>
  </w:style>
  <w:style w:type="table" w:styleId="ColorfulGrid">
    <w:name w:val="Colorful Grid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1" w:themeFillTint="33"/>
    </w:tcPr>
    <w:tblStylePr w:type="firstRow">
      <w:rPr>
        <w:b/>
        <w:bCs/>
      </w:rPr>
      <w:tblPr/>
      <w:tcPr>
        <w:shd w:val="clear" w:color="auto" w:fill="46FF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2" w:themeFillTint="33"/>
    </w:tcPr>
    <w:tblStylePr w:type="firstRow">
      <w:rPr>
        <w:b/>
        <w:bCs/>
      </w:rPr>
      <w:tblPr/>
      <w:tcPr>
        <w:shd w:val="clear" w:color="auto" w:fill="69FF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shd w:val="clear" w:color="auto" w:fill="A2FFE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shd w:val="clear" w:color="auto" w:fill="B4FFD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3127" w:themeColor="accent1"/>
        <w:bottom w:val="single" w:sz="4" w:space="0" w:color="003127" w:themeColor="accent1"/>
        <w:right w:val="single" w:sz="4" w:space="0" w:color="0031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1" w:themeShade="99"/>
          <w:insideV w:val="nil"/>
        </w:tcBorders>
        <w:shd w:val="clear" w:color="auto" w:fill="001D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1" w:themeFillShade="99"/>
      </w:tcPr>
    </w:tblStylePr>
    <w:tblStylePr w:type="band1Vert">
      <w:tblPr/>
      <w:tcPr>
        <w:shd w:val="clear" w:color="auto" w:fill="46FFD8" w:themeFill="accent1" w:themeFillTint="66"/>
      </w:tcPr>
    </w:tblStylePr>
    <w:tblStylePr w:type="band1Horz">
      <w:tblPr/>
      <w:tcPr>
        <w:shd w:val="clear" w:color="auto" w:fill="19FF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874B" w:themeColor="accent2"/>
        <w:bottom w:val="single" w:sz="4" w:space="0" w:color="00874B" w:themeColor="accent2"/>
        <w:right w:val="single" w:sz="4" w:space="0" w:color="0087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2" w:themeShade="99"/>
          <w:insideV w:val="nil"/>
        </w:tcBorders>
        <w:shd w:val="clear" w:color="auto" w:fill="0051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2" w:themeFillShade="99"/>
      </w:tcPr>
    </w:tblStylePr>
    <w:tblStylePr w:type="band1Vert">
      <w:tblPr/>
      <w:tcPr>
        <w:shd w:val="clear" w:color="auto" w:fill="69FFBB" w:themeFill="accent2" w:themeFillTint="66"/>
      </w:tcPr>
    </w:tblStylePr>
    <w:tblStylePr w:type="band1Horz">
      <w:tblPr/>
      <w:tcPr>
        <w:shd w:val="clear" w:color="auto" w:fill="44FFA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25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5534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534"/>
    <w:rPr>
      <w:rFonts w:ascii="Georgia" w:hAnsi="Georgia"/>
      <w:b/>
      <w:bCs/>
    </w:rPr>
  </w:style>
  <w:style w:type="table" w:styleId="DarkList">
    <w:name w:val="Dark List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225534"/>
    <w:rPr>
      <w:rFonts w:ascii="Georgia" w:hAnsi="Georgia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2553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2553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25534"/>
    <w:rPr>
      <w:rFonts w:ascii="Georgia" w:hAnsi="Georgia"/>
      <w:szCs w:val="24"/>
    </w:rPr>
  </w:style>
  <w:style w:type="character" w:styleId="Emphasis">
    <w:name w:val="Emphasis"/>
    <w:basedOn w:val="DefaultParagraphFont"/>
    <w:uiPriority w:val="4"/>
    <w:semiHidden/>
    <w:rsid w:val="00225534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25534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350582"/>
    <w:rPr>
      <w:rFonts w:ascii="Georgia" w:hAnsi="Georgia"/>
    </w:rPr>
  </w:style>
  <w:style w:type="paragraph" w:styleId="EnvelopeAddress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Return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25534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25534"/>
  </w:style>
  <w:style w:type="paragraph" w:styleId="HTMLAddress">
    <w:name w:val="HTML Address"/>
    <w:basedOn w:val="Normal"/>
    <w:link w:val="HTMLAddress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225534"/>
    <w:rPr>
      <w:rFonts w:ascii="Georgia" w:hAnsi="Georgia"/>
      <w:i/>
      <w:iCs/>
      <w:szCs w:val="24"/>
    </w:rPr>
  </w:style>
  <w:style w:type="character" w:styleId="HTMLCite">
    <w:name w:val="HTML Cite"/>
    <w:basedOn w:val="DefaultParagraphFont"/>
    <w:uiPriority w:val="99"/>
    <w:semiHidden/>
    <w:rsid w:val="00225534"/>
    <w:rPr>
      <w:i/>
      <w:iCs/>
    </w:rPr>
  </w:style>
  <w:style w:type="character" w:styleId="HTMLCode">
    <w:name w:val="HTML Code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2553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5534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25534"/>
    <w:rPr>
      <w:i/>
      <w:iCs/>
    </w:rPr>
  </w:style>
  <w:style w:type="character" w:styleId="Hyperlink">
    <w:name w:val="Hyperlink"/>
    <w:basedOn w:val="DefaultParagraphFont"/>
    <w:uiPriority w:val="9"/>
    <w:semiHidden/>
    <w:rsid w:val="0022553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  <w:rPr>
      <w:rFonts w:ascii="Georgia" w:eastAsia="Times New Roman" w:hAnsi="Georgia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  <w:rPr>
      <w:rFonts w:ascii="Georgia" w:eastAsia="Times New Roman" w:hAnsi="Georgia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  <w:rPr>
      <w:rFonts w:ascii="Georgia" w:eastAsia="Times New Roman" w:hAnsi="Georgia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  <w:rPr>
      <w:rFonts w:ascii="Georgia" w:eastAsia="Times New Roman" w:hAnsi="Georgia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  <w:rPr>
      <w:rFonts w:ascii="Georgia" w:eastAsia="Times New Roman" w:hAnsi="Georgia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  <w:rPr>
      <w:rFonts w:ascii="Georgia" w:eastAsia="Times New Roman" w:hAnsi="Georgia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  <w:rPr>
      <w:rFonts w:ascii="Georgia" w:eastAsia="Times New Roman" w:hAnsi="Georgia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  <w:rPr>
      <w:rFonts w:ascii="Georgia" w:eastAsia="Times New Roman" w:hAnsi="Georgia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  <w:rPr>
      <w:rFonts w:ascii="Georgia" w:eastAsia="Times New Roman" w:hAnsi="Georgia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225534"/>
    <w:pPr>
      <w:spacing w:after="0" w:line="260" w:lineRule="atLeast"/>
    </w:pPr>
    <w:rPr>
      <w:rFonts w:asciiTheme="majorHAnsi" w:eastAsiaTheme="majorEastAsia" w:hAnsiTheme="majorHAnsi" w:cstheme="majorBidi"/>
      <w:b/>
      <w:bCs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qFormat/>
    <w:rsid w:val="00225534"/>
    <w:rPr>
      <w:b/>
      <w:bCs/>
      <w:i/>
      <w:iCs/>
      <w:color w:val="003127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25534"/>
    <w:pPr>
      <w:pBdr>
        <w:bottom w:val="single" w:sz="4" w:space="4" w:color="003127" w:themeColor="accent1"/>
      </w:pBdr>
      <w:spacing w:before="200" w:after="280" w:line="260" w:lineRule="atLeast"/>
      <w:ind w:left="936" w:right="936"/>
    </w:pPr>
    <w:rPr>
      <w:rFonts w:ascii="Georgia" w:eastAsia="Times New Roman" w:hAnsi="Georgia" w:cs="Times New Roman"/>
      <w:b/>
      <w:bCs/>
      <w:i/>
      <w:iCs/>
      <w:color w:val="003127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34"/>
    <w:rPr>
      <w:rFonts w:ascii="Georgia" w:hAnsi="Georgia"/>
      <w:b/>
      <w:bCs/>
      <w:i/>
      <w:iCs/>
      <w:color w:val="003127" w:themeColor="accent1"/>
      <w:szCs w:val="24"/>
    </w:rPr>
  </w:style>
  <w:style w:type="table" w:styleId="LightGrid">
    <w:name w:val="Light Grid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1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  <w:shd w:val="clear" w:color="auto" w:fill="8DFFE7" w:themeFill="accent1" w:themeFillTint="3F"/>
      </w:tcPr>
    </w:tblStylePr>
    <w:tblStylePr w:type="band2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1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  <w:shd w:val="clear" w:color="auto" w:fill="A2FFD5" w:themeFill="accent2" w:themeFillTint="3F"/>
      </w:tcPr>
    </w:tblStylePr>
    <w:tblStylePr w:type="band2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25534"/>
    <w:pPr>
      <w:spacing w:line="240" w:lineRule="auto"/>
    </w:pPr>
    <w:rPr>
      <w:color w:val="00241D" w:themeColor="accent1" w:themeShade="BF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25534"/>
    <w:pPr>
      <w:spacing w:line="240" w:lineRule="auto"/>
    </w:pPr>
    <w:rPr>
      <w:color w:val="006537" w:themeColor="accent2" w:themeShade="BF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25534"/>
  </w:style>
  <w:style w:type="paragraph" w:styleId="List">
    <w:name w:val="List"/>
    <w:basedOn w:val="Normal"/>
    <w:uiPriority w:val="99"/>
    <w:semiHidden/>
    <w:rsid w:val="00225534"/>
    <w:pPr>
      <w:spacing w:after="0" w:line="260" w:lineRule="atLeast"/>
      <w:ind w:left="283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225534"/>
    <w:pPr>
      <w:spacing w:after="0" w:line="260" w:lineRule="atLeast"/>
      <w:ind w:left="566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225534"/>
    <w:pPr>
      <w:spacing w:after="0" w:line="260" w:lineRule="atLeast"/>
      <w:ind w:left="849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225534"/>
    <w:pPr>
      <w:spacing w:after="0" w:line="260" w:lineRule="atLeast"/>
      <w:ind w:left="1132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225534"/>
    <w:pPr>
      <w:spacing w:after="0" w:line="260" w:lineRule="atLeast"/>
      <w:ind w:left="1415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">
    <w:name w:val="List Bullet"/>
    <w:basedOn w:val="Normal"/>
    <w:uiPriority w:val="2"/>
    <w:qFormat/>
    <w:rsid w:val="00225534"/>
    <w:pPr>
      <w:numPr>
        <w:numId w:val="1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225534"/>
    <w:pPr>
      <w:numPr>
        <w:numId w:val="2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225534"/>
    <w:pPr>
      <w:numPr>
        <w:numId w:val="3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225534"/>
    <w:pPr>
      <w:numPr>
        <w:numId w:val="4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225534"/>
    <w:pPr>
      <w:numPr>
        <w:numId w:val="5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225534"/>
    <w:pPr>
      <w:spacing w:after="120" w:line="260" w:lineRule="atLeast"/>
      <w:ind w:left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225534"/>
    <w:pPr>
      <w:spacing w:after="120" w:line="260" w:lineRule="atLeast"/>
      <w:ind w:left="566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225534"/>
    <w:pPr>
      <w:spacing w:after="120" w:line="260" w:lineRule="atLeast"/>
      <w:ind w:left="849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225534"/>
    <w:pPr>
      <w:spacing w:after="120" w:line="260" w:lineRule="atLeast"/>
      <w:ind w:left="1132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225534"/>
    <w:pPr>
      <w:spacing w:after="120" w:line="260" w:lineRule="atLeast"/>
      <w:ind w:left="1415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">
    <w:name w:val="List Number"/>
    <w:basedOn w:val="Normal"/>
    <w:uiPriority w:val="2"/>
    <w:qFormat/>
    <w:rsid w:val="00225534"/>
    <w:pPr>
      <w:numPr>
        <w:numId w:val="6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225534"/>
    <w:pPr>
      <w:numPr>
        <w:numId w:val="7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225534"/>
    <w:pPr>
      <w:numPr>
        <w:numId w:val="8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225534"/>
    <w:pPr>
      <w:numPr>
        <w:numId w:val="9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225534"/>
    <w:pPr>
      <w:numPr>
        <w:numId w:val="10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Paragraph">
    <w:name w:val="List Paragraph"/>
    <w:basedOn w:val="Normal"/>
    <w:uiPriority w:val="99"/>
    <w:semiHidden/>
    <w:qFormat/>
    <w:rsid w:val="00225534"/>
    <w:pPr>
      <w:spacing w:after="0" w:line="260" w:lineRule="atLeast"/>
      <w:ind w:left="720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225534"/>
    <w:rPr>
      <w:rFonts w:ascii="Consolas" w:hAnsi="Consolas" w:cs="Consolas"/>
    </w:rPr>
  </w:style>
  <w:style w:type="table" w:styleId="MediumGrid1">
    <w:name w:val="Medium Grid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  <w:insideV w:val="single" w:sz="8" w:space="0" w:color="00A482" w:themeColor="accent1" w:themeTint="BF"/>
      </w:tblBorders>
    </w:tblPr>
    <w:tcPr>
      <w:shd w:val="clear" w:color="auto" w:fill="8DFF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  <w:insideV w:val="single" w:sz="8" w:space="0" w:color="00E57E" w:themeColor="accent2" w:themeTint="BF"/>
      </w:tblBorders>
    </w:tblPr>
    <w:tcPr>
      <w:shd w:val="clear" w:color="auto" w:fill="A2FF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cPr>
      <w:shd w:val="clear" w:color="auto" w:fill="8DFF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1" w:themeFillTint="33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tcBorders>
          <w:insideH w:val="single" w:sz="6" w:space="0" w:color="003127" w:themeColor="accent1"/>
          <w:insideV w:val="single" w:sz="6" w:space="0" w:color="003127" w:themeColor="accent1"/>
        </w:tcBorders>
        <w:shd w:val="clear" w:color="auto" w:fill="19FF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cPr>
      <w:shd w:val="clear" w:color="auto" w:fill="A2FF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2" w:themeFillTint="33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tcBorders>
          <w:insideH w:val="single" w:sz="6" w:space="0" w:color="00874B" w:themeColor="accent2"/>
          <w:insideV w:val="single" w:sz="6" w:space="0" w:color="00874B" w:themeColor="accent2"/>
        </w:tcBorders>
        <w:shd w:val="clear" w:color="auto" w:fill="44FF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shd w:val="clear" w:color="auto" w:fill="8DFFE7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shd w:val="clear" w:color="auto" w:fill="A2FFD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rsid w:val="00225534"/>
    <w:pPr>
      <w:spacing w:after="0" w:line="260" w:lineRule="atLeast"/>
      <w:ind w:left="1304"/>
    </w:pPr>
    <w:rPr>
      <w:rFonts w:ascii="Georgia" w:eastAsia="Times New Roman" w:hAnsi="Georgia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225534"/>
    <w:rPr>
      <w:rFonts w:ascii="Georgia" w:hAnsi="Georgia"/>
      <w:szCs w:val="24"/>
    </w:rPr>
  </w:style>
  <w:style w:type="character" w:styleId="PlaceholderText">
    <w:name w:val="Placeholder Text"/>
    <w:basedOn w:val="DefaultParagraphFont"/>
    <w:uiPriority w:val="99"/>
    <w:semiHidden/>
    <w:rsid w:val="0022553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25534"/>
    <w:pPr>
      <w:spacing w:after="0" w:line="260" w:lineRule="atLeast"/>
    </w:pPr>
    <w:rPr>
      <w:rFonts w:ascii="Georgia" w:eastAsia="Times New Roman" w:hAnsi="Georgia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B85"/>
    <w:rPr>
      <w:rFonts w:ascii="Georgia" w:hAnsi="Georgia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B85"/>
    <w:rPr>
      <w:rFonts w:ascii="Georgia" w:hAnsi="Georgia"/>
      <w:szCs w:val="24"/>
    </w:rPr>
  </w:style>
  <w:style w:type="character" w:styleId="Strong">
    <w:name w:val="Strong"/>
    <w:basedOn w:val="DefaultParagraphFont"/>
    <w:uiPriority w:val="99"/>
    <w:semiHidden/>
    <w:qFormat/>
    <w:rsid w:val="00225534"/>
    <w:rPr>
      <w:b/>
      <w:bCs/>
    </w:rPr>
  </w:style>
  <w:style w:type="paragraph" w:styleId="Subtitle">
    <w:name w:val="Subtitle"/>
    <w:basedOn w:val="Normal"/>
    <w:next w:val="Normal"/>
    <w:link w:val="SubtitleChar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1C7630"/>
    <w:rPr>
      <w:rFonts w:eastAsiaTheme="majorEastAsia" w:cstheme="majorBidi"/>
      <w:iCs/>
      <w:sz w:val="28"/>
    </w:rPr>
  </w:style>
  <w:style w:type="character" w:styleId="SubtleEmphasis">
    <w:name w:val="Subtle Emphasis"/>
    <w:basedOn w:val="DefaultParagraphFon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25534"/>
    <w:pPr>
      <w:spacing w:after="0" w:line="260" w:lineRule="atLeast"/>
      <w:ind w:left="200" w:hanging="200"/>
    </w:pPr>
    <w:rPr>
      <w:rFonts w:ascii="Georgia" w:eastAsia="Times New Roman" w:hAnsi="Georgia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table" w:styleId="TableProfessional">
    <w:name w:val="Table Professional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rsid w:val="007E0C49"/>
    <w:pPr>
      <w:spacing w:after="0"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TOAHeading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szCs w:val="20"/>
    </w:rPr>
  </w:style>
  <w:style w:type="paragraph" w:styleId="TOC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 w:after="0" w:line="260" w:lineRule="atLeast"/>
      <w:ind w:right="567"/>
    </w:pPr>
    <w:rPr>
      <w:rFonts w:ascii="Georgia" w:hAnsi="Georgia"/>
      <w:b/>
      <w:sz w:val="20"/>
      <w:szCs w:val="18"/>
    </w:rPr>
  </w:style>
  <w:style w:type="paragraph" w:styleId="TOC2">
    <w:name w:val="toc 2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right="567"/>
    </w:pPr>
    <w:rPr>
      <w:rFonts w:ascii="Georgia" w:hAnsi="Georgia"/>
      <w:sz w:val="20"/>
      <w:szCs w:val="18"/>
    </w:rPr>
  </w:style>
  <w:style w:type="paragraph" w:styleId="TOC3">
    <w:name w:val="toc 3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Heading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ascii="Georgia" w:hAnsi="Georgia"/>
      <w:sz w:val="28"/>
      <w:szCs w:val="18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Header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Heading1"/>
    <w:uiPriority w:val="6"/>
    <w:semiHidden/>
    <w:rsid w:val="00944EE8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4FE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F1CEA"/>
    <w:rPr>
      <w:rFonts w:cs="Arial"/>
      <w:b/>
      <w:bCs/>
      <w:sz w:val="2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CE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Interne%20skabeloner\Notat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3127"/>
      </a:accent1>
      <a:accent2>
        <a:srgbClr val="00874B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EAEXP2DD475P-1149199250-4373743</_dlc_DocId>
    <_dlc_DocIdUrl xmlns="8f557624-d6a7-40e5-a06f-ebe44359847b">
      <Url>https://erstdk.sharepoint.com/teams/share/_layouts/15/DocIdRedir.aspx?ID=EAEXP2DD475P-1149199250-4373743</Url>
      <Description>EAEXP2DD475P-1149199250-4373743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3" ma:contentTypeDescription="Opret et nyt dokument." ma:contentTypeScope="" ma:versionID="a5425ebd088cddbbedebe4c38f2f30c1">
  <xsd:schema xmlns:xsd="http://www.w3.org/2001/XMLSchema" xmlns:xs="http://www.w3.org/2001/XMLSchema" xmlns:p="http://schemas.microsoft.com/office/2006/metadata/properties" xmlns:ns2="8f557624-d6a7-40e5-a06f-ebe44359847b" xmlns:ns3="ba3c0d19-9a85-4c97-b951-b8742efd782e" targetNamespace="http://schemas.microsoft.com/office/2006/metadata/properties" ma:root="true" ma:fieldsID="43852af8e1e959446b07c28947762031" ns2:_="" ns3:_=""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43BA9-D1B1-40A1-BB84-8A03B2C5D7D0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50EE527A-1BAA-46C3-98F9-E6066845D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F26C1-958B-4444-A895-B10E7AD4B1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0062A2-D5F7-49C0-BB45-30EF64D0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Titel</vt:lpstr>
      </vt:variant>
      <vt:variant>
        <vt:i4>1</vt:i4>
      </vt:variant>
    </vt:vector>
  </HeadingPairs>
  <TitlesOfParts>
    <vt:vector size="6" baseType="lpstr">
      <vt:lpstr>Notat</vt:lpstr>
      <vt:lpstr>Notat om </vt:lpstr>
      <vt:lpstr>Problemstilling</vt:lpstr>
      <vt:lpstr>Baggrund</vt:lpstr>
      <vt:lpstr>Løsning [Kun hvis relevant]</vt:lpstr>
      <vt:lpstr>Title</vt:lpstr>
    </vt:vector>
  </TitlesOfParts>
  <Company>Miljøministeriet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Cecilie Baunsgaard Reimann</dc:creator>
  <cp:lastModifiedBy>Ke, Tingting</cp:lastModifiedBy>
  <cp:revision>4</cp:revision>
  <cp:lastPrinted>2005-05-20T12:11:00Z</cp:lastPrinted>
  <dcterms:created xsi:type="dcterms:W3CDTF">2019-07-18T12:55:00Z</dcterms:created>
  <dcterms:modified xsi:type="dcterms:W3CDTF">2019-07-26T12:54:00Z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Notat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43664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CBREI</vt:lpwstr>
  </property>
  <property fmtid="{D5CDD505-2E9C-101B-9397-08002B2CF9AE}" pid="17" name="SD_CtlText_Generelt_CaseNo">
    <vt:lpwstr/>
  </property>
  <property fmtid="{D5CDD505-2E9C-101B-9397-08002B2CF9AE}" pid="18" name="SD_UserprofileName">
    <vt:lpwstr>CBREI</vt:lpwstr>
  </property>
  <property fmtid="{D5CDD505-2E9C-101B-9397-08002B2CF9AE}" pid="19" name="SD_Office_OFF_ID">
    <vt:lpwstr>143</vt:lpwstr>
  </property>
  <property fmtid="{D5CDD505-2E9C-101B-9397-08002B2CF9AE}" pid="20" name="CurrentOfficeID">
    <vt:lpwstr>143</vt:lpwstr>
  </property>
  <property fmtid="{D5CDD505-2E9C-101B-9397-08002B2CF9AE}" pid="21" name="SD_Office_OFF_Organisation">
    <vt:lpwstr>MFVM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Departementet</vt:lpwstr>
  </property>
  <property fmtid="{D5CDD505-2E9C-101B-9397-08002B2CF9AE}" pid="24" name="SD_Office_OFF_Institution">
    <vt:lpwstr>Miljø- og Fødevareministeriet</vt:lpwstr>
  </property>
  <property fmtid="{D5CDD505-2E9C-101B-9397-08002B2CF9AE}" pid="25" name="SD_Office_OFF_Institution_EN">
    <vt:lpwstr>Ministry of Environment and Food</vt:lpwstr>
  </property>
  <property fmtid="{D5CDD505-2E9C-101B-9397-08002B2CF9AE}" pid="26" name="SD_Office_OFF_kontor">
    <vt:lpwstr>Kemikalier</vt:lpwstr>
  </property>
  <property fmtid="{D5CDD505-2E9C-101B-9397-08002B2CF9AE}" pid="27" name="SD_Office_OFF_Department">
    <vt:lpwstr>Kemikalier</vt:lpwstr>
  </property>
  <property fmtid="{D5CDD505-2E9C-101B-9397-08002B2CF9AE}" pid="28" name="SD_Office_OFF_Department_EN">
    <vt:lpwstr>Kemikalier</vt:lpwstr>
  </property>
  <property fmtid="{D5CDD505-2E9C-101B-9397-08002B2CF9AE}" pid="29" name="SD_Office_OFF_Footertext">
    <vt:lpwstr/>
  </property>
  <property fmtid="{D5CDD505-2E9C-101B-9397-08002B2CF9AE}" pid="30" name="SD_Office_OFF_AddressA">
    <vt:lpwstr>Slotsholmsgade 12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Slotsholmsgade 12</vt:lpwstr>
  </property>
  <property fmtid="{D5CDD505-2E9C-101B-9397-08002B2CF9AE}" pid="34" name="SD_Office_OFF_AddressD">
    <vt:lpwstr>1216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>33 14 50 42</vt:lpwstr>
  </property>
  <property fmtid="{D5CDD505-2E9C-101B-9397-08002B2CF9AE}" pid="40" name="SD_Office_OFF_Fax_EN">
    <vt:lpwstr>+45 33 14 50 42</vt:lpwstr>
  </property>
  <property fmtid="{D5CDD505-2E9C-101B-9397-08002B2CF9AE}" pid="41" name="SD_Office_OFF_Email">
    <vt:lpwstr>mfvm@mfvm.dk</vt:lpwstr>
  </property>
  <property fmtid="{D5CDD505-2E9C-101B-9397-08002B2CF9AE}" pid="42" name="SD_Office_OFF_Web">
    <vt:lpwstr>www.mfvm.dk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Cecilie Baunsgaard Reimann</vt:lpwstr>
  </property>
  <property fmtid="{D5CDD505-2E9C-101B-9397-08002B2CF9AE}" pid="49" name="USR_Initials">
    <vt:lpwstr>CBREI</vt:lpwstr>
  </property>
  <property fmtid="{D5CDD505-2E9C-101B-9397-08002B2CF9AE}" pid="50" name="USR_Title">
    <vt:lpwstr>Fuldmægtig</vt:lpwstr>
  </property>
  <property fmtid="{D5CDD505-2E9C-101B-9397-08002B2CF9AE}" pid="51" name="USR_DirectPhone">
    <vt:lpwstr>+45 61 18 45 63</vt:lpwstr>
  </property>
  <property fmtid="{D5CDD505-2E9C-101B-9397-08002B2CF9AE}" pid="52" name="USR_Mobile">
    <vt:lpwstr>+45 61 18 45 63</vt:lpwstr>
  </property>
  <property fmtid="{D5CDD505-2E9C-101B-9397-08002B2CF9AE}" pid="53" name="USR_Email">
    <vt:lpwstr>cbrei@mfvm.dk</vt:lpwstr>
  </property>
  <property fmtid="{D5CDD505-2E9C-101B-9397-08002B2CF9AE}" pid="54" name="DocumentInfoFinished">
    <vt:lpwstr>True</vt:lpwstr>
  </property>
  <property fmtid="{D5CDD505-2E9C-101B-9397-08002B2CF9AE}" pid="55" name="ContentTypeId">
    <vt:lpwstr>0x01010028823DAD65BFDC47A3186F100C863B32</vt:lpwstr>
  </property>
  <property fmtid="{D5CDD505-2E9C-101B-9397-08002B2CF9AE}" pid="56" name="_dlc_DocIdItemGuid">
    <vt:lpwstr>71c496f7-8f48-4c0a-845b-4833c16f15ad</vt:lpwstr>
  </property>
</Properties>
</file>