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189"/>
      </w:tblGrid>
      <w:tr w:rsidR="00CC4711" w:rsidRPr="005E74E6" w14:paraId="082E1AAD" w14:textId="77777777" w:rsidTr="00EF3DB0">
        <w:trPr>
          <w:trHeight w:val="426"/>
        </w:trPr>
        <w:tc>
          <w:tcPr>
            <w:tcW w:w="3189" w:type="dxa"/>
            <w:vAlign w:val="center"/>
          </w:tcPr>
          <w:p w14:paraId="55DFDD00" w14:textId="77777777" w:rsidR="00CC761D" w:rsidRPr="005E74E6" w:rsidRDefault="00CC761D" w:rsidP="00F152C8">
            <w:pPr>
              <w:tabs>
                <w:tab w:val="left" w:pos="1021"/>
                <w:tab w:val="left" w:pos="8080"/>
              </w:tabs>
              <w:spacing w:before="120" w:after="0" w:line="252" w:lineRule="auto"/>
              <w:rPr>
                <w:rFonts w:eastAsia="Times New Roman" w:cstheme="minorHAnsi"/>
                <w:lang w:val="es-ES_tradnl" w:eastAsia="es-ES"/>
              </w:rPr>
            </w:pPr>
          </w:p>
        </w:tc>
      </w:tr>
      <w:tr w:rsidR="00CC4711" w:rsidRPr="005E74E6" w14:paraId="0F348C9A" w14:textId="77777777" w:rsidTr="00DC217E">
        <w:trPr>
          <w:trHeight w:val="60"/>
        </w:trPr>
        <w:tc>
          <w:tcPr>
            <w:tcW w:w="3189" w:type="dxa"/>
          </w:tcPr>
          <w:p w14:paraId="6BC211DF" w14:textId="77777777" w:rsidR="00DD05EF" w:rsidRPr="005E74E6" w:rsidRDefault="00DD05EF" w:rsidP="00F152C8">
            <w:pPr>
              <w:tabs>
                <w:tab w:val="left" w:pos="1021"/>
                <w:tab w:val="left" w:pos="8080"/>
              </w:tabs>
              <w:spacing w:before="120" w:after="0" w:line="252" w:lineRule="auto"/>
              <w:rPr>
                <w:rFonts w:eastAsia="Times New Roman" w:cstheme="minorHAnsi"/>
                <w:snapToGrid w:val="0"/>
                <w:lang w:eastAsia="es-ES"/>
              </w:rPr>
            </w:pPr>
          </w:p>
        </w:tc>
      </w:tr>
      <w:tr w:rsidR="00CC4711" w:rsidRPr="005E74E6" w14:paraId="79E78E00" w14:textId="77777777" w:rsidTr="00EF3DB0">
        <w:tc>
          <w:tcPr>
            <w:tcW w:w="3189" w:type="dxa"/>
          </w:tcPr>
          <w:p w14:paraId="6E02BBB2" w14:textId="77777777" w:rsidR="00CC761D" w:rsidRPr="005E74E6" w:rsidRDefault="00CC761D" w:rsidP="00F152C8">
            <w:pPr>
              <w:tabs>
                <w:tab w:val="left" w:pos="1021"/>
                <w:tab w:val="left" w:pos="8080"/>
              </w:tabs>
              <w:spacing w:before="120" w:after="0" w:line="252" w:lineRule="auto"/>
              <w:rPr>
                <w:rFonts w:eastAsia="Times New Roman" w:cstheme="minorHAnsi"/>
                <w:lang w:val="es-ES_tradnl" w:eastAsia="es-ES"/>
              </w:rPr>
            </w:pPr>
          </w:p>
        </w:tc>
      </w:tr>
    </w:tbl>
    <w:p w14:paraId="433F9D65" w14:textId="77777777" w:rsidR="00CC761D" w:rsidRPr="005E74E6" w:rsidRDefault="00CC761D" w:rsidP="00F152C8">
      <w:pPr>
        <w:spacing w:before="120" w:after="0" w:line="252" w:lineRule="auto"/>
        <w:rPr>
          <w:rFonts w:eastAsia="Times New Roman" w:cstheme="minorHAnsi"/>
          <w:vanish/>
          <w:lang w:val="es-ES_tradnl" w:eastAsia="es-ES"/>
        </w:rPr>
      </w:pPr>
    </w:p>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2478"/>
        <w:gridCol w:w="35"/>
      </w:tblGrid>
      <w:tr w:rsidR="00CC4711" w:rsidRPr="005E74E6" w14:paraId="3B84481F" w14:textId="77777777" w:rsidTr="00EF3DB0">
        <w:tc>
          <w:tcPr>
            <w:tcW w:w="2478" w:type="dxa"/>
          </w:tcPr>
          <w:p w14:paraId="7A860E38"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Borders>
              <w:right w:val="single" w:sz="4" w:space="0" w:color="auto"/>
            </w:tcBorders>
          </w:tcPr>
          <w:p w14:paraId="03DC7515"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r w:rsidR="00CC4711" w:rsidRPr="005E74E6" w14:paraId="56DDE576" w14:textId="77777777" w:rsidTr="00EF3DB0">
        <w:trPr>
          <w:trHeight w:hRule="exact" w:val="57"/>
        </w:trPr>
        <w:tc>
          <w:tcPr>
            <w:tcW w:w="2478" w:type="dxa"/>
          </w:tcPr>
          <w:p w14:paraId="5CCFAE84"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Pr>
          <w:p w14:paraId="2666F551"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r w:rsidR="00CC4711" w:rsidRPr="005E74E6" w14:paraId="75889FCF" w14:textId="77777777" w:rsidTr="00EF3DB0">
        <w:trPr>
          <w:trHeight w:val="211"/>
        </w:trPr>
        <w:tc>
          <w:tcPr>
            <w:tcW w:w="2478" w:type="dxa"/>
            <w:tcMar>
              <w:top w:w="57" w:type="dxa"/>
              <w:left w:w="57" w:type="dxa"/>
              <w:bottom w:w="57" w:type="dxa"/>
            </w:tcMar>
          </w:tcPr>
          <w:p w14:paraId="19B8D32F"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Pr>
          <w:p w14:paraId="628A7A74"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bl>
    <w:p w14:paraId="1567C914" w14:textId="3A7D8FB6" w:rsidR="00DC217E" w:rsidRDefault="00DC217E" w:rsidP="00F152C8">
      <w:pPr>
        <w:tabs>
          <w:tab w:val="left" w:pos="1021"/>
          <w:tab w:val="left" w:pos="8080"/>
        </w:tabs>
        <w:spacing w:before="120" w:after="0" w:line="252" w:lineRule="auto"/>
        <w:ind w:left="-284"/>
        <w:rPr>
          <w:rFonts w:eastAsia="Times New Roman" w:cstheme="minorHAnsi"/>
          <w:lang w:val="es-ES_tradnl" w:eastAsia="es-ES"/>
        </w:rPr>
      </w:pPr>
    </w:p>
    <w:p w14:paraId="15A77090" w14:textId="77777777" w:rsidR="00DC217E" w:rsidRDefault="00DC217E" w:rsidP="00DC217E"/>
    <w:tbl>
      <w:tblPr>
        <w:tblW w:w="0" w:type="dxa"/>
        <w:tblInd w:w="-228" w:type="dxa"/>
        <w:tblLayout w:type="fixed"/>
        <w:tblCellMar>
          <w:left w:w="56" w:type="dxa"/>
          <w:right w:w="56" w:type="dxa"/>
        </w:tblCellMar>
        <w:tblLook w:val="04A0" w:firstRow="1" w:lastRow="0" w:firstColumn="1" w:lastColumn="0" w:noHBand="0" w:noVBand="1"/>
      </w:tblPr>
      <w:tblGrid>
        <w:gridCol w:w="1221"/>
        <w:gridCol w:w="2482"/>
        <w:gridCol w:w="653"/>
        <w:gridCol w:w="4463"/>
      </w:tblGrid>
      <w:tr w:rsidR="00DC217E" w14:paraId="110363FC" w14:textId="77777777" w:rsidTr="00DC217E">
        <w:trPr>
          <w:cantSplit/>
          <w:trHeight w:val="495"/>
        </w:trPr>
        <w:tc>
          <w:tcPr>
            <w:tcW w:w="1221" w:type="dxa"/>
            <w:vMerge w:val="restart"/>
          </w:tcPr>
          <w:p w14:paraId="5395FBD5" w14:textId="77777777" w:rsidR="00DC217E" w:rsidRDefault="00852846">
            <w:pPr>
              <w:rPr>
                <w:rFonts w:ascii="Gill Sans MT" w:hAnsi="Gill Sans MT"/>
              </w:rPr>
            </w:pPr>
            <w:r>
              <w:object w:dxaOrig="1440" w:dyaOrig="1440" w14:anchorId="502D2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3.6pt;width:55.3pt;height:59.55pt;z-index:251659264" o:preferrelative="f" fillcolor="window">
                  <v:imagedata r:id="rId11" o:title=""/>
                  <o:lock v:ext="edit" aspectratio="f"/>
                  <w10:anchorlock/>
                </v:shape>
                <o:OLEObject Type="Embed" ProgID="Word.Picture.8" ShapeID="_x0000_s2050" DrawAspect="Content" ObjectID="_1721053318" r:id="rId12"/>
              </w:object>
            </w:r>
          </w:p>
          <w:p w14:paraId="3BEB0B12" w14:textId="77777777" w:rsidR="00DC217E" w:rsidRDefault="00DC217E">
            <w:pPr>
              <w:rPr>
                <w:rFonts w:ascii="Gill Sans MT" w:hAnsi="Gill Sans MT"/>
              </w:rPr>
            </w:pPr>
          </w:p>
          <w:p w14:paraId="43149292" w14:textId="77777777" w:rsidR="00DC217E" w:rsidRDefault="00DC217E">
            <w:pPr>
              <w:rPr>
                <w:rFonts w:ascii="Gill Sans MT" w:hAnsi="Gill Sans MT"/>
              </w:rPr>
            </w:pPr>
          </w:p>
          <w:p w14:paraId="0747CD80" w14:textId="77777777" w:rsidR="00DC217E" w:rsidRDefault="00DC217E">
            <w:pPr>
              <w:rPr>
                <w:rFonts w:ascii="Gill Sans MT" w:hAnsi="Gill Sans MT"/>
              </w:rPr>
            </w:pPr>
          </w:p>
        </w:tc>
        <w:tc>
          <w:tcPr>
            <w:tcW w:w="2482" w:type="dxa"/>
            <w:vMerge w:val="restart"/>
          </w:tcPr>
          <w:p w14:paraId="68A34E89" w14:textId="77777777" w:rsidR="00DC217E" w:rsidRDefault="00DC217E">
            <w:pPr>
              <w:rPr>
                <w:rFonts w:ascii="Gill Sans MT" w:hAnsi="Gill Sans MT"/>
                <w:sz w:val="16"/>
                <w:szCs w:val="14"/>
              </w:rPr>
            </w:pPr>
          </w:p>
          <w:p w14:paraId="5C08CFF5" w14:textId="77777777" w:rsidR="00DC217E" w:rsidRDefault="00DC217E">
            <w:pPr>
              <w:rPr>
                <w:rFonts w:ascii="Gill Sans MT" w:hAnsi="Gill Sans MT"/>
                <w:sz w:val="16"/>
                <w:szCs w:val="14"/>
              </w:rPr>
            </w:pPr>
            <w:r>
              <w:rPr>
                <w:rFonts w:ascii="Gill Sans MT" w:hAnsi="Gill Sans MT"/>
                <w:sz w:val="18"/>
              </w:rPr>
              <w:t>MINISTÈRE DES AFFAIRES ÉCONOMIQUES ET DE LA TRANSFORMATION NUMÉRIQUE</w:t>
            </w:r>
          </w:p>
        </w:tc>
        <w:tc>
          <w:tcPr>
            <w:tcW w:w="653" w:type="dxa"/>
          </w:tcPr>
          <w:p w14:paraId="591EE350" w14:textId="77777777" w:rsidR="00DC217E" w:rsidRDefault="00DC217E">
            <w:pPr>
              <w:rPr>
                <w:rFonts w:ascii="Gill Sans MT" w:hAnsi="Gill Sans MT"/>
                <w:sz w:val="16"/>
                <w:szCs w:val="14"/>
              </w:rPr>
            </w:pPr>
          </w:p>
        </w:tc>
        <w:tc>
          <w:tcPr>
            <w:tcW w:w="4463" w:type="dxa"/>
            <w:shd w:val="pct15" w:color="000000" w:fill="FFFFFF"/>
          </w:tcPr>
          <w:p w14:paraId="110350D4" w14:textId="77777777" w:rsidR="00DC217E" w:rsidRDefault="00DC217E">
            <w:pPr>
              <w:ind w:left="57"/>
              <w:rPr>
                <w:rFonts w:ascii="Gill Sans MT" w:hAnsi="Gill Sans MT"/>
                <w:sz w:val="16"/>
                <w:szCs w:val="14"/>
              </w:rPr>
            </w:pPr>
          </w:p>
          <w:p w14:paraId="4740838C" w14:textId="77777777" w:rsidR="00DC217E" w:rsidRDefault="00DC217E">
            <w:pPr>
              <w:ind w:left="57"/>
              <w:rPr>
                <w:rFonts w:ascii="Gill Sans MT" w:hAnsi="Gill Sans MT"/>
                <w:sz w:val="14"/>
                <w:szCs w:val="14"/>
              </w:rPr>
            </w:pPr>
            <w:r>
              <w:rPr>
                <w:rFonts w:ascii="Gill Sans MT" w:hAnsi="Gill Sans MT"/>
                <w:sz w:val="16"/>
              </w:rPr>
              <w:t>SECRÉTARIAT D’ÉTAT AUX TÉLÉCOMMUNICATIONS ET AUX INFRASTRUCTURES NUMÉRIQUES</w:t>
            </w:r>
          </w:p>
        </w:tc>
      </w:tr>
      <w:tr w:rsidR="00DC217E" w14:paraId="2F4FACD1" w14:textId="77777777" w:rsidTr="00DC217E">
        <w:trPr>
          <w:cantSplit/>
          <w:trHeight w:val="671"/>
        </w:trPr>
        <w:tc>
          <w:tcPr>
            <w:tcW w:w="1221" w:type="dxa"/>
            <w:vMerge/>
            <w:vAlign w:val="center"/>
            <w:hideMark/>
          </w:tcPr>
          <w:p w14:paraId="4A1F7105" w14:textId="77777777" w:rsidR="00DC217E" w:rsidRDefault="00DC217E">
            <w:pPr>
              <w:spacing w:after="0"/>
              <w:rPr>
                <w:rFonts w:ascii="Gill Sans MT" w:hAnsi="Gill Sans MT"/>
              </w:rPr>
            </w:pPr>
          </w:p>
        </w:tc>
        <w:tc>
          <w:tcPr>
            <w:tcW w:w="2482" w:type="dxa"/>
            <w:vMerge/>
            <w:vAlign w:val="center"/>
            <w:hideMark/>
          </w:tcPr>
          <w:p w14:paraId="333FA8AE" w14:textId="77777777" w:rsidR="00DC217E" w:rsidRDefault="00DC217E">
            <w:pPr>
              <w:spacing w:after="0"/>
              <w:rPr>
                <w:rFonts w:ascii="Gill Sans MT" w:hAnsi="Gill Sans MT"/>
                <w:sz w:val="16"/>
                <w:szCs w:val="14"/>
              </w:rPr>
            </w:pPr>
          </w:p>
        </w:tc>
        <w:tc>
          <w:tcPr>
            <w:tcW w:w="653" w:type="dxa"/>
          </w:tcPr>
          <w:p w14:paraId="2C36E936" w14:textId="77777777" w:rsidR="00DC217E" w:rsidRDefault="00DC217E">
            <w:pPr>
              <w:rPr>
                <w:rFonts w:ascii="Gill Sans MT" w:hAnsi="Gill Sans MT"/>
                <w:sz w:val="16"/>
                <w:szCs w:val="14"/>
              </w:rPr>
            </w:pPr>
          </w:p>
        </w:tc>
        <w:tc>
          <w:tcPr>
            <w:tcW w:w="4463" w:type="dxa"/>
          </w:tcPr>
          <w:p w14:paraId="519D99D4" w14:textId="77777777" w:rsidR="00DC217E" w:rsidRDefault="00DC217E">
            <w:pPr>
              <w:ind w:left="57"/>
              <w:rPr>
                <w:rFonts w:ascii="Gill Sans MT" w:hAnsi="Gill Sans MT"/>
                <w:sz w:val="14"/>
                <w:szCs w:val="14"/>
              </w:rPr>
            </w:pPr>
            <w:r>
              <w:rPr>
                <w:rFonts w:ascii="Gill Sans MT" w:hAnsi="Gill Sans MT"/>
                <w:sz w:val="14"/>
              </w:rPr>
              <w:t>DIRECTION GÉNÉRALE DES SERVICES DE TÉLÉCOMMUNICATIONS ET DE COMMUNICATIONS AUDIOVISUELLES</w:t>
            </w:r>
          </w:p>
          <w:p w14:paraId="2623325C" w14:textId="77777777" w:rsidR="00DC217E" w:rsidRDefault="00DC217E">
            <w:pPr>
              <w:ind w:left="57"/>
              <w:rPr>
                <w:rFonts w:ascii="Gill Sans MT" w:hAnsi="Gill Sans MT"/>
                <w:sz w:val="14"/>
                <w:szCs w:val="14"/>
              </w:rPr>
            </w:pPr>
          </w:p>
        </w:tc>
      </w:tr>
    </w:tbl>
    <w:p w14:paraId="1EA5AD03" w14:textId="77777777" w:rsidR="00DC217E" w:rsidRDefault="00DC217E" w:rsidP="00DC217E">
      <w:pPr>
        <w:pStyle w:val="Header"/>
        <w:tabs>
          <w:tab w:val="left" w:pos="954"/>
        </w:tabs>
        <w:rPr>
          <w:rFonts w:asciiTheme="minorHAnsi" w:hAnsiTheme="minorHAnsi" w:cstheme="minorBidi"/>
          <w:sz w:val="22"/>
          <w:szCs w:val="22"/>
        </w:rPr>
      </w:pPr>
    </w:p>
    <w:tbl>
      <w:tblPr>
        <w:tblW w:w="9551" w:type="dxa"/>
        <w:tblCellMar>
          <w:left w:w="70" w:type="dxa"/>
          <w:right w:w="70" w:type="dxa"/>
        </w:tblCellMar>
        <w:tblLook w:val="0000" w:firstRow="0" w:lastRow="0" w:firstColumn="0" w:lastColumn="0" w:noHBand="0" w:noVBand="0"/>
      </w:tblPr>
      <w:tblGrid>
        <w:gridCol w:w="9551"/>
      </w:tblGrid>
      <w:tr w:rsidR="00CC4711" w:rsidRPr="005E74E6" w14:paraId="74586F6F" w14:textId="77777777" w:rsidTr="00EF3DB0">
        <w:tc>
          <w:tcPr>
            <w:tcW w:w="9551" w:type="dxa"/>
          </w:tcPr>
          <w:p w14:paraId="2B97A9C3" w14:textId="77777777" w:rsidR="00CC761D" w:rsidRPr="00BC4F5B" w:rsidRDefault="00CC761D" w:rsidP="00F152C8">
            <w:pPr>
              <w:tabs>
                <w:tab w:val="left" w:pos="1134"/>
              </w:tabs>
              <w:spacing w:before="120" w:after="0" w:line="252" w:lineRule="auto"/>
              <w:rPr>
                <w:rFonts w:eastAsia="Times New Roman" w:cstheme="minorHAnsi"/>
                <w:b/>
                <w:spacing w:val="324"/>
                <w:lang w:eastAsia="es-ES"/>
              </w:rPr>
            </w:pPr>
          </w:p>
        </w:tc>
      </w:tr>
    </w:tbl>
    <w:p w14:paraId="7FB7EE1B" w14:textId="77777777" w:rsidR="00CC761D" w:rsidRPr="005E74E6" w:rsidRDefault="00CC761D" w:rsidP="00F152C8">
      <w:pPr>
        <w:keepNext/>
        <w:spacing w:before="120" w:after="0" w:line="252" w:lineRule="auto"/>
        <w:outlineLvl w:val="2"/>
        <w:rPr>
          <w:rFonts w:eastAsia="Times New Roman" w:cstheme="minorHAnsi"/>
          <w:b/>
          <w:snapToGrid w:val="0"/>
          <w:lang w:eastAsia="es-ES"/>
        </w:rPr>
        <w:sectPr w:rsidR="00CC761D" w:rsidRPr="005E74E6" w:rsidSect="00CC761D">
          <w:headerReference w:type="even" r:id="rId13"/>
          <w:headerReference w:type="default" r:id="rId14"/>
          <w:footerReference w:type="even" r:id="rId15"/>
          <w:footerReference w:type="default" r:id="rId16"/>
          <w:headerReference w:type="first" r:id="rId17"/>
          <w:footerReference w:type="first" r:id="rId18"/>
          <w:pgSz w:w="11906" w:h="16838" w:code="9"/>
          <w:pgMar w:top="992" w:right="567" w:bottom="255" w:left="794" w:header="567" w:footer="1010" w:gutter="0"/>
          <w:cols w:space="720" w:equalWidth="0">
            <w:col w:w="9411"/>
          </w:cols>
          <w:titlePg/>
        </w:sectPr>
      </w:pPr>
    </w:p>
    <w:p w14:paraId="4E367A84" w14:textId="77777777" w:rsidR="00CC761D" w:rsidRPr="00852846" w:rsidRDefault="00CC761D" w:rsidP="00F152C8">
      <w:pPr>
        <w:spacing w:before="120" w:after="0" w:line="252" w:lineRule="auto"/>
        <w:rPr>
          <w:rFonts w:eastAsia="Times New Roman" w:cstheme="minorHAnsi"/>
          <w:lang w:eastAsia="es-ES"/>
        </w:rPr>
      </w:pPr>
    </w:p>
    <w:p w14:paraId="1B070BC6" w14:textId="77777777" w:rsidR="00CC761D" w:rsidRPr="00852846" w:rsidRDefault="00CC761D" w:rsidP="00F152C8">
      <w:pPr>
        <w:spacing w:before="120" w:after="0" w:line="252" w:lineRule="auto"/>
        <w:rPr>
          <w:rFonts w:eastAsia="Times New Roman" w:cstheme="minorHAnsi"/>
          <w:lang w:eastAsia="es-ES"/>
        </w:rPr>
      </w:pPr>
    </w:p>
    <w:p w14:paraId="785B5B08" w14:textId="77777777" w:rsidR="00CC761D" w:rsidRPr="00852846" w:rsidRDefault="00CC761D" w:rsidP="00F152C8">
      <w:pPr>
        <w:spacing w:before="120" w:after="0" w:line="252" w:lineRule="auto"/>
        <w:rPr>
          <w:rFonts w:eastAsia="Times New Roman" w:cstheme="minorHAnsi"/>
          <w:lang w:eastAsia="es-ES"/>
        </w:rPr>
      </w:pPr>
    </w:p>
    <w:p w14:paraId="63C03345" w14:textId="77777777" w:rsidR="00CC761D" w:rsidRPr="00852846" w:rsidRDefault="00CC761D" w:rsidP="00F152C8">
      <w:pPr>
        <w:spacing w:before="120" w:after="0" w:line="252" w:lineRule="auto"/>
        <w:rPr>
          <w:rFonts w:eastAsia="Times New Roman" w:cstheme="minorHAnsi"/>
          <w:lang w:eastAsia="es-ES"/>
        </w:rPr>
      </w:pPr>
    </w:p>
    <w:p w14:paraId="5F7BD786" w14:textId="77777777" w:rsidR="00CC761D" w:rsidRPr="00852846" w:rsidRDefault="00CC761D" w:rsidP="00F152C8">
      <w:pPr>
        <w:spacing w:before="120" w:after="0" w:line="252" w:lineRule="auto"/>
        <w:rPr>
          <w:rFonts w:eastAsia="Times New Roman" w:cstheme="minorHAnsi"/>
          <w:lang w:eastAsia="es-ES"/>
        </w:rPr>
      </w:pPr>
    </w:p>
    <w:p w14:paraId="2D081A61" w14:textId="77777777" w:rsidR="00CC761D" w:rsidRPr="00852846" w:rsidRDefault="00CC761D" w:rsidP="00F152C8">
      <w:pPr>
        <w:spacing w:before="120" w:after="0" w:line="252" w:lineRule="auto"/>
        <w:jc w:val="both"/>
        <w:rPr>
          <w:rFonts w:eastAsia="Times New Roman" w:cstheme="minorHAnsi"/>
          <w:b/>
          <w:lang w:eastAsia="es-ES"/>
        </w:rPr>
      </w:pPr>
    </w:p>
    <w:p w14:paraId="2AE8C7E4" w14:textId="77777777" w:rsidR="00CC761D" w:rsidRPr="00852846" w:rsidRDefault="00CC761D" w:rsidP="00F152C8">
      <w:pPr>
        <w:spacing w:before="120" w:after="0" w:line="252" w:lineRule="auto"/>
        <w:jc w:val="both"/>
        <w:rPr>
          <w:rFonts w:eastAsia="Times New Roman" w:cstheme="minorHAnsi"/>
          <w:b/>
          <w:lang w:eastAsia="es-ES"/>
        </w:rPr>
      </w:pPr>
    </w:p>
    <w:p w14:paraId="3F4948B3" w14:textId="28F64516" w:rsidR="00CC761D" w:rsidRPr="005E74E6" w:rsidRDefault="00CC761D" w:rsidP="00F152C8">
      <w:pPr>
        <w:spacing w:before="120" w:after="0" w:line="252" w:lineRule="auto"/>
        <w:jc w:val="center"/>
        <w:rPr>
          <w:rFonts w:eastAsia="Times New Roman" w:cstheme="minorHAnsi"/>
          <w:b/>
          <w:u w:val="single"/>
        </w:rPr>
      </w:pPr>
      <w:r>
        <w:rPr>
          <w:b/>
          <w:u w:val="single"/>
        </w:rPr>
        <w:t>RAPPORT D’ANALYSE D’IMPACT RÉGLEMENTAIRE</w:t>
      </w:r>
    </w:p>
    <w:p w14:paraId="7976D0D1" w14:textId="77777777" w:rsidR="00CC761D" w:rsidRPr="00852846" w:rsidRDefault="00CC761D" w:rsidP="00F152C8">
      <w:pPr>
        <w:spacing w:before="120" w:after="0" w:line="252" w:lineRule="auto"/>
        <w:jc w:val="both"/>
        <w:rPr>
          <w:rFonts w:eastAsia="Times New Roman" w:cstheme="minorHAnsi"/>
          <w:b/>
          <w:lang w:eastAsia="es-ES"/>
        </w:rPr>
      </w:pPr>
    </w:p>
    <w:p w14:paraId="5E35E14D" w14:textId="77777777" w:rsidR="00CC761D" w:rsidRPr="00852846" w:rsidRDefault="00CC761D" w:rsidP="00F152C8">
      <w:pPr>
        <w:spacing w:before="120" w:after="0" w:line="252" w:lineRule="auto"/>
        <w:jc w:val="both"/>
        <w:rPr>
          <w:rFonts w:eastAsia="Times New Roman" w:cstheme="minorHAnsi"/>
          <w:b/>
          <w:lang w:eastAsia="es-ES"/>
        </w:rPr>
      </w:pPr>
    </w:p>
    <w:p w14:paraId="2FFF23AD" w14:textId="110A87A7" w:rsidR="001C012A" w:rsidRPr="001C012A" w:rsidRDefault="00CC761D" w:rsidP="001C012A">
      <w:pPr>
        <w:spacing w:before="180" w:after="180" w:line="240" w:lineRule="auto"/>
        <w:jc w:val="both"/>
        <w:rPr>
          <w:rFonts w:ascii="Verdana" w:eastAsia="Times New Roman" w:hAnsi="Verdana" w:cs="Times New Roman"/>
          <w:b/>
          <w:bCs/>
          <w:color w:val="333333"/>
        </w:rPr>
      </w:pPr>
      <w:r>
        <w:rPr>
          <w:b/>
        </w:rPr>
        <w:t>PROJET DE DÉCRET ROYAL RÉGLEMENTANT LES COMMUNICATIONS D'URGENCE PAR LE BIAIS DU NUMÉRO D'URGENCE UNIQUE 112</w:t>
      </w:r>
    </w:p>
    <w:p w14:paraId="34ADE8FD" w14:textId="19175AB2" w:rsidR="00CC761D" w:rsidRPr="005E74E6" w:rsidRDefault="00CC761D" w:rsidP="00F152C8">
      <w:pPr>
        <w:spacing w:before="120" w:after="0" w:line="252" w:lineRule="auto"/>
        <w:jc w:val="both"/>
        <w:rPr>
          <w:rFonts w:eastAsia="Times New Roman" w:cstheme="minorHAnsi"/>
        </w:rPr>
      </w:pPr>
    </w:p>
    <w:p w14:paraId="0ECFFC04" w14:textId="77777777" w:rsidR="00CC761D" w:rsidRPr="00852846" w:rsidRDefault="00CC761D" w:rsidP="00F152C8">
      <w:pPr>
        <w:spacing w:before="120" w:after="0" w:line="252" w:lineRule="auto"/>
        <w:jc w:val="both"/>
        <w:rPr>
          <w:rFonts w:eastAsia="Times New Roman" w:cstheme="minorHAnsi"/>
          <w:lang w:eastAsia="es-ES"/>
        </w:rPr>
      </w:pPr>
    </w:p>
    <w:p w14:paraId="5C03F194" w14:textId="77777777" w:rsidR="00CC761D" w:rsidRPr="00852846" w:rsidRDefault="00CC761D" w:rsidP="00F152C8">
      <w:pPr>
        <w:spacing w:before="120" w:after="0" w:line="252" w:lineRule="auto"/>
        <w:jc w:val="both"/>
        <w:rPr>
          <w:rFonts w:eastAsia="Times New Roman" w:cstheme="minorHAnsi"/>
          <w:lang w:eastAsia="es-ES"/>
        </w:rPr>
      </w:pPr>
    </w:p>
    <w:p w14:paraId="1E57A996" w14:textId="77777777" w:rsidR="00CC761D" w:rsidRPr="00852846" w:rsidRDefault="00CC761D" w:rsidP="00F152C8">
      <w:pPr>
        <w:spacing w:before="120" w:after="0" w:line="252" w:lineRule="auto"/>
        <w:jc w:val="both"/>
        <w:rPr>
          <w:rFonts w:eastAsia="Times New Roman" w:cstheme="minorHAnsi"/>
          <w:lang w:eastAsia="es-ES"/>
        </w:rPr>
      </w:pPr>
    </w:p>
    <w:p w14:paraId="2411ABC5" w14:textId="77777777" w:rsidR="00CC761D" w:rsidRPr="00852846" w:rsidRDefault="00CC761D" w:rsidP="00F152C8">
      <w:pPr>
        <w:spacing w:before="120" w:after="0" w:line="252" w:lineRule="auto"/>
        <w:jc w:val="both"/>
        <w:rPr>
          <w:rFonts w:eastAsia="Times New Roman" w:cstheme="minorHAnsi"/>
          <w:lang w:eastAsia="es-ES"/>
        </w:rPr>
      </w:pPr>
    </w:p>
    <w:p w14:paraId="54F77AF5" w14:textId="77777777" w:rsidR="00CC761D" w:rsidRPr="00852846" w:rsidRDefault="00CC761D" w:rsidP="00F152C8">
      <w:pPr>
        <w:spacing w:before="120" w:after="0" w:line="252" w:lineRule="auto"/>
        <w:jc w:val="both"/>
        <w:rPr>
          <w:rFonts w:eastAsia="Times New Roman" w:cstheme="minorHAnsi"/>
          <w:lang w:eastAsia="es-ES"/>
        </w:rPr>
      </w:pPr>
    </w:p>
    <w:p w14:paraId="3534F367" w14:textId="77777777" w:rsidR="00CC761D" w:rsidRPr="00852846" w:rsidRDefault="00CC761D" w:rsidP="00F152C8">
      <w:pPr>
        <w:spacing w:before="120" w:after="0" w:line="252" w:lineRule="auto"/>
        <w:jc w:val="both"/>
        <w:rPr>
          <w:rFonts w:eastAsia="Times New Roman" w:cstheme="minorHAnsi"/>
          <w:lang w:eastAsia="es-ES"/>
        </w:rPr>
      </w:pPr>
    </w:p>
    <w:p w14:paraId="4B6A8D8F" w14:textId="5E6C2EAB" w:rsidR="00CC761D" w:rsidRPr="005E74E6" w:rsidRDefault="00EA69EE" w:rsidP="00F152C8">
      <w:pPr>
        <w:spacing w:before="120" w:after="0" w:line="252" w:lineRule="auto"/>
        <w:jc w:val="right"/>
        <w:rPr>
          <w:rFonts w:eastAsia="Times New Roman" w:cstheme="minorHAnsi"/>
        </w:rPr>
      </w:pPr>
      <w:r>
        <w:rPr>
          <w:b/>
        </w:rPr>
        <w:t>24 Juin 2022</w:t>
      </w:r>
      <w:r>
        <w:br w:type="page"/>
      </w:r>
    </w:p>
    <w:p w14:paraId="51C58A4E" w14:textId="77777777" w:rsidR="00CC761D" w:rsidRPr="005E74E6" w:rsidRDefault="00CC761D" w:rsidP="00F152C8">
      <w:pPr>
        <w:keepNext/>
        <w:widowControl w:val="0"/>
        <w:spacing w:before="120" w:after="0" w:line="252" w:lineRule="auto"/>
        <w:jc w:val="center"/>
        <w:outlineLvl w:val="1"/>
        <w:rPr>
          <w:rFonts w:eastAsia="Times New Roman" w:cstheme="minorHAnsi"/>
          <w:b/>
        </w:rPr>
      </w:pPr>
      <w:r>
        <w:rPr>
          <w:b/>
        </w:rPr>
        <w:lastRenderedPageBreak/>
        <w:t>FICHE DE SYNTHĖSE</w:t>
      </w:r>
    </w:p>
    <w:p w14:paraId="2257A6A2" w14:textId="77777777" w:rsidR="00CC761D" w:rsidRPr="005E74E6" w:rsidRDefault="00CC761D" w:rsidP="00F152C8">
      <w:pPr>
        <w:spacing w:before="120" w:after="0" w:line="252" w:lineRule="auto"/>
        <w:jc w:val="both"/>
        <w:rPr>
          <w:rFonts w:eastAsia="Times New Roman" w:cstheme="minorHAnsi"/>
          <w:b/>
          <w:lang w:val="es-ES_tradnl" w:eastAsia="es-ES"/>
        </w:rPr>
      </w:pPr>
    </w:p>
    <w:tbl>
      <w:tblPr>
        <w:tblW w:w="9684" w:type="dxa"/>
        <w:jc w:val="center"/>
        <w:shd w:val="clear" w:color="auto" w:fill="EEFFEB"/>
        <w:tblLayout w:type="fixed"/>
        <w:tblLook w:val="0000" w:firstRow="0" w:lastRow="0" w:firstColumn="0" w:lastColumn="0" w:noHBand="0" w:noVBand="0"/>
      </w:tblPr>
      <w:tblGrid>
        <w:gridCol w:w="3077"/>
        <w:gridCol w:w="3300"/>
        <w:gridCol w:w="973"/>
        <w:gridCol w:w="863"/>
        <w:gridCol w:w="1471"/>
      </w:tblGrid>
      <w:tr w:rsidR="00CC4711" w:rsidRPr="005E74E6" w14:paraId="5A35B0FE" w14:textId="77777777" w:rsidTr="00EF3DB0">
        <w:trPr>
          <w:cantSplit/>
          <w:trHeight w:val="1000"/>
          <w:jc w:val="center"/>
        </w:trPr>
        <w:tc>
          <w:tcPr>
            <w:tcW w:w="3077"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7A05598"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Ministère/organisme à l’origine de la proposition</w:t>
            </w:r>
          </w:p>
        </w:tc>
        <w:tc>
          <w:tcPr>
            <w:tcW w:w="4273"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116E917A" w14:textId="7717EEB0" w:rsidR="00CC761D" w:rsidRPr="005E74E6" w:rsidRDefault="0088779E" w:rsidP="00E44330">
            <w:pPr>
              <w:pStyle w:val="ListParagraph1"/>
              <w:spacing w:before="120" w:after="0"/>
              <w:ind w:left="0"/>
              <w:rPr>
                <w:rFonts w:eastAsia="ヒラギノ角ゴ Pro W3" w:cstheme="minorHAnsi"/>
              </w:rPr>
            </w:pPr>
            <w:r>
              <w:rPr>
                <w:rFonts w:asciiTheme="minorHAnsi" w:hAnsiTheme="minorHAnsi"/>
              </w:rPr>
              <w:t>Ministère de l’Économie et de la Transformation numérique et ministère de l’Intérieur</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59CFB947" w14:textId="77777777" w:rsidR="00CC761D" w:rsidRPr="005E74E6" w:rsidRDefault="00CC761D" w:rsidP="00F152C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before="120" w:after="0" w:line="252" w:lineRule="auto"/>
              <w:rPr>
                <w:rFonts w:eastAsia="ヒラギノ角ゴ Pro W3" w:cstheme="minorHAnsi"/>
                <w:b/>
              </w:rPr>
            </w:pPr>
            <w:r>
              <w:rPr>
                <w:b/>
              </w:rPr>
              <w:t>Date</w:t>
            </w:r>
          </w:p>
        </w:tc>
        <w:tc>
          <w:tcPr>
            <w:tcW w:w="147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103CF55" w14:textId="231642CF" w:rsidR="00CC761D" w:rsidRPr="005E74E6" w:rsidRDefault="00094793" w:rsidP="00F152C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before="120" w:after="0" w:line="252" w:lineRule="auto"/>
              <w:rPr>
                <w:rFonts w:eastAsia="ヒラギノ角ゴ Pro W3" w:cstheme="minorHAnsi"/>
              </w:rPr>
            </w:pPr>
            <w:r>
              <w:t>24 Juin 2022</w:t>
            </w:r>
          </w:p>
        </w:tc>
      </w:tr>
      <w:tr w:rsidR="00CC4711" w:rsidRPr="005E74E6" w14:paraId="411A8948" w14:textId="77777777" w:rsidTr="00EF3DB0">
        <w:trPr>
          <w:cantSplit/>
          <w:trHeight w:val="13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8D3D431"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Titre de la réglementation</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180466C" w14:textId="56807DA3" w:rsidR="00CC761D" w:rsidRPr="00562B7C" w:rsidRDefault="0088779E" w:rsidP="0069121D">
            <w:pPr>
              <w:spacing w:before="120" w:after="0" w:line="252" w:lineRule="auto"/>
              <w:jc w:val="both"/>
              <w:rPr>
                <w:rFonts w:eastAsia="Times New Roman" w:cstheme="minorHAnsi"/>
              </w:rPr>
            </w:pPr>
            <w:r>
              <w:t>PROJET DE DÉCRET ROYAL RÉGLEMENTANT LES COMMUNICATIONS D'URGENCE PAR LE BIAIS DU NUMÉRO D'URGENCE UNIQUE 112</w:t>
            </w:r>
          </w:p>
        </w:tc>
      </w:tr>
      <w:tr w:rsidR="00CC4711" w:rsidRPr="005E74E6" w14:paraId="72D1883E" w14:textId="77777777" w:rsidTr="00EF3DB0">
        <w:trPr>
          <w:cantSplit/>
          <w:trHeight w:val="54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116626"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Type de rapport</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0889539" w14:textId="5A623AC0"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 xml:space="preserve">Normal  </w:t>
            </w:r>
            <w:r>
              <w:rPr>
                <w:noProof/>
              </w:rPr>
              <mc:AlternateContent>
                <mc:Choice Requires="wps">
                  <w:drawing>
                    <wp:inline distT="0" distB="0" distL="0" distR="0" wp14:anchorId="72228032" wp14:editId="5557ACE9">
                      <wp:extent cx="165100" cy="177800"/>
                      <wp:effectExtent l="0" t="0" r="25400" b="12700"/>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25837C19" w14:textId="7D9155BF" w:rsidR="00BE4635" w:rsidRPr="0033606B" w:rsidRDefault="00BE4635" w:rsidP="006279DD">
                                  <w:pPr>
                                    <w:pStyle w:val="Formatolibre"/>
                                    <w:rPr>
                                      <w:rFonts w:ascii="Times New Roman" w:eastAsia="Times New Roman" w:hAnsi="Times New Roman"/>
                                      <w:b/>
                                      <w:color w:val="auto"/>
                                      <w:sz w:val="20"/>
                                      <w:highlight w:val="black"/>
                                      <w:shd w:val="clear" w:color="auto" w:fill="000000" w:themeFill="text1"/>
                                      <w:vertAlign w:val="subscript"/>
                                    </w:rPr>
                                  </w:pPr>
                                  <w:r>
                                    <w:rPr>
                                      <w:rFonts w:ascii="Times New Roman" w:hAnsi="Times New Roman"/>
                                      <w:b/>
                                      <w:color w:val="auto"/>
                                      <w:sz w:val="20"/>
                                      <w:shd w:val="clear" w:color="auto" w:fill="000000" w:themeFill="text1"/>
                                      <w:vertAlign w:val="subscript"/>
                                    </w:rPr>
                                    <w:t>x</w:t>
                                  </w:r>
                                  <w:r>
                                    <w:rPr>
                                      <w:rFonts w:ascii="Times New Roman" w:hAnsi="Times New Roman"/>
                                      <w:b/>
                                      <w:color w:val="auto"/>
                                      <w:sz w:val="20"/>
                                      <w:highlight w:val="black"/>
                                      <w:shd w:val="clear" w:color="auto" w:fill="000000" w:themeFill="text1"/>
                                      <w:vertAlign w:val="subscript"/>
                                    </w:rPr>
                                    <w:t>x</w:t>
                                  </w:r>
                                </w:p>
                              </w:txbxContent>
                            </wps:txbx>
                            <wps:bodyPr rot="0" vert="horz" wrap="square" lIns="101600" tIns="101600" rIns="101600" bIns="101600" anchor="t" anchorCtr="0" upright="1">
                              <a:noAutofit/>
                            </wps:bodyPr>
                          </wps:wsp>
                        </a:graphicData>
                      </a:graphic>
                    </wp:inline>
                  </w:drawing>
                </mc:Choice>
                <mc:Fallback>
                  <w:pict>
                    <v:rect w14:anchorId="72228032" id="Rectangle 23"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bJ/wE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" fillcolor="black [3213]" strokeweight="1pt">
                      <v:path arrowok="t"/>
                      <v:textbox inset="8pt,8pt,8pt,8pt">
                        <w:txbxContent>
                          <w:p w14:paraId="25837C19" w14:textId="7D9155BF" w:rsidR="00BE4635" w:rsidRPr="0033606B" w:rsidRDefault="00BE4635" w:rsidP="006279DD">
                            <w:pPr>
                              <w:pStyle w:val="Formatolibre"/>
                              <w:rPr>
                                <w:b/>
                                <w:color w:val="auto"/>
                                <w:sz w:val="20"/>
                                <w:highlight w:val="black"/>
                                <w:shd w:val="clear" w:color="auto" w:fill="000000" w:themeFill="text1"/>
                                <w:vertAlign w:val="subscript"/>
                                <w:rFonts w:ascii="Times New Roman" w:eastAsia="Times New Roman" w:hAnsi="Times New Roman"/>
                              </w:rPr>
                            </w:pPr>
                            <w:r>
                              <w:rPr>
                                <w:b/>
                                <w:color w:val="auto"/>
                                <w:sz w:val="20"/>
                                <w:shd w:val="clear" w:color="auto" w:fill="000000" w:themeFill="text1"/>
                                <w:vertAlign w:val="subscript"/>
                                <w:rFonts w:ascii="Times New Roman" w:hAnsi="Times New Roman"/>
                              </w:rPr>
                              <w:t xml:space="preserve">x</w:t>
                            </w:r>
                            <w:r>
                              <w:rPr>
                                <w:b/>
                                <w:color w:val="auto"/>
                                <w:sz w:val="20"/>
                                <w:shd w:val="clear" w:color="auto" w:fill="000000" w:themeFill="text1"/>
                                <w:vertAlign w:val="subscript"/>
                                <w:highlight w:val="black"/>
                                <w:rFonts w:ascii="Times New Roman" w:hAnsi="Times New Roman"/>
                              </w:rPr>
                              <w:t xml:space="preserve">x</w:t>
                            </w:r>
                          </w:p>
                        </w:txbxContent>
                      </v:textbox>
                      <w10:anchorlock/>
                    </v:rect>
                  </w:pict>
                </mc:Fallback>
              </mc:AlternateContent>
            </w:r>
            <w:r>
              <w:t xml:space="preserve">                                  Abrégé    </w:t>
            </w:r>
            <w:r>
              <w:rPr>
                <w:noProof/>
              </w:rPr>
              <mc:AlternateContent>
                <mc:Choice Requires="wps">
                  <w:drawing>
                    <wp:inline distT="0" distB="0" distL="0" distR="0" wp14:anchorId="774CB6BC" wp14:editId="550B3538">
                      <wp:extent cx="165100" cy="177800"/>
                      <wp:effectExtent l="0" t="0" r="0" b="0"/>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3F131220" w14:textId="77777777" w:rsidR="00BE4635" w:rsidRDefault="00BE4635" w:rsidP="0031379C">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74CB6BC" 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pn+g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" filled="f" fillcolor="#333" strokeweight="1pt">
                      <v:path arrowok="t"/>
                      <v:textbox inset="8pt,8pt,8pt,8pt">
                        <w:txbxContent>
                          <w:p w14:paraId="3F131220" w14:textId="77777777" w:rsidR="00BE4635" w:rsidRDefault="00BE4635" w:rsidP="0031379C">
                            <w:pPr>
                              <w:pStyle w:val="Formatolibre"/>
                              <w:rPr>
                                <w:rFonts w:ascii="Times New Roman" w:eastAsia="Times New Roman" w:hAnsi="Times New Roman"/>
                                <w:color w:val="auto"/>
                                <w:sz w:val="20"/>
                                <w:lang w:val="es-ES" w:eastAsia="es-ES" w:bidi="x-none"/>
                              </w:rPr>
                            </w:pPr>
                          </w:p>
                        </w:txbxContent>
                      </v:textbox>
                      <w10:anchorlock/>
                    </v:rect>
                  </w:pict>
                </mc:Fallback>
              </mc:AlternateContent>
            </w:r>
          </w:p>
        </w:tc>
      </w:tr>
      <w:tr w:rsidR="00CC4711" w:rsidRPr="005E74E6" w14:paraId="0D49A803" w14:textId="77777777" w:rsidTr="00EF3DB0">
        <w:trPr>
          <w:cantSplit/>
          <w:trHeight w:val="746"/>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6B6498E0" w14:textId="3C808BAC" w:rsidR="00CC761D" w:rsidRPr="005E74E6" w:rsidRDefault="001C012A"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rPr>
            </w:pPr>
            <w:r>
              <w:rPr>
                <w:b/>
              </w:rPr>
              <w:t>BIEN-FONDÉ DE LA PROPOSITION</w:t>
            </w:r>
          </w:p>
        </w:tc>
      </w:tr>
      <w:tr w:rsidR="00CC4711" w:rsidRPr="005E74E6" w14:paraId="44F8044E" w14:textId="77777777" w:rsidTr="00EF3DB0">
        <w:trPr>
          <w:cantSplit/>
          <w:trHeight w:val="130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DBF3E73"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Domaines réglementés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tbl>
            <w:tblPr>
              <w:tblW w:w="0" w:type="auto"/>
              <w:tblBorders>
                <w:top w:val="nil"/>
                <w:left w:val="nil"/>
                <w:bottom w:val="nil"/>
                <w:right w:val="nil"/>
              </w:tblBorders>
              <w:tblLayout w:type="fixed"/>
              <w:tblLook w:val="0000" w:firstRow="0" w:lastRow="0" w:firstColumn="0" w:lastColumn="0" w:noHBand="0" w:noVBand="0"/>
            </w:tblPr>
            <w:tblGrid>
              <w:gridCol w:w="6261"/>
            </w:tblGrid>
            <w:tr w:rsidR="0088779E" w:rsidRPr="00627C4E" w14:paraId="7BCFDA8A" w14:textId="77777777" w:rsidTr="00B65B1C">
              <w:trPr>
                <w:trHeight w:val="252"/>
              </w:trPr>
              <w:tc>
                <w:tcPr>
                  <w:tcW w:w="6261" w:type="dxa"/>
                </w:tcPr>
                <w:p w14:paraId="77D1012B" w14:textId="3EB6DA42" w:rsidR="00800D7E" w:rsidRDefault="00EA69EE" w:rsidP="0033606B">
                  <w:pPr>
                    <w:jc w:val="both"/>
                    <w:rPr>
                      <w:rFonts w:cs="Arial"/>
                    </w:rPr>
                  </w:pPr>
                  <w:r>
                    <w:t>Ce décret royal met en œuvre l’article 74 de la loi générale sur les télécommunications 11/2022 du 28 juin 2022.</w:t>
                  </w:r>
                </w:p>
                <w:p w14:paraId="22FDA412" w14:textId="77777777" w:rsidR="00094793" w:rsidRDefault="00094793" w:rsidP="00094793">
                  <w:pPr>
                    <w:jc w:val="both"/>
                    <w:rPr>
                      <w:rFonts w:cs="Arial"/>
                    </w:rPr>
                  </w:pPr>
                </w:p>
                <w:p w14:paraId="691D6F5B" w14:textId="06F93F4A" w:rsidR="006414C9" w:rsidRPr="00094793" w:rsidRDefault="006414C9" w:rsidP="00094793">
                  <w:pPr>
                    <w:jc w:val="both"/>
                    <w:rPr>
                      <w:rFonts w:cstheme="minorHAnsi"/>
                    </w:rPr>
                  </w:pPr>
                  <w:r>
                    <w:t>Conformément à la stratégie pour un marché unique numérique de 2015, le code procède à la refonte et à la mise à jour — en un seul texte — du paquet de directives communautaires de 2002 (modifié en 2009): Directive 2002/19/CE du Parlement européen et du Conseil du 7 mars 2002 relative à l’accès aux réseaux de communications électroniques et aux ressources associées, ainsi qu’à leur interconnexion (directive «accès»), directive 2002/20/CE du Parlement européen et du Conseil du 7 mars 2002 relative à l’autorisation des réseaux et services de communications électroniques (directive «autorisation»), directive 2002/21/CE du Parlement européen et du Conseil du 7 mars 2002 relative à un cadre réglementaire commun pour les réseaux et services de communications électroniques (directive «cadre») et directive 2002/22/CE du Parlement européen et du Conseil du 7 mars 2002 concernant le service universel et les droits des utilisateurs au regard des réseaux et services de communications électroniques (directive «service universel»).</w:t>
                  </w:r>
                </w:p>
                <w:p w14:paraId="2945EE18" w14:textId="49EEC557" w:rsidR="006414C9" w:rsidRPr="00094793" w:rsidRDefault="006414C9" w:rsidP="006414C9">
                  <w:pPr>
                    <w:pStyle w:val="parrafo"/>
                    <w:jc w:val="both"/>
                    <w:rPr>
                      <w:rFonts w:asciiTheme="minorHAnsi" w:hAnsiTheme="minorHAnsi" w:cstheme="minorHAnsi"/>
                      <w:sz w:val="22"/>
                      <w:szCs w:val="22"/>
                    </w:rPr>
                  </w:pPr>
                  <w:r>
                    <w:rPr>
                      <w:rFonts w:asciiTheme="minorHAnsi" w:hAnsiTheme="minorHAnsi"/>
                      <w:sz w:val="22"/>
                    </w:rPr>
                    <w:t>Le code ne procède pas à une refonte de la directive 2002/58/CE du Parlement européen et du Conseil du 12 juillet 2002 concernant le traitement des données à caractère personnel et la protection de la vie privée dans le secteur des communications électroniques (directive vie privée et communications électroniques), étant donné qu’un règlement sur ce sujet est en cours d’élaboration, afin de mettre à jour et de remplacer la directive actuellement en vigueur. Toutefois, cette loi couvre les dispositions de cette directive qui restent en vigueur. Cette loi traite également d’autres aspects relevant de la notion générale de télécommunications, de sorte qu’elle comprend de nouvelles dispositions relatives aux équipements radioélectriques introduites par la directive 2014/53/UE du Parlement européen et du Conseil du 16 avril 2014 relative à l’harmonisation des législations des États membres concernant la mise à disposition sur le marché d’équipements radioélectriques et abrogeant la directive 1999/5/CE (directive sur les équipements radioélectriques, ou la directive RED), transposée en droit espagnol par le décret royal 188/2016 du 6 mai 2016 adoptant le règlement fixant les exigences relatives à la commercialisation, à la mise en service et à l’utilisation des équipements radioélectriques et régissant la procédure d’évaluation de la conformité, la surveillance du marché et le système de sanctions applicables aux équipements de télécommunications, qui reste en vigueur, conformément aux dispositions du titre IV.</w:t>
                  </w:r>
                </w:p>
                <w:p w14:paraId="7B944865" w14:textId="778C0421" w:rsidR="006414C9" w:rsidRPr="00094793" w:rsidRDefault="006414C9" w:rsidP="006414C9">
                  <w:pPr>
                    <w:pStyle w:val="parrafo"/>
                    <w:spacing w:before="0" w:after="0"/>
                    <w:jc w:val="both"/>
                    <w:rPr>
                      <w:rFonts w:asciiTheme="minorHAnsi" w:hAnsiTheme="minorHAnsi" w:cstheme="minorHAnsi"/>
                      <w:sz w:val="22"/>
                      <w:szCs w:val="22"/>
                    </w:rPr>
                  </w:pPr>
                  <w:r>
                    <w:rPr>
                      <w:rFonts w:asciiTheme="minorHAnsi" w:hAnsiTheme="minorHAnsi"/>
                      <w:sz w:val="22"/>
                    </w:rPr>
                    <w:lastRenderedPageBreak/>
                    <w:t xml:space="preserve">En outre, et même si ces règlements s’appliquent directement ou ont déjà été transposés en droit espagnol, dans un souci de cohérence et de sécurité juridique, la présente loi générale sur le secteur inclut également les principaux aspects des règles du décret royal no 330/2016 du 9 septembre 2016 relatif aux mesures visant à réduire le coût du déploiement des réseaux de communications électroniques à haut débit, qui transpose la directive 2014/61/UE du Parlement européen et du Conseil du 15 mai 2014 (ci-après la «directive </w:t>
                  </w:r>
                  <w:proofErr w:type="spellStart"/>
                  <w:r>
                    <w:rPr>
                      <w:rFonts w:asciiTheme="minorHAnsi" w:hAnsiTheme="minorHAnsi"/>
                      <w:sz w:val="22"/>
                    </w:rPr>
                    <w:t>BBCost</w:t>
                  </w:r>
                  <w:proofErr w:type="spellEnd"/>
                  <w:r>
                    <w:rPr>
                      <w:rFonts w:asciiTheme="minorHAnsi" w:hAnsiTheme="minorHAnsi"/>
                      <w:sz w:val="22"/>
                    </w:rPr>
                    <w:t>»), qui reste en vigueur en tant que règlement d’application, les garanties relatives à la neutralité du réseau de l’Union figurant dans le règlement (UE) 2015/2120 du Parlement européen et du Conseil du 25 novembre 2015 établissant des mesures relatives à l’accès à un internet ouvert et aux plans tarifaires de détail du règlement pour les communications intracommunautaires réglementées et modifiant la directive 2002/22/CE et le règlement (UE) n° 531/2012 concernant l’itinérance sur les réseaux publics de communications mobiles à l’intérieur de l’Union (le règlement TSM), ainsi que certains aspects de la directive 2014/30/EU du Parlement européen et du Conseil du 26 février 2014 relative à l’harmonisation des législations des États Membres concernant la compatibilité électromagnétique et le règlement (UE) n° 531/2012 du Parlement européen et du Conseil du 13 juin 2012 concernant l’itinérance sur les réseaux publics de communications mobiles à l’intérieur de l’Union.</w:t>
                  </w:r>
                </w:p>
                <w:p w14:paraId="246BE176" w14:textId="13602516" w:rsidR="006414C9" w:rsidRPr="00094793" w:rsidRDefault="004732F0" w:rsidP="006414C9">
                  <w:pPr>
                    <w:autoSpaceDE w:val="0"/>
                    <w:autoSpaceDN w:val="0"/>
                    <w:adjustRightInd w:val="0"/>
                    <w:spacing w:before="120" w:after="0" w:line="252" w:lineRule="auto"/>
                    <w:ind w:left="-28"/>
                    <w:jc w:val="both"/>
                    <w:rPr>
                      <w:rFonts w:cstheme="minorHAnsi"/>
                      <w:color w:val="000000"/>
                    </w:rPr>
                  </w:pPr>
                  <w:r>
                    <w:t>L’article 109 du Code européen, et donc aussi cette nouvelle loi générale sur les télécommunications, réglemente les communications d’urgence au numéro unique européen 112, mis en œuvre par ce décret royal.</w:t>
                  </w:r>
                </w:p>
                <w:p w14:paraId="0CCBA6EF" w14:textId="7F601754" w:rsidR="006414C9" w:rsidRPr="00627C4E" w:rsidRDefault="006414C9" w:rsidP="00800311">
                  <w:pPr>
                    <w:autoSpaceDE w:val="0"/>
                    <w:autoSpaceDN w:val="0"/>
                    <w:adjustRightInd w:val="0"/>
                    <w:spacing w:before="120" w:after="0" w:line="252" w:lineRule="auto"/>
                    <w:ind w:left="-28"/>
                    <w:jc w:val="both"/>
                    <w:rPr>
                      <w:rFonts w:cs="Arial"/>
                      <w:color w:val="000000"/>
                      <w:sz w:val="20"/>
                      <w:szCs w:val="20"/>
                      <w:lang w:eastAsia="es-ES"/>
                    </w:rPr>
                  </w:pPr>
                </w:p>
              </w:tc>
            </w:tr>
          </w:tbl>
          <w:p w14:paraId="6FFFD76B" w14:textId="156FFA74" w:rsidR="00CC761D" w:rsidRPr="00852846" w:rsidRDefault="00CC761D" w:rsidP="00F152C8">
            <w:pPr>
              <w:spacing w:before="120" w:after="0" w:line="252" w:lineRule="auto"/>
              <w:jc w:val="both"/>
              <w:rPr>
                <w:rFonts w:eastAsia="Times New Roman" w:cstheme="minorHAnsi"/>
                <w:lang w:eastAsia="es-ES"/>
              </w:rPr>
            </w:pPr>
          </w:p>
        </w:tc>
      </w:tr>
      <w:tr w:rsidR="0088779E" w:rsidRPr="005E74E6" w14:paraId="223AC2B4" w14:textId="77777777" w:rsidTr="00EF3DB0">
        <w:trPr>
          <w:trHeight w:val="10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B45820E" w14:textId="77777777" w:rsidR="0088779E"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Objectifs</w:t>
            </w:r>
          </w:p>
          <w:p w14:paraId="5B182B51"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942BA9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FFDDA00"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8A0F7F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2564B0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389F6A8"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EC86912"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973A073"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3DF0524"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DD4F3BF"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D97ACA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EC8047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5A6156F3"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35187CF"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9D400B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52D4C1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5CE0599"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BB98B3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81F4FA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44028EA"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C6E7206"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41921ED"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3376175"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EA28F9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D6C1FC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80CC3E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CC54DBD"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844220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BF2FB52"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3A074A5"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DA7C186"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7B7F484"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72C46B0"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8A0CCDD"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BE02EF3"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275F312"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1FAEEBA"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2A532B6"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6971B21"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9C9F57B" w14:textId="25E01EC1" w:rsidR="006E3CBC" w:rsidRPr="005E74E6" w:rsidRDefault="006E3CBC" w:rsidP="008E033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7F5D07AC" w14:textId="77777777" w:rsidR="00800D7E" w:rsidRPr="001A3535" w:rsidRDefault="00800D7E" w:rsidP="00B524BF">
            <w:pPr>
              <w:pStyle w:val="ListParagraph"/>
              <w:ind w:left="222"/>
              <w:contextualSpacing w:val="0"/>
              <w:jc w:val="both"/>
              <w:rPr>
                <w:rFonts w:cstheme="minorHAnsi"/>
              </w:rPr>
            </w:pPr>
          </w:p>
          <w:p w14:paraId="210BA2E6" w14:textId="513F9F75" w:rsidR="00800D7E" w:rsidRPr="001A3535" w:rsidRDefault="00800D7E" w:rsidP="00B524BF">
            <w:pPr>
              <w:pStyle w:val="ListParagraph"/>
              <w:ind w:left="222"/>
              <w:contextualSpacing w:val="0"/>
              <w:jc w:val="both"/>
              <w:rPr>
                <w:rFonts w:cstheme="minorHAnsi"/>
              </w:rPr>
            </w:pPr>
            <w:r>
              <w:t>L’objectif principal de ce décret royal est de mettre en œuvre l’article 74 de la loi générale sur les télécommunications 11/2022 du 28 juin 2018, qui a transposé en droit espagnol l’article 109 de la directive (UE) 2018/1972 du Parlement européen et du Conseil du 11 décembre 2018 établissant le code des communications électroniques européen, et régit le numéro d’urgence unique européen 112.</w:t>
            </w:r>
          </w:p>
          <w:p w14:paraId="3DB57483" w14:textId="75B15A24" w:rsidR="00B524BF" w:rsidRPr="001A3535" w:rsidRDefault="00B524BF" w:rsidP="00094793">
            <w:pPr>
              <w:jc w:val="both"/>
              <w:rPr>
                <w:rFonts w:cstheme="minorHAnsi"/>
              </w:rPr>
            </w:pPr>
          </w:p>
          <w:p w14:paraId="52BF4BF1" w14:textId="2FCFED7D" w:rsidR="005F03C8" w:rsidRPr="001A3535" w:rsidRDefault="005F03C8" w:rsidP="0073618E">
            <w:pPr>
              <w:pStyle w:val="ListParagraph"/>
              <w:ind w:left="222"/>
              <w:contextualSpacing w:val="0"/>
              <w:jc w:val="both"/>
              <w:rPr>
                <w:rFonts w:cstheme="minorHAnsi"/>
              </w:rPr>
            </w:pPr>
            <w:r>
              <w:t>Le présent décret royal vise à:</w:t>
            </w:r>
          </w:p>
          <w:p w14:paraId="0FD1326C" w14:textId="77777777" w:rsidR="005F03C8" w:rsidRPr="001A3535" w:rsidRDefault="005F03C8" w:rsidP="006E376E">
            <w:pPr>
              <w:numPr>
                <w:ilvl w:val="0"/>
                <w:numId w:val="3"/>
              </w:numPr>
              <w:spacing w:after="200" w:line="276" w:lineRule="auto"/>
              <w:contextualSpacing/>
              <w:jc w:val="both"/>
              <w:rPr>
                <w:rFonts w:cstheme="minorHAnsi"/>
              </w:rPr>
            </w:pPr>
            <w:r>
              <w:t>assurer le maintien d’un accès optimal et de l’intégrité et de la continuité du service de communications d’urgence;</w:t>
            </w:r>
          </w:p>
          <w:p w14:paraId="678812DA" w14:textId="3919881D" w:rsidR="005F03C8" w:rsidRPr="001A3535" w:rsidRDefault="005F03C8" w:rsidP="006E376E">
            <w:pPr>
              <w:numPr>
                <w:ilvl w:val="0"/>
                <w:numId w:val="3"/>
              </w:numPr>
              <w:spacing w:after="200" w:line="276" w:lineRule="auto"/>
              <w:contextualSpacing/>
              <w:jc w:val="both"/>
              <w:rPr>
                <w:rFonts w:cstheme="minorHAnsi"/>
              </w:rPr>
            </w:pPr>
            <w:r>
              <w:t xml:space="preserve">veiller à ce que les réseaux, installations et dispositifs visés par la présente loi puissent atteindre avec succès le service </w:t>
            </w:r>
            <w:r>
              <w:lastRenderedPageBreak/>
              <w:t>d’intervention d’urgence 112 avec des communications d’urgence;</w:t>
            </w:r>
          </w:p>
          <w:p w14:paraId="6A48292F" w14:textId="67644585" w:rsidR="005F03C8" w:rsidRPr="001A3535" w:rsidRDefault="005F03C8" w:rsidP="006E376E">
            <w:pPr>
              <w:numPr>
                <w:ilvl w:val="0"/>
                <w:numId w:val="3"/>
              </w:numPr>
              <w:spacing w:after="200" w:line="276" w:lineRule="auto"/>
              <w:contextualSpacing/>
              <w:jc w:val="both"/>
              <w:rPr>
                <w:rFonts w:cstheme="minorHAnsi"/>
              </w:rPr>
            </w:pPr>
            <w:r>
              <w:t>fournir les informations de localisation les plus précises disponibles pour les communications d’urgence avec le service d’intervention d’urgence 112;</w:t>
            </w:r>
          </w:p>
          <w:p w14:paraId="56D6ABB3" w14:textId="1F2516F0" w:rsidR="00D33A11" w:rsidRPr="001A3535" w:rsidRDefault="007F0073" w:rsidP="006E376E">
            <w:pPr>
              <w:pStyle w:val="ListParagraph"/>
              <w:numPr>
                <w:ilvl w:val="0"/>
                <w:numId w:val="3"/>
              </w:numPr>
              <w:spacing w:after="200" w:line="276" w:lineRule="auto"/>
              <w:jc w:val="both"/>
              <w:rPr>
                <w:rFonts w:cstheme="minorHAnsi"/>
                <w:bCs/>
              </w:rPr>
            </w:pPr>
            <w:r>
              <w:t>veiller à ce que les utilisateurs finaux handicapés puissent accéder au service d’intervention d’urgence 112 dans des conditions équivalentes à celles des autres utilisateurs.</w:t>
            </w:r>
          </w:p>
          <w:p w14:paraId="111EE81A" w14:textId="77777777" w:rsidR="005F03C8" w:rsidRPr="001A3535" w:rsidRDefault="005F03C8" w:rsidP="005F03C8">
            <w:pPr>
              <w:spacing w:after="200" w:line="276" w:lineRule="auto"/>
              <w:ind w:left="720"/>
              <w:contextualSpacing/>
              <w:jc w:val="both"/>
              <w:rPr>
                <w:rFonts w:cstheme="minorHAnsi"/>
              </w:rPr>
            </w:pPr>
          </w:p>
          <w:p w14:paraId="755910EA" w14:textId="214805EE" w:rsidR="005F03C8" w:rsidRPr="001A3535" w:rsidRDefault="00D33A11" w:rsidP="00C84BD8">
            <w:pPr>
              <w:jc w:val="both"/>
              <w:rPr>
                <w:rFonts w:eastAsia="Calibri" w:cstheme="minorHAnsi"/>
              </w:rPr>
            </w:pPr>
            <w:r>
              <w:t>L’un des principaux objectifs du présent décret est de mettre en œuvre le système de l'AML en Espagne, c’est-à-dire de fournir aux services d’urgence des informations de localisation de l’appelant fondées sur le terminal mobile.</w:t>
            </w:r>
          </w:p>
          <w:p w14:paraId="77ADEDEC" w14:textId="77777777" w:rsidR="00094793" w:rsidRPr="001A3535" w:rsidRDefault="00C84BD8" w:rsidP="00C84BD8">
            <w:pPr>
              <w:jc w:val="both"/>
              <w:rPr>
                <w:rFonts w:eastAsia="Calibri" w:cstheme="minorHAnsi"/>
              </w:rPr>
            </w:pPr>
            <w:r>
              <w:t>Ce système, les informations relatives à la localisation de l’appelant sur la base du terminal mobile, est prévue dans la directive établissant le code des communications électroniques européen, dont l’article 109, paragraphe 6, dispose que les informations relatives à la localisation de l’appelant d’urgence comprennent des informations de localisation fondées sur le réseau et, le cas échéant, des informations sur la localisation de l’appelant provenant des téléphones.</w:t>
            </w:r>
          </w:p>
          <w:p w14:paraId="350C8F00" w14:textId="68157C89" w:rsidR="00800D7E" w:rsidRPr="001A3535" w:rsidRDefault="00800D7E" w:rsidP="00094793">
            <w:pPr>
              <w:pStyle w:val="parrafo"/>
              <w:jc w:val="both"/>
              <w:rPr>
                <w:rFonts w:asciiTheme="minorHAnsi" w:hAnsiTheme="minorHAnsi" w:cstheme="minorHAnsi"/>
                <w:sz w:val="22"/>
                <w:szCs w:val="22"/>
              </w:rPr>
            </w:pPr>
            <w:r>
              <w:rPr>
                <w:rFonts w:asciiTheme="minorHAnsi" w:hAnsiTheme="minorHAnsi"/>
                <w:sz w:val="22"/>
              </w:rPr>
              <w:t>Ainsi, et afin de transposer ce paragraphe, l’article 74, paragraphe 2, de la loi générale sur les télécommunications 11/2022 du 28 juin 2022 précise que les opérateurs fournissent aux autorités qui reçoivent ces communications les informations d’urgence, spécifiées par décret royal, concernant la localisation des personnes effectuant la communication d’urgence, immédiatement après la mise en place de la communication. La génération et le transfert des informations de localisation de l’appelant sont gratuits, tant pour l’appelant que pour les autorités qui reçoivent ces communications d’urgence, lorsqu’ils utilisent le numéro d’urgence 112 ou d’autres numéros d’urgence spécifiés.</w:t>
            </w:r>
          </w:p>
          <w:p w14:paraId="3DD6C32C" w14:textId="5AD73347" w:rsidR="00800D7E" w:rsidRPr="001A3535" w:rsidRDefault="00B42D64" w:rsidP="00094793">
            <w:pPr>
              <w:pStyle w:val="parrafo"/>
              <w:jc w:val="both"/>
              <w:rPr>
                <w:rFonts w:asciiTheme="minorHAnsi" w:hAnsiTheme="minorHAnsi" w:cstheme="minorHAnsi"/>
                <w:sz w:val="22"/>
                <w:szCs w:val="22"/>
              </w:rPr>
            </w:pPr>
            <w:r>
              <w:rPr>
                <w:rFonts w:asciiTheme="minorHAnsi" w:hAnsiTheme="minorHAnsi"/>
                <w:sz w:val="22"/>
              </w:rPr>
              <w:t>Ce même paragraphe confère aux autorités le pouvoir de fixer, par décret royal, des critères relatifs à l’exactitude et à la fiabilité des informations fournies sur la localisation des personnes effectuant des communications d’urgence aux services d’urgence.</w:t>
            </w:r>
          </w:p>
          <w:p w14:paraId="67E02555" w14:textId="1B577D1F" w:rsidR="00086B0A" w:rsidRPr="001A3535" w:rsidRDefault="00B42D64" w:rsidP="00086B0A">
            <w:pPr>
              <w:jc w:val="both"/>
              <w:rPr>
                <w:rFonts w:eastAsia="Calibri" w:cstheme="minorHAnsi"/>
              </w:rPr>
            </w:pPr>
            <w:r>
              <w:t xml:space="preserve">Ce décret royal fait donc du système AML une réalité en Espagne, surmontant ainsi les obstacles à sa mise en œuvre. Pour cela, les autorités ont créé un groupe de travail composé du personnel du ministère de l’Économie et de la Transformation numérique et du ministère de l’Intérieur, des représentants ou gestionnaires et opérateurs du 112 qui ont analysé les implications techniques, économiques et juridiques de son utilisation et créé avec succès un point de réception unique pour les informations de localisation, en particulier </w:t>
            </w:r>
            <w:r>
              <w:lastRenderedPageBreak/>
              <w:t>au ministère de l’Intérieur, qui à son tour transmettra ces informations aux centres d’appel d’urgence du 112.</w:t>
            </w:r>
          </w:p>
          <w:p w14:paraId="22EBFEDE" w14:textId="0667D094" w:rsidR="0068307E" w:rsidRPr="001A3535" w:rsidRDefault="00367C5A" w:rsidP="006167FD">
            <w:pPr>
              <w:jc w:val="both"/>
              <w:rPr>
                <w:rFonts w:eastAsia="Calibri" w:cstheme="minorHAnsi"/>
              </w:rPr>
            </w:pPr>
            <w:r>
              <w:t>Selon la Commission européenne, 15 États membres offrent actuellement le système AML. Ce décret verrait l’Espagne rejoindre le groupe d’États membres qui disposent déjà du système AML.</w:t>
            </w:r>
          </w:p>
          <w:p w14:paraId="54DA4467" w14:textId="1D5CB471" w:rsidR="006167FD" w:rsidRPr="001A3535" w:rsidRDefault="0033606B" w:rsidP="006167FD">
            <w:pPr>
              <w:jc w:val="both"/>
              <w:rPr>
                <w:rFonts w:eastAsia="Calibri" w:cstheme="minorHAnsi"/>
              </w:rPr>
            </w:pPr>
            <w:r>
              <w:t>Un autre objectif de ce décret est d’assurer l’égalité d’accès aux services d’urgence par l’intermédiaire du 112 pour les personnes handicapées. À cet égard, le décret royal contient des dispositions garantissant que l’accès aux services d’urgence est accessible aux utilisateurs finaux handicapés et équivalent à celui dont bénéficient les autres utilisateurs finaux. En outre, ce décret garantit que les utilisateurs handicapés d’autres États membres peuvent accéder aux services d’urgence dans des conditions équivalentes à celles des autres utilisateurs finaux. Il précise également que les utilisateurs finaux doivent recevoir des informations sur les caractéristiques d’accessibilité du 112.</w:t>
            </w:r>
          </w:p>
          <w:p w14:paraId="22BF5C0A" w14:textId="35BCEA70" w:rsidR="006E3050" w:rsidRPr="001A3535" w:rsidRDefault="006E3050" w:rsidP="00D75E83">
            <w:pPr>
              <w:jc w:val="both"/>
              <w:rPr>
                <w:rFonts w:cstheme="minorHAnsi"/>
              </w:rPr>
            </w:pPr>
          </w:p>
        </w:tc>
      </w:tr>
      <w:tr w:rsidR="00CF2D78" w:rsidRPr="005E74E6" w14:paraId="4F142E10" w14:textId="77777777" w:rsidTr="00EF3DB0">
        <w:trPr>
          <w:trHeight w:val="10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56E4461" w14:textId="7D761A21" w:rsidR="00CF2D78" w:rsidRPr="005E74E6" w:rsidRDefault="008E0339"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Principales solutions envisagées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0C881650" w14:textId="34940DAE" w:rsidR="00CF2D78" w:rsidRDefault="00286A20" w:rsidP="006E376E">
            <w:pPr>
              <w:pStyle w:val="ListParagraph"/>
              <w:numPr>
                <w:ilvl w:val="0"/>
                <w:numId w:val="5"/>
              </w:numPr>
              <w:contextualSpacing w:val="0"/>
              <w:jc w:val="both"/>
              <w:rPr>
                <w:rFonts w:cs="Arial"/>
              </w:rPr>
            </w:pPr>
            <w:r>
              <w:t>Les autorités ont exclu le maintien du statu quo, étant donné qu’après la transposition en droit espagnol de la directive (UE) 2018/1972 du Parlement européen et du Conseil du 11 décembre 2018 établissant le code des communications électroniques européen, par l’adoption de la loi générale sur les télécommunications</w:t>
            </w:r>
            <w:r>
              <w:rPr>
                <w:rFonts w:ascii="Calibri" w:hAnsi="Calibri"/>
              </w:rPr>
              <w:t xml:space="preserve"> </w:t>
            </w:r>
            <w:r>
              <w:rPr>
                <w:sz w:val="24"/>
              </w:rPr>
              <w:t>11/2022 du 28 juin 2022</w:t>
            </w:r>
            <w:r>
              <w:t>, il est maintenant nécessaire de satisfaire les exigences de mise en œuvre énoncées à l’article 74, paragraphes 2 et 3, ainsi qu’à d’autres aspects du même article qui nécessitent une mise en œuvre ou des spécifications supplémentaires.</w:t>
            </w:r>
          </w:p>
          <w:p w14:paraId="6DF38379" w14:textId="2021325F" w:rsidR="00EB0257" w:rsidRDefault="004732F0" w:rsidP="006E376E">
            <w:pPr>
              <w:pStyle w:val="ListParagraph"/>
              <w:numPr>
                <w:ilvl w:val="0"/>
                <w:numId w:val="5"/>
              </w:numPr>
              <w:contextualSpacing w:val="0"/>
              <w:jc w:val="both"/>
              <w:rPr>
                <w:rFonts w:cs="Arial"/>
              </w:rPr>
            </w:pPr>
            <w:r>
              <w:t>Le code européen des communications, en ce qui concerne les appels, autorise la limitation du service aux communications vocales et leur équivalent pour les utilisateurs finaux handicapés.</w:t>
            </w:r>
          </w:p>
          <w:p w14:paraId="2136C2C2" w14:textId="08831837" w:rsidR="00BB3F15" w:rsidRDefault="00CD40DA" w:rsidP="00EB0257">
            <w:pPr>
              <w:pStyle w:val="ListParagraph"/>
              <w:ind w:left="582"/>
              <w:contextualSpacing w:val="0"/>
              <w:jc w:val="both"/>
              <w:rPr>
                <w:rFonts w:cs="Arial"/>
              </w:rPr>
            </w:pPr>
            <w:r>
              <w:t xml:space="preserve">Dans </w:t>
            </w:r>
            <w:r>
              <w:rPr>
                <w:rFonts w:ascii="Calibri" w:hAnsi="Calibri"/>
              </w:rPr>
              <w:t xml:space="preserve">l’article 74, paragraphe 2, de la </w:t>
            </w:r>
            <w:r>
              <w:rPr>
                <w:sz w:val="24"/>
              </w:rPr>
              <w:t>loi générale sur les télécommunications 11/2022 du 28 juin 2022,</w:t>
            </w:r>
            <w:r>
              <w:t xml:space="preserve"> l’Espagne n’a opté que pour les services de communication vocale (et leur équivalent pour les utilisateurs handicapés), et n’a pas initialement inclus d’autres options pour communiquer avec les services d’urgence, car, bien que les autorités aient considéré cette option, elles ont été dissuadées à ce moment-là par les difficultés techniques potentielles pour les centres d’appels d’urgence existants sur l’ensemble du territoire espagnol. Par conséquent, pour garantir la qualité du service, ils ont opté pour cette approche.</w:t>
            </w:r>
          </w:p>
          <w:p w14:paraId="5BAE222F" w14:textId="64715D68" w:rsidR="00C27CDA" w:rsidRDefault="00BB3F15" w:rsidP="00EB0257">
            <w:pPr>
              <w:pStyle w:val="ListParagraph"/>
              <w:ind w:left="582"/>
              <w:contextualSpacing w:val="0"/>
              <w:jc w:val="both"/>
              <w:rPr>
                <w:rFonts w:cs="Arial"/>
              </w:rPr>
            </w:pPr>
            <w:r>
              <w:lastRenderedPageBreak/>
              <w:t>Ce décret royal a hérité de cette approche, mais en outre, compte tenu de l’évolution rapide des services de communications électroniques non vocales et des environnements connexes, ainsi que de la possibilité d’avantages sociétaux immédiats de cette évolution et de ces avancées, sa deuxième disposition supplémentaire offre la possibilité d’inclure ou de réglementer ultérieurement d’autres options et systèmes de communication non vocale, par arrêté ministériel.</w:t>
            </w:r>
          </w:p>
          <w:p w14:paraId="52422863" w14:textId="140485A7" w:rsidR="00286A20" w:rsidRPr="00B709B4" w:rsidRDefault="00286A20" w:rsidP="00CD40DA">
            <w:pPr>
              <w:pStyle w:val="ListParagraph"/>
              <w:ind w:left="222"/>
              <w:contextualSpacing w:val="0"/>
              <w:jc w:val="both"/>
              <w:rPr>
                <w:rFonts w:cs="Arial"/>
              </w:rPr>
            </w:pPr>
          </w:p>
        </w:tc>
      </w:tr>
      <w:tr w:rsidR="0088779E" w:rsidRPr="005E74E6" w14:paraId="7DDFDB58" w14:textId="77777777" w:rsidTr="00EF3DB0">
        <w:trPr>
          <w:cantSplit/>
          <w:trHeight w:val="688"/>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313FF67D" w14:textId="1BF46C71" w:rsidR="0088779E" w:rsidRPr="005E74E6" w:rsidRDefault="009710A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rPr>
            </w:pPr>
            <w:r>
              <w:rPr>
                <w:b/>
              </w:rPr>
              <w:lastRenderedPageBreak/>
              <w:t>CONTENU, ANALYSE JURIDIQUE ET DESCRIPTION DU PROCESSUS</w:t>
            </w:r>
          </w:p>
        </w:tc>
      </w:tr>
      <w:tr w:rsidR="0088779E" w:rsidRPr="005E74E6" w14:paraId="2341EB0A" w14:textId="77777777" w:rsidTr="00EF3DB0">
        <w:trPr>
          <w:cantSplit/>
          <w:trHeight w:val="3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FEEB92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Type de règlement</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442D71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Décret royal</w:t>
            </w:r>
          </w:p>
        </w:tc>
      </w:tr>
      <w:tr w:rsidR="0088779E" w:rsidRPr="005E74E6" w14:paraId="745B2F97" w14:textId="77777777" w:rsidTr="00EF3DB0">
        <w:trPr>
          <w:cantSplit/>
          <w:trHeight w:val="49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E2B121"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Structure du règlement</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DB2184E" w14:textId="1045D37D" w:rsidR="0088779E" w:rsidRPr="005E74E6" w:rsidRDefault="0088779E" w:rsidP="007B11D5">
            <w:pPr>
              <w:spacing w:before="120" w:after="0" w:line="252" w:lineRule="auto"/>
              <w:jc w:val="both"/>
              <w:rPr>
                <w:rFonts w:eastAsia="Times New Roman" w:cstheme="minorHAnsi"/>
              </w:rPr>
            </w:pPr>
            <w:r>
              <w:t>Le présent décret royal se compose d’un préambule ou d’un dispositif, de 15 articles, de 3 dispositions supplémentaires, 1 disposition abrogatoire et 3 dispositions finales.</w:t>
            </w:r>
          </w:p>
        </w:tc>
      </w:tr>
      <w:tr w:rsidR="0088779E" w:rsidRPr="005E74E6" w14:paraId="19966ADB" w14:textId="77777777" w:rsidTr="00EF3DB0">
        <w:trPr>
          <w:trHeight w:val="61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93DAA17" w14:textId="7914949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Processus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14BC05B8" w14:textId="4B3A13DA" w:rsidR="00122FFF" w:rsidRPr="008F2EB2" w:rsidRDefault="00273D8C" w:rsidP="00F152C8">
            <w:pPr>
              <w:spacing w:before="120" w:after="0" w:line="252" w:lineRule="auto"/>
              <w:jc w:val="both"/>
              <w:rPr>
                <w:rFonts w:cs="Arial"/>
              </w:rPr>
            </w:pPr>
            <w:r>
              <w:t>Conformément à l’article 133, paragraphe 1, de la loi 39/2015 du 1er octobre 2015 relative aux procédures administratives communes dans l’administration publique, le projet de décret royal a été soumis à la procédure de consultation publique par publication sur le site internet du ministère de l’Économie et de la Transformation numérique, du 4 février 2020 au 2 mars 2020.</w:t>
            </w:r>
          </w:p>
          <w:p w14:paraId="4E0F58F0" w14:textId="77777777" w:rsidR="001A3535" w:rsidRDefault="001A3535" w:rsidP="00562B7C">
            <w:pPr>
              <w:spacing w:before="120" w:after="0" w:line="252" w:lineRule="auto"/>
              <w:jc w:val="both"/>
              <w:rPr>
                <w:rFonts w:cs="Arial"/>
              </w:rPr>
            </w:pPr>
          </w:p>
          <w:p w14:paraId="09253E9A" w14:textId="356BF8B3" w:rsidR="0088779E" w:rsidRDefault="00273D8C" w:rsidP="00562B7C">
            <w:pPr>
              <w:spacing w:before="120" w:after="0" w:line="252" w:lineRule="auto"/>
              <w:jc w:val="both"/>
              <w:rPr>
                <w:rFonts w:cs="Arial"/>
              </w:rPr>
            </w:pPr>
            <w:r>
              <w:t>Conformément à l’article 133, paragraphe 2, de la loi 39/2015 du 1er octobre 2015 relative aux procédures administratives communes dans l’administration publique, le texte doit être soumis pour une audition publique qui s’est tenue du 29 juillet au 15 septembre 2021.</w:t>
            </w:r>
          </w:p>
          <w:p w14:paraId="5967E857" w14:textId="77777777" w:rsidR="00CE7887" w:rsidRDefault="00CE7887" w:rsidP="00562B7C">
            <w:pPr>
              <w:spacing w:before="120" w:after="0" w:line="252" w:lineRule="auto"/>
              <w:jc w:val="both"/>
              <w:rPr>
                <w:rFonts w:cs="Arial"/>
              </w:rPr>
            </w:pPr>
          </w:p>
          <w:p w14:paraId="5B70218D" w14:textId="3C614F0A" w:rsidR="006C45A7" w:rsidRDefault="00CE7887" w:rsidP="00562B7C">
            <w:pPr>
              <w:spacing w:before="120" w:after="0" w:line="252" w:lineRule="auto"/>
              <w:jc w:val="both"/>
              <w:rPr>
                <w:rFonts w:cs="Arial"/>
              </w:rPr>
            </w:pPr>
            <w:r>
              <w:t>En outre, la nature des compétences et de l’objet réglementé nécessite une procédure spéciale d’audition et de participation pour les communautés autonomes et les villes, ainsi qu’une procédure de notification préalable pour l’Union européenne conformément à la directive (UE) 2015/1535 du Parlement européen et du Conseil prévoyant une procédure d’information dans le domaine des réglementations techniques et des règles relatives aux services de la société de l’information.</w:t>
            </w:r>
          </w:p>
          <w:p w14:paraId="6594D403" w14:textId="792D5704" w:rsidR="006C45A7" w:rsidRPr="00627C4E" w:rsidRDefault="006C45A7" w:rsidP="00562B7C">
            <w:pPr>
              <w:spacing w:before="120" w:after="0" w:line="252" w:lineRule="auto"/>
              <w:jc w:val="both"/>
              <w:rPr>
                <w:rFonts w:cs="Arial"/>
              </w:rPr>
            </w:pPr>
          </w:p>
        </w:tc>
      </w:tr>
      <w:tr w:rsidR="0088779E" w:rsidRPr="005E74E6" w14:paraId="16A52669" w14:textId="77777777" w:rsidTr="00EF3DB0">
        <w:trPr>
          <w:trHeight w:val="61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A8E1F63" w14:textId="1008775F" w:rsidR="0088779E" w:rsidRPr="005E74E6" w:rsidRDefault="00273D8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Rapports à collecter</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3479E474" w14:textId="59C26B56" w:rsidR="002C5384" w:rsidRDefault="002C5384" w:rsidP="002C5384">
            <w:pPr>
              <w:tabs>
                <w:tab w:val="left" w:pos="2700"/>
              </w:tabs>
              <w:spacing w:before="120" w:after="0" w:line="252" w:lineRule="auto"/>
              <w:jc w:val="both"/>
              <w:rPr>
                <w:rFonts w:cs="Arial"/>
              </w:rPr>
            </w:pPr>
            <w:r>
              <w:t>Les rapports suivants ont été collectés:</w:t>
            </w:r>
          </w:p>
          <w:p w14:paraId="129CB0B1" w14:textId="77777777" w:rsidR="00FE18E7" w:rsidRDefault="00FE18E7" w:rsidP="002C5384">
            <w:pPr>
              <w:tabs>
                <w:tab w:val="left" w:pos="2700"/>
              </w:tabs>
              <w:spacing w:before="120" w:after="0" w:line="252" w:lineRule="auto"/>
              <w:jc w:val="both"/>
              <w:rPr>
                <w:rFonts w:cs="Arial"/>
              </w:rPr>
            </w:pPr>
          </w:p>
          <w:p w14:paraId="20FD0774" w14:textId="77777777" w:rsidR="001A3535" w:rsidRDefault="00FE18E7" w:rsidP="006E376E">
            <w:pPr>
              <w:pStyle w:val="ListParagraph"/>
              <w:numPr>
                <w:ilvl w:val="0"/>
                <w:numId w:val="8"/>
              </w:numPr>
              <w:tabs>
                <w:tab w:val="left" w:pos="2700"/>
              </w:tabs>
              <w:spacing w:before="120" w:after="0" w:line="252" w:lineRule="auto"/>
              <w:jc w:val="both"/>
              <w:rPr>
                <w:rFonts w:cs="Arial"/>
              </w:rPr>
            </w:pPr>
            <w:r>
              <w:t>Rapport du Service juridique de l’État</w:t>
            </w:r>
          </w:p>
          <w:p w14:paraId="7A56AF6E" w14:textId="77777777" w:rsidR="001A3535" w:rsidRDefault="002C5384" w:rsidP="006E376E">
            <w:pPr>
              <w:pStyle w:val="ListParagraph"/>
              <w:numPr>
                <w:ilvl w:val="0"/>
                <w:numId w:val="8"/>
              </w:numPr>
              <w:tabs>
                <w:tab w:val="left" w:pos="2700"/>
              </w:tabs>
              <w:spacing w:before="120" w:after="0" w:line="252" w:lineRule="auto"/>
              <w:jc w:val="both"/>
              <w:rPr>
                <w:rFonts w:cs="Arial"/>
              </w:rPr>
            </w:pPr>
            <w:r>
              <w:t>Rapport de la Commission nationale des marchés et de la concurrence (CNMC)</w:t>
            </w:r>
          </w:p>
          <w:p w14:paraId="5405DD3A" w14:textId="4374FE90" w:rsidR="002C5384" w:rsidRPr="001A3535" w:rsidRDefault="002C5384" w:rsidP="006E376E">
            <w:pPr>
              <w:pStyle w:val="ListParagraph"/>
              <w:numPr>
                <w:ilvl w:val="0"/>
                <w:numId w:val="8"/>
              </w:numPr>
              <w:tabs>
                <w:tab w:val="left" w:pos="2700"/>
              </w:tabs>
              <w:spacing w:before="120" w:after="0" w:line="252" w:lineRule="auto"/>
              <w:jc w:val="both"/>
              <w:rPr>
                <w:rFonts w:cs="Arial"/>
              </w:rPr>
            </w:pPr>
            <w:r>
              <w:t>Rapport du Bureau de la qualité de la réglementation et de la coordination du ministère de la Présidence, des Relations parlementaires et du Patrimoine démocratique, conformément à l’article 26, paragraphe 9, de la loi gouvernementale 50/1997 du 27 novembre 1997</w:t>
            </w:r>
          </w:p>
          <w:p w14:paraId="70AA7D54" w14:textId="77777777" w:rsidR="001A3535" w:rsidRDefault="001A3535" w:rsidP="002C5384">
            <w:pPr>
              <w:spacing w:line="360" w:lineRule="auto"/>
              <w:jc w:val="both"/>
              <w:rPr>
                <w:rFonts w:cs="Arial"/>
              </w:rPr>
            </w:pPr>
          </w:p>
          <w:p w14:paraId="5AFDA379" w14:textId="774D106E" w:rsidR="001A3535" w:rsidRDefault="001A3535" w:rsidP="001A3535">
            <w:pPr>
              <w:tabs>
                <w:tab w:val="left" w:pos="2700"/>
              </w:tabs>
              <w:spacing w:before="120" w:after="0" w:line="252" w:lineRule="auto"/>
              <w:jc w:val="both"/>
              <w:rPr>
                <w:rFonts w:cs="Arial"/>
              </w:rPr>
            </w:pPr>
            <w:r>
              <w:t>Les rapports suivants doivent être collectés:</w:t>
            </w:r>
          </w:p>
          <w:p w14:paraId="627C5261" w14:textId="77777777" w:rsidR="001A3535" w:rsidRPr="001A3535" w:rsidRDefault="001A3535" w:rsidP="001A3535">
            <w:pPr>
              <w:tabs>
                <w:tab w:val="left" w:pos="2700"/>
              </w:tabs>
              <w:spacing w:before="120" w:after="0" w:line="252" w:lineRule="auto"/>
              <w:jc w:val="both"/>
              <w:rPr>
                <w:rFonts w:cs="Arial"/>
              </w:rPr>
            </w:pPr>
          </w:p>
          <w:p w14:paraId="0B717DEA" w14:textId="77777777" w:rsidR="001A3535" w:rsidRDefault="002C5384" w:rsidP="006E376E">
            <w:pPr>
              <w:pStyle w:val="ListParagraph"/>
              <w:numPr>
                <w:ilvl w:val="0"/>
                <w:numId w:val="8"/>
              </w:numPr>
              <w:tabs>
                <w:tab w:val="left" w:pos="2700"/>
              </w:tabs>
              <w:spacing w:before="120" w:after="0" w:line="252" w:lineRule="auto"/>
              <w:jc w:val="both"/>
              <w:rPr>
                <w:rFonts w:cs="Arial"/>
              </w:rPr>
            </w:pPr>
            <w:r>
              <w:t>Rapports du Secrétariat technique général du ministère de l’Économie et de la Transformation numérique et du secrétariat technique général du ministère de l’Intérieur, conformément à l’article 26, paragraphe 5, quatrième alinéa, de la loi gouvernementale no 50/1997 du 27 novembre 1997</w:t>
            </w:r>
          </w:p>
          <w:p w14:paraId="4EAEC6E5" w14:textId="3AF01BF2" w:rsidR="001A3535" w:rsidRDefault="004732F0" w:rsidP="006E376E">
            <w:pPr>
              <w:pStyle w:val="ListParagraph"/>
              <w:numPr>
                <w:ilvl w:val="0"/>
                <w:numId w:val="8"/>
              </w:numPr>
              <w:tabs>
                <w:tab w:val="left" w:pos="2700"/>
              </w:tabs>
              <w:spacing w:before="120" w:after="0" w:line="252" w:lineRule="auto"/>
              <w:jc w:val="both"/>
              <w:rPr>
                <w:rFonts w:cs="Arial"/>
              </w:rPr>
            </w:pPr>
            <w:r>
              <w:t>Rapport du Conseil national des personnes handicapées</w:t>
            </w:r>
          </w:p>
          <w:p w14:paraId="6C32279D" w14:textId="2F8D8B6D" w:rsidR="001A3535" w:rsidRPr="001A3535" w:rsidRDefault="001A3535" w:rsidP="006E376E">
            <w:pPr>
              <w:pStyle w:val="ListParagraph"/>
              <w:numPr>
                <w:ilvl w:val="0"/>
                <w:numId w:val="8"/>
              </w:numPr>
              <w:tabs>
                <w:tab w:val="left" w:pos="2700"/>
              </w:tabs>
              <w:spacing w:before="120" w:after="0" w:line="252" w:lineRule="auto"/>
              <w:jc w:val="both"/>
              <w:rPr>
                <w:rFonts w:cs="Arial"/>
              </w:rPr>
            </w:pPr>
            <w:r>
              <w:t>Rapport de l’Agence nationale de protection des données</w:t>
            </w:r>
          </w:p>
          <w:p w14:paraId="53D77084" w14:textId="77777777" w:rsidR="001A3535" w:rsidRDefault="001A3535" w:rsidP="002C5384">
            <w:pPr>
              <w:tabs>
                <w:tab w:val="left" w:pos="2700"/>
              </w:tabs>
              <w:spacing w:before="120" w:after="0" w:line="252" w:lineRule="auto"/>
              <w:jc w:val="both"/>
              <w:rPr>
                <w:rFonts w:cstheme="minorHAnsi"/>
              </w:rPr>
            </w:pPr>
          </w:p>
          <w:p w14:paraId="584D34C2" w14:textId="56714E58" w:rsidR="002C5384" w:rsidRPr="002C5384" w:rsidRDefault="002C5384" w:rsidP="002C5384">
            <w:pPr>
              <w:tabs>
                <w:tab w:val="left" w:pos="2700"/>
              </w:tabs>
              <w:spacing w:before="120" w:after="0" w:line="252" w:lineRule="auto"/>
              <w:jc w:val="both"/>
              <w:rPr>
                <w:rFonts w:cstheme="minorHAnsi"/>
              </w:rPr>
            </w:pPr>
            <w:r>
              <w:t>Enfin, l’avis du Conseil d’État doit être collecté.</w:t>
            </w:r>
          </w:p>
          <w:p w14:paraId="7956EBE8" w14:textId="2440A2FA" w:rsidR="001B3EE4" w:rsidRPr="005E74E6" w:rsidRDefault="001B3EE4" w:rsidP="00103573">
            <w:pPr>
              <w:tabs>
                <w:tab w:val="left" w:pos="2700"/>
              </w:tabs>
              <w:spacing w:before="120" w:after="0" w:line="252" w:lineRule="auto"/>
              <w:jc w:val="both"/>
              <w:rPr>
                <w:rFonts w:eastAsia="Times New Roman" w:cstheme="minorHAnsi"/>
                <w:lang w:eastAsia="es-ES"/>
              </w:rPr>
            </w:pPr>
          </w:p>
        </w:tc>
      </w:tr>
      <w:tr w:rsidR="0088779E" w:rsidRPr="005E74E6" w14:paraId="3AF3D6B6" w14:textId="77777777" w:rsidTr="00EF3DB0">
        <w:trPr>
          <w:cantSplit/>
          <w:trHeight w:val="322"/>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58BF38D3" w14:textId="3C304C3C"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rPr>
            </w:pPr>
            <w:r>
              <w:rPr>
                <w:b/>
              </w:rPr>
              <w:lastRenderedPageBreak/>
              <w:t>ANALYSE D’IMPACT</w:t>
            </w:r>
          </w:p>
        </w:tc>
      </w:tr>
      <w:tr w:rsidR="0088779E" w:rsidRPr="005E74E6" w14:paraId="496ABEE4" w14:textId="77777777" w:rsidTr="00EF3DB0">
        <w:trPr>
          <w:cantSplit/>
          <w:trHeight w:val="58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780D8B6"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RESPECT DE LA RÉPARTITION DES POUVOIRS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0F89CAEE" w14:textId="1BB75C5B" w:rsidR="00103573" w:rsidRPr="009D61F7" w:rsidRDefault="0088779E" w:rsidP="00BE3D1D">
            <w:pPr>
              <w:spacing w:before="120" w:after="0" w:line="252" w:lineRule="auto"/>
              <w:jc w:val="both"/>
              <w:rPr>
                <w:rFonts w:cstheme="minorHAnsi"/>
              </w:rPr>
            </w:pPr>
            <w:r>
              <w:t>Le présent décret est délivré sous le pouvoir exclusif de l’État en matière de télécommunications, prévu à l’article 149, paragraphe 1, point 21), de la Constitution, qui confère à l’État des pouvoirs exclusifs en matière de télécommunications, et en vertu de l’article 149, paragraphe 1, point 29), de la Constitution, qui confère à l’État des pouvoirs exclusifs en matière de sécurité publique.</w:t>
            </w:r>
          </w:p>
          <w:p w14:paraId="50A80068" w14:textId="77777777" w:rsidR="00103573" w:rsidRDefault="00103573" w:rsidP="00BE3D1D">
            <w:pPr>
              <w:spacing w:before="120" w:after="0" w:line="252" w:lineRule="auto"/>
              <w:jc w:val="both"/>
              <w:rPr>
                <w:rFonts w:ascii="Verdana" w:eastAsia="Times New Roman" w:hAnsi="Verdana" w:cs="Times New Roman"/>
                <w:color w:val="333333"/>
                <w:lang w:eastAsia="es-ES"/>
              </w:rPr>
            </w:pPr>
          </w:p>
          <w:p w14:paraId="65069ABA" w14:textId="7E13C371" w:rsidR="0088779E" w:rsidRPr="005E74E6" w:rsidRDefault="0088779E" w:rsidP="00BE3D1D">
            <w:pPr>
              <w:spacing w:before="120" w:after="0" w:line="252" w:lineRule="auto"/>
              <w:jc w:val="both"/>
              <w:rPr>
                <w:rFonts w:eastAsia="Times New Roman" w:cstheme="minorHAnsi"/>
                <w:lang w:eastAsia="es-ES"/>
              </w:rPr>
            </w:pPr>
          </w:p>
        </w:tc>
      </w:tr>
      <w:tr w:rsidR="0088779E" w:rsidRPr="005E74E6" w14:paraId="5D37B4E3" w14:textId="77777777" w:rsidTr="00257BCC">
        <w:trPr>
          <w:cantSplit/>
          <w:trHeight w:val="73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F2A0B32" w14:textId="343AD91D"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IMPACT ÉCONOMIQUE ET BUDGÉTAIRE</w:t>
            </w: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AFC32E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Incidence générale sur l’économie</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5BDE28A0" w14:textId="77777777" w:rsidR="0088779E" w:rsidRDefault="00103573" w:rsidP="00F374CA">
            <w:pPr>
              <w:spacing w:before="120" w:after="0" w:line="252" w:lineRule="auto"/>
              <w:jc w:val="both"/>
              <w:rPr>
                <w:rFonts w:eastAsia="Times New Roman" w:cstheme="minorHAnsi"/>
              </w:rPr>
            </w:pPr>
            <w:r>
              <w:t>Ce décret entraîne des coûts pour les opérateurs concernés, car ils doivent couvrir les frais d’obtention et de livraison des informations de localisation.</w:t>
            </w:r>
          </w:p>
          <w:p w14:paraId="7AE0E076" w14:textId="6AF58FF8" w:rsidR="00A3156C" w:rsidRDefault="00A3156C" w:rsidP="00A3156C">
            <w:pPr>
              <w:spacing w:before="120" w:after="0" w:line="252" w:lineRule="auto"/>
              <w:jc w:val="both"/>
              <w:rPr>
                <w:rFonts w:eastAsia="Times New Roman" w:cstheme="minorHAnsi"/>
              </w:rPr>
            </w:pPr>
            <w:r>
              <w:t>Toutefois, étant donné qu’il s’agit d’une obligation visant à atteindre un objectif social et de l’amélioration de la sécurité et de la protection civile tant pour les particuliers que pour les entreprises, l’impact économique sur le secteur n’est pas considéré comme significatif, et les avantages immatériels découlant de l’accomplissement de cette fonction sociale, pour ce secteur et pour d’autres, l’emportent sur le premier.</w:t>
            </w:r>
          </w:p>
          <w:p w14:paraId="305C3A5C" w14:textId="78973521" w:rsidR="00A3156C" w:rsidRPr="00852846" w:rsidRDefault="00A3156C" w:rsidP="00F374CA">
            <w:pPr>
              <w:spacing w:before="120" w:after="0" w:line="252" w:lineRule="auto"/>
              <w:jc w:val="both"/>
              <w:rPr>
                <w:rFonts w:eastAsia="Times New Roman" w:cstheme="minorHAnsi"/>
                <w:lang w:eastAsia="es-ES"/>
              </w:rPr>
            </w:pPr>
          </w:p>
        </w:tc>
      </w:tr>
      <w:tr w:rsidR="0088779E" w:rsidRPr="005E74E6" w14:paraId="31F16B04" w14:textId="77777777" w:rsidTr="00EF3DB0">
        <w:trPr>
          <w:cantSplit/>
          <w:trHeight w:val="20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3D233DA9" w14:textId="7229268A" w:rsidR="0088779E" w:rsidRPr="0085284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C014408"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En ce qui concerne la concurrence</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72352D1D" w14:textId="77777777" w:rsidR="001579FC" w:rsidRPr="001579FC" w:rsidRDefault="001579FC" w:rsidP="001579F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p>
          <w:p w14:paraId="279B8CE6" w14:textId="2AA06823" w:rsidR="0088779E" w:rsidRPr="005E74E6" w:rsidRDefault="001579F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00C51C59" wp14:editId="01F7D1E5">
                      <wp:extent cx="165100" cy="177800"/>
                      <wp:effectExtent l="0" t="0" r="25400" b="12700"/>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18DC168F" w14:textId="77777777" w:rsidR="00BE4635" w:rsidRPr="006764AB" w:rsidRDefault="00BE4635" w:rsidP="001579FC">
                                  <w:pPr>
                                    <w:pStyle w:val="Formatolibre"/>
                                    <w:shd w:val="clear" w:color="auto" w:fill="000000" w:themeFill="text1"/>
                                    <w:rPr>
                                      <w:rFonts w:ascii="Times New Roman" w:eastAsia="Times New Roman" w:hAnsi="Times New Roman"/>
                                      <w:b/>
                                      <w:color w:val="auto"/>
                                      <w:sz w:val="20"/>
                                      <w:shd w:val="clear" w:color="auto" w:fill="000000" w:themeFill="text1"/>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00C51C59" id="Rectangle 26"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ImKl/wAAgAAFAQAAA4AAAAAAAAAAAAAAAAA&#10;LgIAAGRycy9lMm9Eb2MueG1sUEsBAi0AFAAGAAgAAAAhAPzrxDHYAAAAAwEAAA8AAAAAAAAAAAAA&#10;AAAAWgQAAGRycy9kb3ducmV2LnhtbFBLBQYAAAAABAAEAPMAAABfBQAAAAA=&#10;" fillcolor="black [3213]" strokeweight="1pt">
                      <v:path arrowok="t"/>
                      <v:textbox inset="8pt,8pt,8pt,8pt">
                        <w:txbxContent>
                          <w:p w14:paraId="18DC168F" w14:textId="77777777" w:rsidR="00BE4635" w:rsidRPr="006764AB" w:rsidRDefault="00BE4635" w:rsidP="001579FC">
                            <w:pPr>
                              <w:pStyle w:val="Formatolibre"/>
                              <w:shd w:val="clear" w:color="auto" w:fill="000000" w:themeFill="text1"/>
                              <w:rPr>
                                <w:rFonts w:ascii="Times New Roman" w:eastAsia="Times New Roman" w:hAnsi="Times New Roman"/>
                                <w:b/>
                                <w:color w:val="auto"/>
                                <w:sz w:val="20"/>
                                <w:shd w:val="clear" w:color="auto" w:fill="000000" w:themeFill="text1"/>
                                <w:lang w:val="es-ES" w:eastAsia="es-ES" w:bidi="x-none"/>
                              </w:rPr>
                            </w:pPr>
                          </w:p>
                        </w:txbxContent>
                      </v:textbox>
                      <w10:anchorlock/>
                    </v:rect>
                  </w:pict>
                </mc:Fallback>
              </mc:AlternateContent>
            </w:r>
            <w:r>
              <w:t xml:space="preserve"> Le règlement n’a aucune incidence sur la concurrence.</w:t>
            </w:r>
          </w:p>
          <w:p w14:paraId="15790A8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5EC8FC52" wp14:editId="5F84B279">
                      <wp:extent cx="165100" cy="177800"/>
                      <wp:effectExtent l="0" t="0" r="0" b="0"/>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FA868"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5EC8FC52" 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345FA868"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Le règlement a un impact positif sur la concurrence.</w:t>
            </w:r>
          </w:p>
          <w:p w14:paraId="5F96A980"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00BFC040" wp14:editId="573F0721">
                      <wp:extent cx="165100" cy="177800"/>
                      <wp:effectExtent l="0" t="0" r="0" b="0"/>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5E3FBB"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00BFC040" id="Rectangle 27"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405E3FBB"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Le règlement a un impact négatif sur la concurrence.</w:t>
            </w:r>
          </w:p>
        </w:tc>
      </w:tr>
      <w:tr w:rsidR="0088779E" w:rsidRPr="005E74E6" w14:paraId="77160DEC" w14:textId="77777777" w:rsidTr="00EF3DB0">
        <w:trPr>
          <w:cantSplit/>
          <w:trHeight w:val="234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5A3584A" w14:textId="77777777" w:rsidR="0088779E" w:rsidRPr="0085284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67ECE93"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Du point de vue des charges administratives</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9C7A00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28015974" wp14:editId="56D17BA0">
                      <wp:extent cx="165100" cy="177800"/>
                      <wp:effectExtent l="0" t="0" r="0" b="0"/>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8F8A3"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28015974" id="Rectangle 28"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2988F8A3"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Il réduit la charge administrative.</w:t>
            </w:r>
          </w:p>
          <w:p w14:paraId="3A527F49" w14:textId="6C73C87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t>Estimation du montant:________________</w:t>
            </w:r>
          </w:p>
          <w:p w14:paraId="09E9F874" w14:textId="04E87055"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29D95BFC" wp14:editId="12AA8BAF">
                      <wp:extent cx="165100" cy="177800"/>
                      <wp:effectExtent l="0" t="0" r="0" b="0"/>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00E25454"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29D95BFC" id="Rectangle 19"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" fillcolor="#333" strokeweight="1pt">
                      <v:path arrowok="t"/>
                      <v:textbox inset="8pt,8pt,8pt,8pt">
                        <w:txbxContent>
                          <w:p w14:paraId="00E25454"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Il implique de nouvelles charges administratives.</w:t>
            </w:r>
          </w:p>
          <w:p w14:paraId="6FED20F3" w14:textId="53C46E84" w:rsidR="0088779E" w:rsidRPr="005E74E6" w:rsidRDefault="00BA6F4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31D09E63" wp14:editId="2B590D0A">
                      <wp:extent cx="165100" cy="177800"/>
                      <wp:effectExtent l="0" t="0" r="0" b="0"/>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E0A7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1D09E63" 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H+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I4D0Nt200B2JL4RZbvR7kDEA/uFs&#10;JKk1PPzeC1Scmc+OdlmV1SpRFC88vPDaC084SXANj5zN5k2cNb33qHcDVasyIw4+0K56nXl86uw0&#10;Akkqb+Ik/6TZ537OevpJt38B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Enr+H+QEAAOwDAAAOAAAAAAAAAAAAAAAAAC4CAABk&#10;cnMvZTJvRG9jLnhtbFBLAQItABQABgAIAAAAIQCv9gKg2gAAAAMBAAAPAAAAAAAAAAAAAAAAAFME&#10;AABkcnMvZG93bnJldi54bWxQSwUGAAAAAAQABADzAAAAWgUAAAAA&#10;" filled="f" strokeweight="1pt">
                      <v:path arrowok="t"/>
                      <v:textbox inset="8pt,8pt,8pt,8pt">
                        <w:txbxContent>
                          <w:p w14:paraId="155E0A7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Il n’affecte pas la charge administrative pesant sur les entreprises.</w:t>
            </w:r>
          </w:p>
        </w:tc>
      </w:tr>
      <w:tr w:rsidR="0088779E" w:rsidRPr="005E74E6" w14:paraId="78E4AF56" w14:textId="77777777" w:rsidTr="00EF3DB0">
        <w:trPr>
          <w:cantSplit/>
          <w:trHeight w:val="216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4211C7C" w14:textId="77777777" w:rsidR="0088779E" w:rsidRPr="0085284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54E7D5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t>Du point de vue budgétaire, le règlement:</w:t>
            </w:r>
          </w:p>
          <w:p w14:paraId="4F2C3B17" w14:textId="698CC2A4"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58140F94" wp14:editId="14A6803A">
                      <wp:extent cx="165100" cy="177800"/>
                      <wp:effectExtent l="0" t="0" r="0" b="0"/>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40EFC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58140F94" 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dw+gEAAOwDAAAOAAAAZHJzL2Uyb0RvYy54bWysU1Fv0zAQfkfiP1h+p0kq0Y6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bVUS85JC1Xp9RXaqIOqnxx5D&#10;/KhhYMloONLKMrg43Ic4pz6lpFoO7oy1eW3WsZFAl2vCzAOANSpFs4O79sYiO4i0+fydCoeXaYOJ&#10;pD9rhoZTa/TNiui1UB+cymWiMHa2qWvrTvQkRpLKQh2ndmJGNfxd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YJyncPoBAADsAwAADgAAAAAAAAAAAAAAAAAuAgAA&#10;ZHJzL2Uyb0RvYy54bWxQSwECLQAUAAYACAAAACEAr/YCoNoAAAADAQAADwAAAAAAAAAAAAAAAABU&#10;BAAAZHJzL2Rvd25yZXYueG1sUEsFBgAAAAAEAAQA8wAAAFsFAAAAAA==&#10;" filled="f" strokeweight="1pt">
                      <v:path arrowok="t"/>
                      <v:textbox inset="8pt,8pt,8pt,8pt">
                        <w:txbxContent>
                          <w:p w14:paraId="4A40EFC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Affecte les budgets de l’État.</w:t>
            </w:r>
          </w:p>
          <w:p w14:paraId="6044C7B0" w14:textId="4A649E1F" w:rsidR="0088779E"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7E0E6ED3" wp14:editId="0ABE8799">
                      <wp:extent cx="165100" cy="177800"/>
                      <wp:effectExtent l="0" t="0" r="0" b="0"/>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83D72D"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E0E6ED3" 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M+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y43TVQnckwhBmvdH/QcYA+Iez&#10;kbTW8PB7L1BxZj47WmZVVqvEUbzw8MJrLzzhJME1PHI2mzdxFvXeo94NVK3KlDj4QMvqdSbyqbPT&#10;DKSpvIqT/pNon/s56+kv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wYOwM+QEAAO0DAAAOAAAAAAAAAAAAAAAAAC4CAABk&#10;cnMvZTJvRG9jLnhtbFBLAQItABQABgAIAAAAIQCv9gKg2gAAAAMBAAAPAAAAAAAAAAAAAAAAAFME&#10;AABkcnMvZG93bnJldi54bWxQSwUGAAAAAAQABADzAAAAWgUAAAAA&#10;" filled="f" strokeweight="1pt">
                      <v:path arrowok="t"/>
                      <v:textbox inset="8pt,8pt,8pt,8pt">
                        <w:txbxContent>
                          <w:p w14:paraId="1D83D72D"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Affecte les budgets des autres autorités régionales.</w:t>
            </w:r>
          </w:p>
          <w:p w14:paraId="34FD3F03" w14:textId="5C0F20E4" w:rsidR="00D26E10" w:rsidRPr="00D26E10" w:rsidRDefault="00BA6F4D" w:rsidP="00D26E1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06B5659C" wp14:editId="7807BDF4">
                      <wp:extent cx="165100" cy="177800"/>
                      <wp:effectExtent l="0" t="0" r="0" b="0"/>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7382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06B5659C" 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T7+g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6q9DhdtdAdiTCEWW/0f5AxAP7h&#10;bCStNTz83gtUnJnPjpZZldUqcRQvPLzw2gtPOElwDY+czeZNnEW996h3A1WrMiUOPtCyep2JfOrs&#10;NANpKq/ipP8k2ud+znr6S7d/AQ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GL0+/oBAADtAwAADgAAAAAAAAAAAAAAAAAuAgAA&#10;ZHJzL2Uyb0RvYy54bWxQSwECLQAUAAYACAAAACEAr/YCoNoAAAADAQAADwAAAAAAAAAAAAAAAABU&#10;BAAAZHJzL2Rvd25yZXYueG1sUEsFBgAAAAAEAAQA8wAAAFsFAAAAAA==&#10;" filled="f" strokeweight="1pt">
                      <v:path arrowok="t"/>
                      <v:textbox inset="8pt,8pt,8pt,8pt">
                        <w:txbxContent>
                          <w:p w14:paraId="6507382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Affecte les budgets des autres autorités régionales.</w:t>
            </w:r>
          </w:p>
          <w:p w14:paraId="6EE3C72E" w14:textId="77777777" w:rsidR="00D26E10" w:rsidRPr="00852846" w:rsidRDefault="00D26E10"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35D2A25" w14:textId="6047E755"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rPr>
                <w:noProof/>
              </w:rPr>
              <mc:AlternateContent>
                <mc:Choice Requires="wps">
                  <w:drawing>
                    <wp:inline distT="0" distB="0" distL="0" distR="0" wp14:anchorId="41828218" wp14:editId="46C5A0DE">
                      <wp:extent cx="165100" cy="177800"/>
                      <wp:effectExtent l="0" t="0" r="0" b="0"/>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8189B"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41828218" 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7DB8189B"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Implique une dépense.</w:t>
            </w:r>
          </w:p>
          <w:p w14:paraId="18269FCA" w14:textId="33545CD3"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rPr>
                <w:noProof/>
              </w:rPr>
              <mc:AlternateContent>
                <mc:Choice Requires="wps">
                  <w:drawing>
                    <wp:inline distT="0" distB="0" distL="0" distR="0" wp14:anchorId="4679CA57" wp14:editId="49545494">
                      <wp:extent cx="165100" cy="177800"/>
                      <wp:effectExtent l="0" t="0" r="0" b="0"/>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5A1A42"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4679CA57" 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XO+gEAAO0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3WC1zvoBAADtAwAADgAAAAAAAAAAAAAAAAAuAgAA&#10;ZHJzL2Uyb0RvYy54bWxQSwECLQAUAAYACAAAACEAr/YCoNoAAAADAQAADwAAAAAAAAAAAAAAAABU&#10;BAAAZHJzL2Rvd25yZXYueG1sUEsFBgAAAAAEAAQA8wAAAFsFAAAAAA==&#10;" filled="f" strokeweight="1pt">
                      <v:path arrowok="t"/>
                      <v:textbox inset="8pt,8pt,8pt,8pt">
                        <w:txbxContent>
                          <w:p w14:paraId="0D5A1A42"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Entraîne les recettes.</w:t>
            </w:r>
          </w:p>
          <w:p w14:paraId="1CCCD3C3" w14:textId="107D78E6" w:rsidR="0088779E" w:rsidRPr="0085284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p>
        </w:tc>
      </w:tr>
      <w:tr w:rsidR="0088779E" w:rsidRPr="005E74E6" w14:paraId="1A894521" w14:textId="77777777" w:rsidTr="00EF3DB0">
        <w:trPr>
          <w:cantSplit/>
          <w:trHeight w:val="1532"/>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8276BB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IMPACT SUR L’ÉGALITÉ DES SEXES</w:t>
            </w: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1B5CB795"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t>Le règlement a une incidence sur l’égalité des sexes:</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EFB9017"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rPr>
            </w:pPr>
            <w:r>
              <w:t xml:space="preserve">Négatif </w:t>
            </w:r>
            <w:r>
              <w:rPr>
                <w:noProof/>
              </w:rPr>
              <mc:AlternateContent>
                <mc:Choice Requires="wps">
                  <w:drawing>
                    <wp:inline distT="0" distB="0" distL="0" distR="0" wp14:anchorId="31118AF3" wp14:editId="090C4CA5">
                      <wp:extent cx="165100" cy="177800"/>
                      <wp:effectExtent l="0" t="0" r="0" b="0"/>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9079F"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1118AF3" id="Rectangle 31"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5m+gEAAO0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ImVuZvoBAADtAwAADgAAAAAAAAAAAAAAAAAuAgAA&#10;ZHJzL2Uyb0RvYy54bWxQSwECLQAUAAYACAAAACEAr/YCoNoAAAADAQAADwAAAAAAAAAAAAAAAABU&#10;BAAAZHJzL2Rvd25yZXYueG1sUEsFBgAAAAAEAAQA8wAAAFsFAAAAAA==&#10;" filled="f" strokeweight="1pt">
                      <v:path arrowok="t"/>
                      <v:textbox inset="8pt,8pt,8pt,8pt">
                        <w:txbxContent>
                          <w:p w14:paraId="5349079F"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14:paraId="23D3AEB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rPr>
            </w:pPr>
            <w:r>
              <w:t xml:space="preserve">Aucun </w:t>
            </w:r>
            <w:r>
              <w:rPr>
                <w:noProof/>
              </w:rPr>
              <mc:AlternateContent>
                <mc:Choice Requires="wps">
                  <w:drawing>
                    <wp:inline distT="0" distB="0" distL="0" distR="0" wp14:anchorId="37E50A8B" wp14:editId="68D23D9A">
                      <wp:extent cx="165100" cy="177800"/>
                      <wp:effectExtent l="0" t="0" r="0" b="0"/>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gradFill rotWithShape="1">
                                <a:gsLst>
                                  <a:gs pos="0">
                                    <a:srgbClr val="000000"/>
                                  </a:gs>
                                  <a:gs pos="100000">
                                    <a:srgbClr val="000000">
                                      <a:gamma/>
                                      <a:shade val="46275"/>
                                      <a:invGamma/>
                                    </a:srgbClr>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A026DA"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7E50A8B" id="Rectangle 22"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" fillcolor="black" strokeweight="1pt">
                      <v:fill color2="black" rotate="t" focus="100%" type="gradient"/>
                      <v:path arrowok="t"/>
                      <v:textbox inset="8pt,8pt,8pt,8pt">
                        <w:txbxContent>
                          <w:p w14:paraId="72A026DA"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14:paraId="0AE1FBE5"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198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rPr>
            </w:pPr>
            <w:r>
              <w:t xml:space="preserve">Positif </w:t>
            </w:r>
            <w:r>
              <w:rPr>
                <w:noProof/>
              </w:rPr>
              <mc:AlternateContent>
                <mc:Choice Requires="wps">
                  <w:drawing>
                    <wp:inline distT="0" distB="0" distL="0" distR="0" wp14:anchorId="6492253E" wp14:editId="55ABB5BB">
                      <wp:extent cx="165100" cy="177800"/>
                      <wp:effectExtent l="0" t="0" r="0" b="0"/>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59CA5E"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6492253E" id="Rectangle 21" o:spid="_x0000_s104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9T+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6Om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rZy9T+QEAAO0DAAAOAAAAAAAAAAAAAAAAAC4CAABk&#10;cnMvZTJvRG9jLnhtbFBLAQItABQABgAIAAAAIQCv9gKg2gAAAAMBAAAPAAAAAAAAAAAAAAAAAFME&#10;AABkcnMvZG93bnJldi54bWxQSwUGAAAAAAQABADzAAAAWgUAAAAA&#10;" filled="f" strokeweight="1pt">
                      <v:path arrowok="t"/>
                      <v:textbox inset="8pt,8pt,8pt,8pt">
                        <w:txbxContent>
                          <w:p w14:paraId="5859CA5E"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tc>
      </w:tr>
      <w:tr w:rsidR="0088779E" w:rsidRPr="005E74E6" w14:paraId="259ED530" w14:textId="77777777" w:rsidTr="00EF3DB0">
        <w:trPr>
          <w:cantSplit/>
          <w:trHeight w:val="539"/>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F2DBAA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AUTRES IMPACTS ENVISAGÉS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9686613" w14:textId="77777777" w:rsidR="001579FC" w:rsidRDefault="001579FC" w:rsidP="00A16F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u w:val="single"/>
              </w:rPr>
            </w:pPr>
            <w:r>
              <w:rPr>
                <w:u w:val="single"/>
              </w:rPr>
              <w:t>Impact sur les personnes handicapées</w:t>
            </w:r>
          </w:p>
          <w:p w14:paraId="385EBDA9" w14:textId="09090100" w:rsidR="001579FC" w:rsidRPr="001579FC" w:rsidRDefault="00F155A8" w:rsidP="00A16F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Ce décret aura un impact positif sur ce groupe car il contient des dispositions visant à garantir l’égalité d’accès aux services d’urgence pour tous les citoyens de l’UE.</w:t>
            </w:r>
          </w:p>
        </w:tc>
      </w:tr>
      <w:tr w:rsidR="0088779E" w:rsidRPr="005E74E6" w14:paraId="5EEDE7EF" w14:textId="77777777" w:rsidTr="00EF3DB0">
        <w:trPr>
          <w:cantSplit/>
          <w:trHeight w:val="325"/>
          <w:jc w:val="center"/>
        </w:trPr>
        <w:tc>
          <w:tcPr>
            <w:tcW w:w="3077"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59654F47" w14:textId="4520C05E"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AUTRES ÉLÉMENTS PRIS EN CONSIDÉRATION</w:t>
            </w:r>
          </w:p>
        </w:tc>
        <w:tc>
          <w:tcPr>
            <w:tcW w:w="6607"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1E9F4384" w14:textId="2DDDDCF2" w:rsidR="0088779E" w:rsidRPr="0085284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p>
        </w:tc>
      </w:tr>
    </w:tbl>
    <w:p w14:paraId="4F7588FC" w14:textId="77777777" w:rsidR="00A54EDD" w:rsidRPr="00852846" w:rsidRDefault="00A54EDD" w:rsidP="00A54EDD">
      <w:pPr>
        <w:spacing w:before="120" w:after="0" w:line="252" w:lineRule="auto"/>
        <w:jc w:val="both"/>
        <w:rPr>
          <w:rFonts w:eastAsia="Times New Roman" w:cstheme="minorHAnsi"/>
          <w:b/>
          <w:lang w:eastAsia="es-ES"/>
        </w:rPr>
      </w:pPr>
    </w:p>
    <w:p w14:paraId="3AA1FC11" w14:textId="644F888A" w:rsidR="00DC217E" w:rsidRDefault="00DC217E">
      <w:pPr>
        <w:rPr>
          <w:rFonts w:eastAsia="Times New Roman" w:cstheme="minorHAnsi"/>
          <w:b/>
        </w:rPr>
      </w:pPr>
      <w:r>
        <w:br w:type="page"/>
      </w:r>
    </w:p>
    <w:p w14:paraId="5A360E2B" w14:textId="77777777" w:rsidR="00F155A8" w:rsidRPr="00852846" w:rsidRDefault="00F155A8" w:rsidP="00A54EDD">
      <w:pPr>
        <w:spacing w:before="120" w:after="0" w:line="252" w:lineRule="auto"/>
        <w:jc w:val="both"/>
        <w:rPr>
          <w:rFonts w:eastAsia="Times New Roman" w:cstheme="minorHAnsi"/>
          <w:b/>
          <w:lang w:eastAsia="es-ES"/>
        </w:rPr>
      </w:pPr>
    </w:p>
    <w:p w14:paraId="45308899" w14:textId="77777777" w:rsidR="004F5238" w:rsidRPr="00852846" w:rsidRDefault="004F5238" w:rsidP="00A54EDD">
      <w:pPr>
        <w:spacing w:before="120" w:after="0" w:line="252" w:lineRule="auto"/>
        <w:jc w:val="both"/>
        <w:rPr>
          <w:rFonts w:eastAsia="Times New Roman" w:cstheme="minorHAnsi"/>
          <w:b/>
          <w:lang w:eastAsia="es-ES"/>
        </w:rPr>
      </w:pPr>
    </w:p>
    <w:p w14:paraId="19BF8BA2" w14:textId="5A6F7AD8" w:rsidR="00BC2E93" w:rsidRPr="00A54EDD" w:rsidRDefault="009710A6" w:rsidP="00A54EDD">
      <w:pPr>
        <w:spacing w:before="120" w:after="0" w:line="252" w:lineRule="auto"/>
        <w:jc w:val="both"/>
        <w:rPr>
          <w:rFonts w:eastAsia="Times New Roman" w:cstheme="minorHAnsi"/>
          <w:b/>
        </w:rPr>
      </w:pPr>
      <w:r>
        <w:rPr>
          <w:b/>
        </w:rPr>
        <w:t>I.- BIEN-FONDÉ DE LA PROPOSITION</w:t>
      </w:r>
    </w:p>
    <w:p w14:paraId="02F53F5D" w14:textId="60A15157" w:rsidR="00CC761D" w:rsidRDefault="009710A6" w:rsidP="00F152C8">
      <w:pPr>
        <w:spacing w:before="120" w:after="0" w:line="252" w:lineRule="auto"/>
        <w:jc w:val="both"/>
        <w:rPr>
          <w:rFonts w:eastAsia="Times New Roman" w:cstheme="minorHAnsi"/>
          <w:b/>
        </w:rPr>
      </w:pPr>
      <w:r>
        <w:rPr>
          <w:b/>
        </w:rPr>
        <w:t>1) Contexte</w:t>
      </w:r>
    </w:p>
    <w:p w14:paraId="6EC69F20" w14:textId="474B9A3E" w:rsidR="00C91111" w:rsidRPr="00A54EDD" w:rsidRDefault="00C91111" w:rsidP="006E376E">
      <w:pPr>
        <w:pStyle w:val="ListParagraph"/>
        <w:numPr>
          <w:ilvl w:val="0"/>
          <w:numId w:val="2"/>
        </w:numPr>
        <w:spacing w:before="120" w:after="0" w:line="252" w:lineRule="auto"/>
        <w:jc w:val="both"/>
        <w:rPr>
          <w:rFonts w:eastAsia="Times New Roman" w:cstheme="minorHAnsi"/>
        </w:rPr>
      </w:pPr>
      <w:r>
        <w:t>Motifs pour la proposition</w:t>
      </w:r>
    </w:p>
    <w:p w14:paraId="70A520C9" w14:textId="511E97DF" w:rsidR="00D4608A" w:rsidRPr="005D7E38" w:rsidRDefault="001251FD" w:rsidP="005D7E38">
      <w:pPr>
        <w:spacing w:before="120" w:after="0" w:line="252" w:lineRule="auto"/>
        <w:jc w:val="both"/>
        <w:rPr>
          <w:rFonts w:eastAsia="Times New Roman" w:cstheme="minorHAnsi"/>
          <w:u w:val="single"/>
        </w:rPr>
      </w:pPr>
      <w:r>
        <w:rPr>
          <w:u w:val="single"/>
        </w:rPr>
        <w:t>Au niveau européen</w:t>
      </w:r>
    </w:p>
    <w:p w14:paraId="6D3D2111" w14:textId="1D74C418" w:rsidR="000B43D7" w:rsidRDefault="000B43D7" w:rsidP="00F155A8">
      <w:pPr>
        <w:spacing w:before="120" w:after="0" w:line="252" w:lineRule="auto"/>
        <w:jc w:val="both"/>
        <w:rPr>
          <w:rFonts w:eastAsia="Times New Roman" w:cstheme="minorHAnsi"/>
        </w:rPr>
      </w:pPr>
      <w:r>
        <w:t>Le dernier rapport de mise en œuvre du 112 préparé par la Commission européenne montre une augmentation des appels au 112 au niveau de l’UE, indiquant</w:t>
      </w:r>
      <w:r>
        <w:rPr>
          <w:b/>
        </w:rPr>
        <w:t xml:space="preserve"> </w:t>
      </w:r>
      <w:r>
        <w:t>la croissance dans l’adoption et l’utilisation de ce nombre pour les situations d’urgence, par rapport aux alternatives. En outre, le rapport note des améliorations significatives dans l’exactitude des informations relatives à la localisation des appels d’urgence grâce au déploiement de nouvelles technologies, compte tenu de l’augmentation continue du nombre d’appels d’urgence à partir de téléphones mobiles.</w:t>
      </w:r>
    </w:p>
    <w:p w14:paraId="43722528" w14:textId="65307FE1" w:rsidR="000B43D7" w:rsidRDefault="000B43D7" w:rsidP="00F155A8">
      <w:pPr>
        <w:spacing w:before="120" w:after="0" w:line="252" w:lineRule="auto"/>
        <w:jc w:val="both"/>
        <w:rPr>
          <w:rFonts w:eastAsia="Times New Roman" w:cstheme="minorHAnsi"/>
        </w:rPr>
      </w:pPr>
      <w:r>
        <w:t>L’article 109 de la directive (UE) 2018/1972 du Parlement européen et du Conseil du 11 décembre 2018 établissant le code des communications électroniques européen, récemment transposé en droit espagnol, réglemente les communications d’urgence et le numéro d’urgence européen unique. Les principaux aspects nouveaux à cet égard sont les suivants: amélioration de la localisation de l’appelant à l’aide d’informations de localisation dérivées des téléphones, égalité d’accès aux communications d’urgence pour les utilisateurs handicapés et la possibilité d’utiliser différents services de communications électroniques, ce qui laisse aux États membres la possibilité de limiter ceux-ci aux communications vocales et leur équivalent pour les utilisateurs finaux handicapés.</w:t>
      </w:r>
    </w:p>
    <w:p w14:paraId="3125C5A3" w14:textId="6937D1EE" w:rsidR="00833B44" w:rsidRDefault="006B5BB6" w:rsidP="00F155A8">
      <w:pPr>
        <w:spacing w:before="120" w:after="0" w:line="252" w:lineRule="auto"/>
        <w:jc w:val="both"/>
        <w:rPr>
          <w:rFonts w:eastAsia="Times New Roman" w:cstheme="minorHAnsi"/>
        </w:rPr>
      </w:pPr>
      <w:r>
        <w:t>À cet égard, il convient de noter qu’un certain nombre de pays utilisent l’installation ou la technologie d’urgence AML, développée au Royaume-Uni, compte tenu de son indéniable valeur de sauvetage pratique.</w:t>
      </w:r>
    </w:p>
    <w:p w14:paraId="04B96711" w14:textId="5AEC96AE" w:rsidR="00F20C19" w:rsidRPr="00833B44" w:rsidRDefault="0021507F" w:rsidP="00F155A8">
      <w:pPr>
        <w:spacing w:before="120" w:after="0" w:line="252" w:lineRule="auto"/>
        <w:jc w:val="both"/>
        <w:rPr>
          <w:rFonts w:eastAsia="Times New Roman" w:cstheme="minorHAnsi"/>
        </w:rPr>
      </w:pPr>
      <w:r>
        <w:t>AML fournit des informations géographiques ou de localisation sur l’appelant qui sont nettement plus précises que celles des réseaux, en utilisant les informations de localisation du combiné mobile ou du terminal, obtenues au moyen du positionnement par satellite ou des réseaux Wi-Fi. Selon l’EENA (Association européenne du numéro d’appel d’urgence), AML est jusqu’à 4 000 fois plus précis que l’emplacement fondé sur le réseau, car il fournit des informations sur l’emplacement de l’appelant dans un rayon de 50 mètres, alors qu’un rayon de réseau peut être de plusieurs kilomètres dans les zones rurales.</w:t>
      </w:r>
    </w:p>
    <w:p w14:paraId="2A148787" w14:textId="0955B35C" w:rsidR="00956C37" w:rsidRDefault="00956C37" w:rsidP="00F20C19">
      <w:pPr>
        <w:spacing w:before="120" w:after="0" w:line="252" w:lineRule="auto"/>
        <w:jc w:val="both"/>
        <w:rPr>
          <w:rFonts w:eastAsia="Times New Roman" w:cstheme="minorHAnsi"/>
        </w:rPr>
      </w:pPr>
      <w:r>
        <w:t>Au niveau européen, selon les données fournies par la Commission européenne, au moins 15 États membres ont déjà déployé cette technologie (Belgique, Estonie, Finlande, Irlande, Lituanie, Malte, Slovénie, Royaume-Uni, Allemagne, Danemark, France, Croatie, Hongrie, Portugal et Suède). Des pays tels que les États-Unis, la Nouvelle-Zélande, le Mexique, les Émirats arabes unis et la Norvège l’ont également mise en œuvre.</w:t>
      </w:r>
    </w:p>
    <w:p w14:paraId="58888511" w14:textId="39F3DEF0" w:rsidR="00BA6F4D" w:rsidRDefault="00BA6F4D" w:rsidP="00F152C8">
      <w:pPr>
        <w:spacing w:before="120" w:after="0" w:line="252" w:lineRule="auto"/>
        <w:jc w:val="both"/>
        <w:rPr>
          <w:rFonts w:eastAsia="Times New Roman" w:cstheme="minorHAnsi"/>
          <w:u w:val="single"/>
          <w:lang w:eastAsia="es-ES"/>
        </w:rPr>
      </w:pPr>
    </w:p>
    <w:p w14:paraId="733C57A6" w14:textId="23F27A03" w:rsidR="001B1E5A" w:rsidRDefault="001B1E5A" w:rsidP="001B1E5A">
      <w:pPr>
        <w:jc w:val="both"/>
        <w:rPr>
          <w:rFonts w:cs="Arial"/>
        </w:rPr>
      </w:pPr>
      <w:r>
        <w:t>Pour appliquer ces nouvelles capacités technologiques dans l’intérêt public, le présent décret royal vise à mettre en œuvre l’article 74 «Communications d’urgence et numéro d’urgence unique 112»</w:t>
      </w:r>
      <w:r>
        <w:rPr>
          <w:sz w:val="24"/>
        </w:rPr>
        <w:t xml:space="preserve"> de la loi générale sur les télécommunications 11/2022 du 28 juin 2022</w:t>
      </w:r>
      <w:r>
        <w:t xml:space="preserve">, afin de compléter et de réglementer davantage les communications d’urgence utilisant le numéro d’urgence unique 112 et régir certains aspects des communications d’urgence </w:t>
      </w:r>
      <w:r>
        <w:lastRenderedPageBreak/>
        <w:t>utilisant d’autres numéros de téléphone. Les fournisseurs de services de communications interpersonnelles fondés sur la numérotation accessibles au public, lorsque ces services permettent aux utilisateurs finaux d’envoyer des appels à un numéro dans un plan national ou international de numérotation, doivent fournir un accès aux services d’urgence, ces options étant limitées aux communications vocales (et leur équivalent pour les utilisateurs finaux handicapés).</w:t>
      </w:r>
    </w:p>
    <w:p w14:paraId="6CFB5E0F" w14:textId="77777777" w:rsidR="001B1E5A" w:rsidRDefault="001B1E5A" w:rsidP="001B1E5A">
      <w:pPr>
        <w:autoSpaceDE w:val="0"/>
        <w:autoSpaceDN w:val="0"/>
        <w:adjustRightInd w:val="0"/>
        <w:spacing w:before="120" w:after="0" w:line="252" w:lineRule="auto"/>
        <w:jc w:val="both"/>
        <w:rPr>
          <w:rFonts w:cs="Arial"/>
        </w:rPr>
      </w:pPr>
      <w:r>
        <w:t>Elle précise également que l’accès au service doit être gratuit, sans avoir à recourir à aucun moyen de paiement.</w:t>
      </w:r>
    </w:p>
    <w:p w14:paraId="7762B0BA" w14:textId="3794C14D" w:rsidR="001B1E5A" w:rsidRDefault="001B1E5A" w:rsidP="001B1E5A">
      <w:pPr>
        <w:autoSpaceDE w:val="0"/>
        <w:autoSpaceDN w:val="0"/>
        <w:adjustRightInd w:val="0"/>
        <w:spacing w:before="120" w:after="0" w:line="252" w:lineRule="auto"/>
        <w:jc w:val="both"/>
        <w:rPr>
          <w:rFonts w:cs="Arial"/>
        </w:rPr>
      </w:pPr>
      <w:r>
        <w:t>En ce qui concerne les communications d’urgence utilisant le 112, ce décret réglemente également les informations de localisation qui doivent être fournies, ainsi que les heures et les parties auxquelles elles doivent être fournies. À cet égard, le présent décret royal prévoit la nouvelle exigence de fournir des informations de localisation de l’appelant via le combiné mobile, en utilisant l’installation AML (Système de géolocalisation mobile avancée en cas d’urgence).</w:t>
      </w:r>
    </w:p>
    <w:p w14:paraId="2022C91C" w14:textId="77777777" w:rsidR="001B1E5A" w:rsidRDefault="001B1E5A" w:rsidP="001B1E5A">
      <w:pPr>
        <w:autoSpaceDE w:val="0"/>
        <w:autoSpaceDN w:val="0"/>
        <w:adjustRightInd w:val="0"/>
        <w:spacing w:before="120" w:after="0" w:line="252" w:lineRule="auto"/>
        <w:jc w:val="both"/>
        <w:rPr>
          <w:rFonts w:cs="Arial"/>
        </w:rPr>
      </w:pPr>
      <w:r>
        <w:t>Le présent décret royal régit également le coût et la transmission des informations de localisation, en précisant que les informations doivent être fournies gratuitement aux services d’urgence et à l’utilisateur final.</w:t>
      </w:r>
    </w:p>
    <w:p w14:paraId="7189F330" w14:textId="77777777" w:rsidR="001B1E5A" w:rsidRDefault="001B1E5A" w:rsidP="001B1E5A">
      <w:pPr>
        <w:autoSpaceDE w:val="0"/>
        <w:autoSpaceDN w:val="0"/>
        <w:adjustRightInd w:val="0"/>
        <w:spacing w:before="120" w:after="0" w:line="252" w:lineRule="auto"/>
        <w:jc w:val="both"/>
        <w:rPr>
          <w:rFonts w:cs="Arial"/>
        </w:rPr>
      </w:pPr>
      <w:r>
        <w:t>Il contient des dispositions visant à garantir l’égalité d’accès aux services d’urgence pour tous les citoyens de l’UE, y compris les utilisateurs finaux handicapés.</w:t>
      </w:r>
    </w:p>
    <w:p w14:paraId="5443653C" w14:textId="77777777" w:rsidR="001B1E5A" w:rsidRDefault="001B1E5A" w:rsidP="001B1E5A">
      <w:pPr>
        <w:autoSpaceDE w:val="0"/>
        <w:autoSpaceDN w:val="0"/>
        <w:adjustRightInd w:val="0"/>
        <w:spacing w:before="120" w:after="0" w:line="252" w:lineRule="auto"/>
        <w:jc w:val="both"/>
        <w:rPr>
          <w:rFonts w:cs="Arial"/>
        </w:rPr>
      </w:pPr>
      <w:r>
        <w:t>Ce décret accorde également aux utilisateurs finaux le droit de recevoir des informations appropriées sur l’existence et l’utilisation du 112 et sur ses caractéristiques d’accessibilité.</w:t>
      </w:r>
    </w:p>
    <w:p w14:paraId="388F7EBF" w14:textId="77777777" w:rsidR="001B1E5A" w:rsidRDefault="001B1E5A" w:rsidP="001B1E5A">
      <w:pPr>
        <w:autoSpaceDE w:val="0"/>
        <w:autoSpaceDN w:val="0"/>
        <w:adjustRightInd w:val="0"/>
        <w:spacing w:before="120" w:after="0" w:line="252" w:lineRule="auto"/>
        <w:jc w:val="both"/>
        <w:rPr>
          <w:rFonts w:cs="Arial"/>
        </w:rPr>
      </w:pPr>
      <w:r>
        <w:t>Il fournit également l’option d’appeler 112 à partir de</w:t>
      </w:r>
      <w:r>
        <w:rPr>
          <w:b/>
        </w:rPr>
        <w:t xml:space="preserve"> </w:t>
      </w:r>
      <w:r>
        <w:t>réseaux privés.</w:t>
      </w:r>
    </w:p>
    <w:p w14:paraId="04E63ECF" w14:textId="54DC9F73" w:rsidR="001B1E5A" w:rsidRDefault="00CF1A79" w:rsidP="001B1E5A">
      <w:pPr>
        <w:autoSpaceDE w:val="0"/>
        <w:autoSpaceDN w:val="0"/>
        <w:adjustRightInd w:val="0"/>
        <w:spacing w:before="120" w:after="0" w:line="252" w:lineRule="auto"/>
        <w:jc w:val="both"/>
        <w:rPr>
          <w:rFonts w:cs="Arial"/>
        </w:rPr>
      </w:pPr>
      <w:r>
        <w:t>La première disposition supplémentaire régit certains aspects des communications d’urgence utilisant d’autres numéros de téléphone.</w:t>
      </w:r>
    </w:p>
    <w:p w14:paraId="227C798A" w14:textId="76020B11" w:rsidR="001B1E5A" w:rsidRDefault="004732F0" w:rsidP="001B1E5A">
      <w:pPr>
        <w:autoSpaceDE w:val="0"/>
        <w:autoSpaceDN w:val="0"/>
        <w:adjustRightInd w:val="0"/>
        <w:spacing w:before="120" w:after="0" w:line="252" w:lineRule="auto"/>
        <w:jc w:val="both"/>
        <w:rPr>
          <w:rFonts w:cs="Arial"/>
        </w:rPr>
      </w:pPr>
      <w:r>
        <w:t>La deuxième disposition supplémentaire permet également d’inclure ou de réglementer ultérieurement ces autres options pour les appels d’urgence, qui doivent être précisées dans un arrêté ministériel.</w:t>
      </w:r>
    </w:p>
    <w:p w14:paraId="73FE37F4" w14:textId="551EA24F" w:rsidR="001B1E5A" w:rsidRDefault="004732F0" w:rsidP="001B1E5A">
      <w:pPr>
        <w:autoSpaceDE w:val="0"/>
        <w:autoSpaceDN w:val="0"/>
        <w:adjustRightInd w:val="0"/>
        <w:spacing w:before="120" w:after="0" w:line="252" w:lineRule="auto"/>
        <w:jc w:val="both"/>
        <w:rPr>
          <w:rFonts w:cs="Arial"/>
        </w:rPr>
      </w:pPr>
      <w:r>
        <w:rPr>
          <w:sz w:val="24"/>
        </w:rPr>
        <w:t>Pour garantir la fonctionnalité du système, le décret fixe un délai de 3 mois après son entrée en vigueur, après quoi il ne sera pas autorisé à introduire, sur le marché espagnol, des combinés mobiles avec une capacité de calcul interactif et multimédia qui ne permettent pas une utilisation efficace de la fonctionnalité AML.</w:t>
      </w:r>
    </w:p>
    <w:p w14:paraId="0865D0F2" w14:textId="77777777" w:rsidR="00BA6F4D" w:rsidRDefault="00BA6F4D" w:rsidP="00F152C8">
      <w:pPr>
        <w:spacing w:before="120" w:after="0" w:line="252" w:lineRule="auto"/>
        <w:jc w:val="both"/>
        <w:rPr>
          <w:rFonts w:eastAsia="Times New Roman" w:cstheme="minorHAnsi"/>
          <w:u w:val="single"/>
          <w:lang w:eastAsia="es-ES"/>
        </w:rPr>
      </w:pPr>
    </w:p>
    <w:p w14:paraId="3764750E" w14:textId="1176B3C6" w:rsidR="00BC2E93" w:rsidRPr="005D7E38" w:rsidRDefault="00BC2E93" w:rsidP="00F152C8">
      <w:pPr>
        <w:spacing w:before="120" w:after="0" w:line="252" w:lineRule="auto"/>
        <w:jc w:val="both"/>
        <w:rPr>
          <w:rFonts w:eastAsia="Times New Roman" w:cstheme="minorHAnsi"/>
          <w:u w:val="single"/>
        </w:rPr>
      </w:pPr>
      <w:r>
        <w:rPr>
          <w:u w:val="single"/>
        </w:rPr>
        <w:t>La situation en Espagne</w:t>
      </w:r>
    </w:p>
    <w:p w14:paraId="3C631D92" w14:textId="450D7961" w:rsidR="000D0FD0" w:rsidRDefault="006B5BB6" w:rsidP="00C35F53">
      <w:pPr>
        <w:spacing w:before="120" w:after="0" w:line="252" w:lineRule="auto"/>
        <w:jc w:val="both"/>
        <w:rPr>
          <w:rFonts w:eastAsia="Times New Roman" w:cstheme="minorHAnsi"/>
        </w:rPr>
      </w:pPr>
      <w:r>
        <w:t>L’accès au service d’intervention d’urgence 112 et la fourniture d’informations sur la localisation de l’appelant sont principalement régis par le décret royal 903/1997 du 16 juin 1997 régissant l’accès, sur les réseaux de télécommunications, au service d’intervention d’urgence au numéro 112 et dans l’arrêté du 14 octobre 1999 relatif aux conditions de fourniture d’informations pertinentes pour la fourniture du service d’intervention d’urgence en utilisant le numéro 112. Il convient de noter que cette législation a été publiée dans le cadre de l’introduction du numéro d’urgence européen 112.</w:t>
      </w:r>
    </w:p>
    <w:p w14:paraId="5C33C120" w14:textId="392E569E" w:rsidR="006B5BB6" w:rsidRDefault="006B5BB6" w:rsidP="00C35F53">
      <w:pPr>
        <w:spacing w:before="120" w:after="0" w:line="252" w:lineRule="auto"/>
        <w:jc w:val="both"/>
        <w:rPr>
          <w:rFonts w:eastAsia="Times New Roman" w:cstheme="minorHAnsi"/>
        </w:rPr>
      </w:pPr>
      <w:r>
        <w:t xml:space="preserve">Bien que la validité de ces règlements ait été généralement prolongée par des statuts tels que la loi générale sur les télécommunications 9/2014 du 9 mai 2014, l’adoption du code </w:t>
      </w:r>
      <w:r>
        <w:lastRenderedPageBreak/>
        <w:t xml:space="preserve">européen des communications électroniques et de sa toute nouvelle loi de transposition, ainsi que </w:t>
      </w:r>
      <w:r>
        <w:rPr>
          <w:sz w:val="24"/>
        </w:rPr>
        <w:t>la loi générale sur les télécommunications 11/2022 du 28 juin 2022</w:t>
      </w:r>
      <w:r>
        <w:t xml:space="preserve"> exige, d’une part, la mise à jour de ce règlement en fonction de la situation actuelle et, d’autre part, le déploiement du système AML en Espagne et la mise en place d’un accès égal aux services d’urgence 112 pour tous les citoyens de l’UE, ce qui nécessite nécessairement des dispositions garantissant l’égalité d’accès.</w:t>
      </w:r>
    </w:p>
    <w:p w14:paraId="70B7F59F" w14:textId="77777777" w:rsidR="001A3535" w:rsidRDefault="001A3535" w:rsidP="00C35F53">
      <w:pPr>
        <w:spacing w:before="120" w:after="0" w:line="252" w:lineRule="auto"/>
        <w:jc w:val="both"/>
        <w:rPr>
          <w:rFonts w:eastAsia="Times New Roman" w:cstheme="minorHAnsi"/>
          <w:lang w:eastAsia="es-ES"/>
        </w:rPr>
      </w:pPr>
    </w:p>
    <w:p w14:paraId="65D6D2FB" w14:textId="5475D5B8" w:rsidR="00804894" w:rsidRPr="00804894" w:rsidRDefault="00804894" w:rsidP="00B61502">
      <w:pPr>
        <w:pStyle w:val="ListParagraph"/>
        <w:keepNext/>
        <w:numPr>
          <w:ilvl w:val="0"/>
          <w:numId w:val="2"/>
        </w:numPr>
        <w:spacing w:before="120" w:after="0" w:line="252" w:lineRule="auto"/>
        <w:ind w:left="714" w:hanging="357"/>
        <w:jc w:val="both"/>
        <w:rPr>
          <w:rFonts w:eastAsia="Times New Roman" w:cstheme="minorHAnsi"/>
        </w:rPr>
      </w:pPr>
      <w:r>
        <w:t>Identification des groupes touchés</w:t>
      </w:r>
    </w:p>
    <w:p w14:paraId="7D68CA9C" w14:textId="045D7F02" w:rsidR="00804894" w:rsidRDefault="00804894" w:rsidP="00B65B1C">
      <w:pPr>
        <w:spacing w:before="120" w:after="0" w:line="252" w:lineRule="auto"/>
        <w:jc w:val="both"/>
        <w:rPr>
          <w:rFonts w:eastAsia="Times New Roman" w:cstheme="minorHAnsi"/>
        </w:rPr>
      </w:pPr>
      <w:r>
        <w:t>L’un des groupes touchés est les fournisseurs de services de communications interpersonnelles à numéro mobile qui doivent fournir un accès aux services d’urgence en utilisant des communications vocales (et leur équivalent pour les utilisateurs handicapés).</w:t>
      </w:r>
    </w:p>
    <w:p w14:paraId="6F9962D0" w14:textId="4621D6F2" w:rsidR="00804894" w:rsidRDefault="00804894" w:rsidP="00B65B1C">
      <w:pPr>
        <w:spacing w:before="120" w:after="0" w:line="252" w:lineRule="auto"/>
        <w:jc w:val="both"/>
        <w:rPr>
          <w:rFonts w:eastAsia="Times New Roman" w:cstheme="minorHAnsi"/>
        </w:rPr>
      </w:pPr>
      <w:r>
        <w:t>En outre, ce décret concerne les différentes autorités publiques chargées de fournir le service d’intervention d’urgence 112.</w:t>
      </w:r>
    </w:p>
    <w:p w14:paraId="1D606CCC" w14:textId="08C67ECF" w:rsidR="005810DE" w:rsidRDefault="00557218" w:rsidP="004B6CD6">
      <w:pPr>
        <w:spacing w:before="120" w:after="0" w:line="252" w:lineRule="auto"/>
        <w:jc w:val="both"/>
        <w:rPr>
          <w:rFonts w:eastAsia="Times New Roman" w:cstheme="minorHAnsi"/>
        </w:rPr>
      </w:pPr>
      <w:r>
        <w:t>Enfin, les individus verront un avantage positif majeur du décret, dans la précision accrue de l’emplacement des combinés mobiles.</w:t>
      </w:r>
    </w:p>
    <w:p w14:paraId="430C1B3D" w14:textId="2C3F8F12" w:rsidR="00557218" w:rsidRPr="00557218" w:rsidRDefault="00EB0257" w:rsidP="004B6CD6">
      <w:pPr>
        <w:spacing w:before="120" w:after="0" w:line="252" w:lineRule="auto"/>
        <w:jc w:val="both"/>
        <w:rPr>
          <w:rFonts w:eastAsia="Times New Roman" w:cstheme="minorHAnsi"/>
        </w:rPr>
      </w:pPr>
      <w:r>
        <w:t>Les utilisateurs handicapés peuvent accéder aux services d’urgence en utilisant des communications électroniques dans des conditions équivalentes à celles des autres utilisateurs finaux.</w:t>
      </w:r>
    </w:p>
    <w:p w14:paraId="606FF75A" w14:textId="11ECC346" w:rsidR="00557218" w:rsidRPr="004B6CD6" w:rsidRDefault="00557218" w:rsidP="00B65B1C">
      <w:pPr>
        <w:spacing w:before="120" w:after="0" w:line="252" w:lineRule="auto"/>
        <w:jc w:val="both"/>
        <w:rPr>
          <w:rFonts w:eastAsia="Times New Roman" w:cstheme="minorHAnsi"/>
          <w:lang w:eastAsia="es-ES"/>
        </w:rPr>
      </w:pPr>
    </w:p>
    <w:p w14:paraId="57F1DD62" w14:textId="4FCDDB1C" w:rsidR="004B6CD6" w:rsidRPr="00E53AC5" w:rsidRDefault="003A7782" w:rsidP="00F152C8">
      <w:pPr>
        <w:spacing w:before="120" w:after="0" w:line="252" w:lineRule="auto"/>
        <w:jc w:val="both"/>
        <w:rPr>
          <w:rFonts w:cs="Arial"/>
          <w:b/>
          <w:bCs/>
        </w:rPr>
      </w:pPr>
      <w:r>
        <w:rPr>
          <w:b/>
        </w:rPr>
        <w:t>2) Objectifs</w:t>
      </w:r>
    </w:p>
    <w:p w14:paraId="4181A1D4" w14:textId="0566E4E1" w:rsidR="00BF56AD" w:rsidRDefault="00BF56AD" w:rsidP="00BF56AD">
      <w:pPr>
        <w:spacing w:before="120" w:after="0" w:line="252" w:lineRule="auto"/>
        <w:jc w:val="both"/>
        <w:rPr>
          <w:rFonts w:cs="Arial"/>
          <w:bCs/>
        </w:rPr>
      </w:pPr>
    </w:p>
    <w:p w14:paraId="62DF92EE" w14:textId="2151151D" w:rsidR="00CB0325" w:rsidRPr="00CB0325" w:rsidRDefault="00CB0325" w:rsidP="00094793">
      <w:pPr>
        <w:jc w:val="both"/>
        <w:rPr>
          <w:rFonts w:cs="Arial"/>
        </w:rPr>
      </w:pPr>
      <w:r>
        <w:t>L’objectif principal</w:t>
      </w:r>
      <w:r>
        <w:rPr>
          <w:sz w:val="24"/>
        </w:rPr>
        <w:t xml:space="preserve"> de ce décret royal est de mettre en œuvre l’article 74 de la loi générale sur les télécommunications 11/2022 du 28 juin 2018, qui a transposé en droit espagnol l’article 109 de la directive (UE) 2018/1972 du Parlement européen et du Conseil du 11 décembre 2018 établissant le code des communications électroniques européen, et régit le numéro d’urgence unique européen 112.</w:t>
      </w:r>
    </w:p>
    <w:p w14:paraId="3F6AE45B" w14:textId="31E5392D" w:rsidR="00AC4ABE" w:rsidRPr="00095CDC" w:rsidRDefault="00BF56AD" w:rsidP="00094793">
      <w:pPr>
        <w:spacing w:after="200" w:line="276" w:lineRule="auto"/>
        <w:jc w:val="both"/>
        <w:rPr>
          <w:rFonts w:cstheme="minorHAnsi"/>
          <w:bCs/>
          <w:iCs/>
          <w:sz w:val="24"/>
          <w:szCs w:val="24"/>
        </w:rPr>
      </w:pPr>
      <w:r>
        <w:t>L’un des principaux objectifs de ce décret est de mettre en œuvre le système AML en Espagne, c’est-à-dire un système permettant de fournir aux services d’urgence des informations de localisation de l’appelant basées sur le terminal mobile, défini de la manière suivante:</w:t>
      </w:r>
      <w:r>
        <w:rPr>
          <w:sz w:val="24"/>
        </w:rPr>
        <w:t xml:space="preserve"> Système de géolocalisation mobile avancé en cas d’urgence ou AML: un système qui utilise un combiné mobile pour activer les services de localisation et envoie l’emplacement aux services d'intervention d'urgence 112, définis par l’Institut européen des normes de télécommunications (ETSI) dans sa norme ETSI-TS-103-625 ou un autre système équivalent.</w:t>
      </w:r>
    </w:p>
    <w:p w14:paraId="5C9AE54C" w14:textId="5A19C194" w:rsidR="00BF56AD" w:rsidRPr="00BF56AD" w:rsidRDefault="00BF56AD" w:rsidP="00BF56AD">
      <w:pPr>
        <w:spacing w:before="120" w:after="0" w:line="252" w:lineRule="auto"/>
        <w:jc w:val="both"/>
        <w:rPr>
          <w:rFonts w:cs="Arial"/>
          <w:bCs/>
        </w:rPr>
      </w:pPr>
      <w:r>
        <w:t>Appeler les services d’urgence à partir d’un appareil mobile avec le système AML active les services de localisation, y compris GNSS (GPS, Galileo) et Wi-Fi, et envoie l’emplacement exact aux services d’urgence. </w:t>
      </w:r>
    </w:p>
    <w:p w14:paraId="3D5B77E4" w14:textId="45085EB2" w:rsidR="00BF56AD" w:rsidRPr="00BF56AD" w:rsidRDefault="00BF56AD" w:rsidP="00BF56AD">
      <w:pPr>
        <w:spacing w:before="120" w:after="0" w:line="252" w:lineRule="auto"/>
        <w:jc w:val="both"/>
        <w:rPr>
          <w:rFonts w:cs="Arial"/>
          <w:bCs/>
        </w:rPr>
      </w:pPr>
      <w:r>
        <w:t xml:space="preserve">Cette installation fournit des informations sur la latitude et la longitude de la position géographique de l’équipement terminal, fournissant des informations sur l’emplacement de l’appelant beaucoup plus précises que les installations fondées sur le réseau. En outre, le système d’exploitation du terminal mobile est livré avec l’installation, de sorte que </w:t>
      </w:r>
      <w:r>
        <w:lastRenderedPageBreak/>
        <w:t>l’utilisateur n’a pas besoin de télécharger des applications ou d’effectuer des actions supplémentaires. Le système AML s’active automatiquement, il ne nécessite même pas de carte SIM activée.</w:t>
      </w:r>
    </w:p>
    <w:p w14:paraId="79133327" w14:textId="33010D44" w:rsidR="00BF56AD" w:rsidRPr="00BF56AD" w:rsidRDefault="00BF56AD" w:rsidP="00BF56AD">
      <w:pPr>
        <w:spacing w:before="120" w:after="0" w:line="252" w:lineRule="auto"/>
        <w:jc w:val="both"/>
        <w:rPr>
          <w:rFonts w:cs="Arial"/>
          <w:bCs/>
        </w:rPr>
      </w:pPr>
      <w:r>
        <w:t>Ce système, les informations relatives à la localisation de l’appelant sur la base du terminal mobile, est prévue dans la directive établissant le code des communications électroniques européen, dont l’article 109, paragraphe 6, dispose que les informations relatives à la localisation de l’appelant d’urgence comprennent des informations de localisation fondées sur le réseau et, le cas échéant, des informations sur la localisation de l’appelant provenant des téléphones.</w:t>
      </w:r>
    </w:p>
    <w:p w14:paraId="709E4A63" w14:textId="6D25AAB4" w:rsidR="00BF56AD" w:rsidRPr="00BF56AD" w:rsidRDefault="00BF56AD" w:rsidP="00BF56AD">
      <w:pPr>
        <w:spacing w:before="120" w:after="0" w:line="252" w:lineRule="auto"/>
        <w:jc w:val="both"/>
        <w:rPr>
          <w:rFonts w:cs="Arial"/>
          <w:bCs/>
        </w:rPr>
      </w:pPr>
      <w:r>
        <w:t>Traditionnellement, les informations de localisation personnelle étaient obtenues à l’aide d’informations sur la localisation du réseau, par exemple des informations sur la cellule d’origine de l’appel. Cependant, l’intégration de ce système AML devient essentiel pour les services d’urgence, étant donné que la durée de vie de l’appelant dépend parfois de l’exactitude de la position géographique. Pour cette raison, les fournisseurs du 112 ont souligné que ce système est essentiel pour améliorer les interventions d’urgence. Ce système complète les informations de localisation de l’appelant obtenues à l’aide de réseaux.</w:t>
      </w:r>
    </w:p>
    <w:p w14:paraId="0398B579" w14:textId="51DF9CFE" w:rsidR="00BF56AD" w:rsidRPr="00BF56AD" w:rsidRDefault="00BA6F4D" w:rsidP="009C1B4D">
      <w:pPr>
        <w:spacing w:before="120" w:after="0" w:line="252" w:lineRule="auto"/>
        <w:jc w:val="both"/>
        <w:rPr>
          <w:rFonts w:cs="Arial"/>
          <w:bCs/>
        </w:rPr>
      </w:pPr>
      <w:r>
        <w:t xml:space="preserve">Selon la Commission européenne, 15 États membres ont déployé ou déploient le système AML (Belgique, Estonie, Finlande, Irlande, Lituanie, Malte, Slovénie, Royaume-Uni, Allemagne, Danemark, France, Croatie, Hongrie, Portugal et Suède). Ce décret prévoit que l’Espagne rejoigne les États membres qui possèdent déjà le système AML. En outre, divers pays </w:t>
      </w:r>
      <w:proofErr w:type="gramStart"/>
      <w:r>
        <w:t>non membres</w:t>
      </w:r>
      <w:proofErr w:type="gramEnd"/>
      <w:r>
        <w:t xml:space="preserve"> de l’UE utilisent ce système, comme les États-Unis, la Nouvelle-Zélande, le Mexique, les Émirats arabes unis et la Norvège.</w:t>
      </w:r>
    </w:p>
    <w:p w14:paraId="1476A007" w14:textId="5EFE5BDF" w:rsidR="00BF56AD" w:rsidRPr="00BF56AD" w:rsidRDefault="00BF56AD" w:rsidP="00BF56AD">
      <w:pPr>
        <w:spacing w:before="120" w:after="0" w:line="252" w:lineRule="auto"/>
        <w:jc w:val="both"/>
        <w:rPr>
          <w:rFonts w:cs="Arial"/>
          <w:bCs/>
        </w:rPr>
      </w:pPr>
      <w:r>
        <w:t>Ce décret fait du système AML une réalité en Espagne, surmontant ainsi les obstacles à sa mise en œuvre. Pour cela, les autorités ont créé un groupe de travail composé de personnel du ministère de l’Économie et de la Transformation numérique et du ministère de l’Intérieur, de représentants ou de gestionnaires et d'opérateurs du 112 qui ont analysé les implications techniques, économiques et juridiques de son utilisation et ont défini ou établi avec succès un point de réception unique pour les informations de localisation, en particulier au ministère de l’Intérieur, qui à son tour transmettra ces informations aux centres d’appel d’urgence du 112.</w:t>
      </w:r>
    </w:p>
    <w:p w14:paraId="7F068F07" w14:textId="14655F70" w:rsidR="00BF56AD" w:rsidRPr="00BF56AD" w:rsidRDefault="00BF56AD" w:rsidP="00BF56AD">
      <w:pPr>
        <w:spacing w:before="120" w:after="0" w:line="252" w:lineRule="auto"/>
        <w:jc w:val="both"/>
        <w:rPr>
          <w:rFonts w:cs="Arial"/>
          <w:bCs/>
        </w:rPr>
      </w:pPr>
      <w:r>
        <w:t>Un autre objectif de ce décret est d’assurer l’égalité d’accès aux services d’urgence par l’intermédiaire du 112 pour les personnes handicapées. À cet effet, le décret royal contient des dispositions garantissant que l’accès aux services d’urgence est accessible aux utilisateurs finaux handicapés et équivalent à celui dont bénéficient les autres utilisateurs finaux. En outre, ce décret garantit que les utilisateurs handicapés d’autres États membres peuvent accéder aux services d’urgence dans des conditions équivalentes à celles des autres utilisateurs finaux. Il indique également que les utilisateurs finaux recevront des informations sur les caractéristiques d’accessibilité du 112.</w:t>
      </w:r>
    </w:p>
    <w:p w14:paraId="39A9FDB9" w14:textId="4521CD41" w:rsidR="00BF56AD" w:rsidRPr="00BF56AD" w:rsidRDefault="00BF56AD" w:rsidP="00BF56AD">
      <w:pPr>
        <w:spacing w:before="120" w:after="0" w:line="252" w:lineRule="auto"/>
        <w:jc w:val="both"/>
        <w:rPr>
          <w:rFonts w:cs="Arial"/>
          <w:bCs/>
        </w:rPr>
      </w:pPr>
      <w:r>
        <w:t>En outre, il convient de noter que le code des communications électroniques européen fait référence aux appels, ce qui permet de limiter le champ d’application aux services de communications vocales et leur équivalent pour les utilisateurs finaux handicapés. Ce décret royal a opté uniquement pour les services de communications vocales (et leur équivalent pour les utilisateurs handicapés), en abandonnant d’autres options de communication avec les services d’urgence, compte tenu des difficultés techniques rencontrées par les centres d’appels de communications d’urgence pour accueillir d’autres options.</w:t>
      </w:r>
    </w:p>
    <w:p w14:paraId="00BD897C" w14:textId="77777777" w:rsidR="00BF56AD" w:rsidRDefault="00BF56AD" w:rsidP="004B6CD6">
      <w:pPr>
        <w:spacing w:before="120" w:after="0" w:line="252" w:lineRule="auto"/>
        <w:jc w:val="both"/>
        <w:rPr>
          <w:rFonts w:cs="Arial"/>
          <w:bCs/>
        </w:rPr>
      </w:pPr>
    </w:p>
    <w:p w14:paraId="5198AA1B" w14:textId="7EE6A450" w:rsidR="00E53AC5" w:rsidRPr="00A54EDD" w:rsidRDefault="009A1BAE" w:rsidP="00E53AC5">
      <w:pPr>
        <w:spacing w:before="120" w:after="0" w:line="252" w:lineRule="auto"/>
        <w:jc w:val="both"/>
        <w:rPr>
          <w:rFonts w:cs="Arial"/>
          <w:b/>
          <w:bCs/>
        </w:rPr>
      </w:pPr>
      <w:r>
        <w:rPr>
          <w:b/>
        </w:rPr>
        <w:t>3) Principes d’une bonne réglementation</w:t>
      </w:r>
    </w:p>
    <w:p w14:paraId="3DAA1944" w14:textId="68C2BE0D" w:rsidR="00E53AC5" w:rsidRPr="00E53AC5" w:rsidRDefault="00E53AC5" w:rsidP="00E53AC5">
      <w:pPr>
        <w:spacing w:before="120" w:after="0" w:line="252" w:lineRule="auto"/>
        <w:jc w:val="both"/>
        <w:rPr>
          <w:rFonts w:cs="Arial"/>
          <w:bCs/>
        </w:rPr>
      </w:pPr>
      <w:r>
        <w:t>Ce décret répond aux principes de bonne réglementation énoncés à l’article 129 de la loi 39/2015 du 1er octobre 2015 relative aux procédures administratives communes dans l’administration publique, en particulier les principes suivants:</w:t>
      </w:r>
    </w:p>
    <w:p w14:paraId="41981DBE" w14:textId="520FC4B3" w:rsidR="00E53AC5" w:rsidRPr="00E53AC5" w:rsidRDefault="00E53AC5" w:rsidP="006E376E">
      <w:pPr>
        <w:numPr>
          <w:ilvl w:val="0"/>
          <w:numId w:val="1"/>
        </w:numPr>
        <w:spacing w:before="120" w:after="0" w:line="252" w:lineRule="auto"/>
        <w:jc w:val="both"/>
        <w:rPr>
          <w:rFonts w:cs="Arial"/>
          <w:bCs/>
        </w:rPr>
      </w:pPr>
      <w:r>
        <w:rPr>
          <w:b/>
          <w:bCs/>
        </w:rPr>
        <w:t>nécessité et efficacité</w:t>
      </w:r>
      <w:r>
        <w:t xml:space="preserve"> — car elle est justifiée par l’intérêt public, en assurant l’égalité d’accès aux services d’urgence pour tous les citoyens de l’UE et en mettant en place une installation qui améliore la localisation de l’appelant;</w:t>
      </w:r>
    </w:p>
    <w:p w14:paraId="03B9EC47" w14:textId="6D800DE9" w:rsidR="00E53AC5" w:rsidRPr="00E53AC5" w:rsidRDefault="00E53AC5" w:rsidP="006E376E">
      <w:pPr>
        <w:numPr>
          <w:ilvl w:val="0"/>
          <w:numId w:val="1"/>
        </w:numPr>
        <w:spacing w:before="120" w:after="0" w:line="252" w:lineRule="auto"/>
        <w:jc w:val="both"/>
        <w:rPr>
          <w:rFonts w:cs="Arial"/>
          <w:bCs/>
        </w:rPr>
      </w:pPr>
      <w:r>
        <w:rPr>
          <w:b/>
          <w:bCs/>
        </w:rPr>
        <w:t>proportionnalité</w:t>
      </w:r>
      <w:r>
        <w:t xml:space="preserve"> — en énonçant des dispositions strictement nécessaires pour atteindre ses objectifs;</w:t>
      </w:r>
    </w:p>
    <w:p w14:paraId="0EAA02A3" w14:textId="77777777" w:rsidR="00E53AC5" w:rsidRPr="00E53AC5" w:rsidRDefault="00E53AC5" w:rsidP="006E376E">
      <w:pPr>
        <w:numPr>
          <w:ilvl w:val="0"/>
          <w:numId w:val="1"/>
        </w:numPr>
        <w:spacing w:before="120" w:after="0" w:line="252" w:lineRule="auto"/>
        <w:jc w:val="both"/>
        <w:rPr>
          <w:rFonts w:cs="Arial"/>
          <w:bCs/>
        </w:rPr>
      </w:pPr>
      <w:r>
        <w:rPr>
          <w:b/>
        </w:rPr>
        <w:t>efficacité -</w:t>
      </w:r>
      <w:r>
        <w:t xml:space="preserve"> en évitant une charge administrative inutile ou supplémentaire et en rationalisant la gestion des ressources publiques dans son application;</w:t>
      </w:r>
    </w:p>
    <w:p w14:paraId="2B33EC73" w14:textId="2AAF46F3" w:rsidR="00E53AC5" w:rsidRPr="00F31DD4" w:rsidRDefault="00E53AC5" w:rsidP="006E376E">
      <w:pPr>
        <w:numPr>
          <w:ilvl w:val="0"/>
          <w:numId w:val="1"/>
        </w:numPr>
        <w:spacing w:before="120" w:after="0" w:line="252" w:lineRule="auto"/>
        <w:jc w:val="both"/>
        <w:rPr>
          <w:rFonts w:cs="Arial"/>
          <w:bCs/>
        </w:rPr>
      </w:pPr>
      <w:r>
        <w:rPr>
          <w:b/>
          <w:bCs/>
        </w:rPr>
        <w:t>sécurité juridique</w:t>
      </w:r>
      <w:r>
        <w:t xml:space="preserve"> — car elle fait l’objet d’actions prévisibles dans le développement des communications d’urgence du 112. Le projet est également conforme aux autres dispositions du droit national et du droit européen;</w:t>
      </w:r>
    </w:p>
    <w:p w14:paraId="0202CB54" w14:textId="7FDEEE48" w:rsidR="00E53AC5" w:rsidRPr="00E53AC5" w:rsidRDefault="00E53AC5" w:rsidP="006E376E">
      <w:pPr>
        <w:numPr>
          <w:ilvl w:val="0"/>
          <w:numId w:val="1"/>
        </w:numPr>
        <w:spacing w:before="120" w:after="0" w:line="252" w:lineRule="auto"/>
        <w:jc w:val="both"/>
        <w:rPr>
          <w:rFonts w:cs="Arial"/>
          <w:bCs/>
        </w:rPr>
      </w:pPr>
      <w:r>
        <w:rPr>
          <w:b/>
          <w:bCs/>
        </w:rPr>
        <w:t>transparence</w:t>
      </w:r>
      <w:r>
        <w:t xml:space="preserve"> — enfin, étant donné que le texte du projet de décret royal sera publié au Journal officiel de l’État après son adoption par le Conseil des ministres, et que le décret est un statut public soumis aux recours juridiques disponibles. À cette fin, elle a bénéficié d’une participation publique maximale, tant au stade de la consultation préalable qu’à l’audition publique et à la phase de consultation et de participation pour les entités et institutions publiques et privées, comme l’atteste l’annexe.</w:t>
      </w:r>
    </w:p>
    <w:p w14:paraId="736265FE" w14:textId="77777777" w:rsidR="00A54EDD" w:rsidRDefault="00A54EDD" w:rsidP="00B87A34">
      <w:pPr>
        <w:rPr>
          <w:rFonts w:cs="Arial"/>
          <w:b/>
          <w:bCs/>
        </w:rPr>
      </w:pPr>
    </w:p>
    <w:p w14:paraId="68066D2E" w14:textId="275B916C" w:rsidR="00A54EDD" w:rsidRPr="001E470E" w:rsidRDefault="009A1BAE" w:rsidP="001E470E">
      <w:pPr>
        <w:jc w:val="both"/>
        <w:rPr>
          <w:rFonts w:cs="Arial"/>
          <w:bCs/>
        </w:rPr>
      </w:pPr>
      <w:r>
        <w:rPr>
          <w:b/>
        </w:rPr>
        <w:t>4) Principales solutions envisagées</w:t>
      </w:r>
    </w:p>
    <w:p w14:paraId="7BA95E70" w14:textId="25B6D6B4" w:rsidR="00CB0325" w:rsidRDefault="00CB0325" w:rsidP="00CE3704">
      <w:pPr>
        <w:jc w:val="both"/>
        <w:rPr>
          <w:rFonts w:cs="Arial"/>
          <w:bCs/>
        </w:rPr>
      </w:pPr>
      <w:r>
        <w:t>Les autorités ont exclu le maintien du statu quo, étant donné qu’après la transposition en droit espagnol de la directive (UE) 2018/1972 du Parlement européen et du Conseil du 11 décembre 2018 établissant le code des communications électroniques européen, par l’adoption de la loi générale sur les télécommunications</w:t>
      </w:r>
      <w:r>
        <w:rPr>
          <w:rFonts w:ascii="Calibri" w:hAnsi="Calibri"/>
        </w:rPr>
        <w:t xml:space="preserve"> </w:t>
      </w:r>
      <w:r>
        <w:rPr>
          <w:sz w:val="24"/>
        </w:rPr>
        <w:t>11/2022 du 28 juin 2022</w:t>
      </w:r>
      <w:r>
        <w:t>, il est maintenant nécessaire de satisfaire aux exigences de mise en œuvre énoncées à son article 74, paragraphes 2 et 3, et de mettre en œuvre les autres questions visées audit article.</w:t>
      </w:r>
    </w:p>
    <w:p w14:paraId="38DCA6FB" w14:textId="3EA0DFE8" w:rsidR="00CD4094" w:rsidRPr="003A29DB" w:rsidRDefault="003066E7" w:rsidP="003A29DB">
      <w:pPr>
        <w:jc w:val="both"/>
        <w:rPr>
          <w:rFonts w:cs="Arial"/>
        </w:rPr>
      </w:pPr>
      <w:r>
        <w:t xml:space="preserve">D’autre part, le code des communications électroniques européen fait référence aux appels, ce qui permet aux États membres de limiter le champ d’application aux services de communications vocales et leur équivalent pour les utilisateurs finaux handicapés. L’article 74 de </w:t>
      </w:r>
      <w:r>
        <w:rPr>
          <w:sz w:val="24"/>
        </w:rPr>
        <w:t>la loi générale sur les télécommunications 11/2022 du 28 juin 2022</w:t>
      </w:r>
      <w:r>
        <w:t xml:space="preserve"> a opté pour les services de communications vocales uniquement (et leur équivalent pour les utilisateurs handicapés), abandonnant d’autres options pour la communication avec les services d’urgence, compte tenu des difficultés techniques pour les centres d’appels de communications d’urgence pour accueillir d’autres options. Par conséquent, à la suite de ce qui précède, le présent décret royal adopte cette approche axée sur les communications vocales, mais sa deuxième disposition supplémentaire permet l’inclusion ou la réglementation ultérieure de ces autres options dans un arrêté ministériel.</w:t>
      </w:r>
    </w:p>
    <w:p w14:paraId="74105409" w14:textId="789CD81B" w:rsidR="007B11D5" w:rsidRPr="00CE3704" w:rsidRDefault="007B11D5" w:rsidP="00CE3704">
      <w:pPr>
        <w:jc w:val="both"/>
        <w:rPr>
          <w:rFonts w:cs="Arial"/>
          <w:bCs/>
        </w:rPr>
      </w:pPr>
    </w:p>
    <w:p w14:paraId="1769E2D7" w14:textId="77777777" w:rsidR="001E470E" w:rsidRPr="00B87A34" w:rsidRDefault="001E470E" w:rsidP="00B87A34">
      <w:pPr>
        <w:rPr>
          <w:rFonts w:cs="Arial"/>
          <w:b/>
          <w:bCs/>
        </w:rPr>
      </w:pPr>
    </w:p>
    <w:p w14:paraId="6676585F" w14:textId="6D6280C7" w:rsidR="00B87A34" w:rsidRDefault="00EE2127" w:rsidP="00B87A34">
      <w:pPr>
        <w:spacing w:before="120" w:after="0" w:line="252" w:lineRule="auto"/>
        <w:jc w:val="both"/>
        <w:rPr>
          <w:rFonts w:eastAsia="Times New Roman" w:cstheme="minorHAnsi"/>
          <w:b/>
        </w:rPr>
      </w:pPr>
      <w:r>
        <w:rPr>
          <w:b/>
        </w:rPr>
        <w:lastRenderedPageBreak/>
        <w:t>II. CONTENU, ANALYSE JURIDIQUE ET DESCRIPTION DU PROCESSUS</w:t>
      </w:r>
    </w:p>
    <w:p w14:paraId="5AC1DD3B" w14:textId="713A8739" w:rsidR="00A54EDD" w:rsidRPr="00B87A34" w:rsidRDefault="009A1BAE" w:rsidP="00B87A34">
      <w:pPr>
        <w:spacing w:before="120" w:after="0" w:line="252" w:lineRule="auto"/>
        <w:jc w:val="both"/>
        <w:rPr>
          <w:rFonts w:eastAsia="Times New Roman" w:cstheme="minorHAnsi"/>
          <w:b/>
        </w:rPr>
      </w:pPr>
      <w:r>
        <w:rPr>
          <w:b/>
        </w:rPr>
        <w:t>1) Contenu</w:t>
      </w:r>
    </w:p>
    <w:p w14:paraId="19DC159B" w14:textId="01E7F799" w:rsidR="00566ED9" w:rsidRDefault="009A1BAE" w:rsidP="00F152C8">
      <w:pPr>
        <w:spacing w:before="120" w:after="0" w:line="252" w:lineRule="auto"/>
        <w:jc w:val="both"/>
        <w:rPr>
          <w:rFonts w:eastAsia="Times New Roman" w:cstheme="minorHAnsi"/>
        </w:rPr>
      </w:pPr>
      <w:r>
        <w:t>1.1 Ce projet de décret royal se compose d’un dispositif, de 15 articles, de 3 dispositions additionnelles, 1 d’une disposition abrogeant et de 3 dispositions finales.</w:t>
      </w:r>
    </w:p>
    <w:p w14:paraId="0A27B253" w14:textId="1265A660" w:rsidR="00095CDC" w:rsidRDefault="00095CDC" w:rsidP="00F152C8">
      <w:pPr>
        <w:spacing w:before="120" w:after="0" w:line="252" w:lineRule="auto"/>
        <w:jc w:val="both"/>
        <w:rPr>
          <w:rFonts w:eastAsia="Times New Roman" w:cstheme="minorHAnsi"/>
          <w:lang w:eastAsia="es-ES"/>
        </w:rPr>
      </w:pPr>
    </w:p>
    <w:p w14:paraId="60AC6E17" w14:textId="5F73E059" w:rsidR="00095CDC" w:rsidRDefault="00095CDC" w:rsidP="00F152C8">
      <w:pPr>
        <w:spacing w:before="120" w:after="0" w:line="252" w:lineRule="auto"/>
        <w:jc w:val="both"/>
        <w:rPr>
          <w:rFonts w:eastAsia="Times New Roman" w:cstheme="minorHAnsi"/>
        </w:rPr>
      </w:pPr>
      <w:r>
        <w:t>Vous trouverez ci-dessous un résumé de chaque article et de chaque disposition.</w:t>
      </w:r>
    </w:p>
    <w:p w14:paraId="04410C58" w14:textId="4EDF8187" w:rsidR="009879D0" w:rsidRDefault="009879D0" w:rsidP="00F152C8">
      <w:pPr>
        <w:spacing w:before="120" w:after="0" w:line="252" w:lineRule="auto"/>
        <w:jc w:val="both"/>
        <w:rPr>
          <w:rFonts w:eastAsia="Times New Roman" w:cstheme="minorHAnsi"/>
          <w:lang w:eastAsia="es-ES"/>
        </w:rPr>
      </w:pPr>
    </w:p>
    <w:p w14:paraId="6F78F972" w14:textId="386D6642" w:rsidR="009879D0" w:rsidRPr="00094793" w:rsidRDefault="009879D0" w:rsidP="00F152C8">
      <w:pPr>
        <w:spacing w:before="120" w:after="0" w:line="252" w:lineRule="auto"/>
        <w:jc w:val="both"/>
        <w:rPr>
          <w:rFonts w:eastAsia="Times New Roman" w:cstheme="minorHAnsi"/>
          <w:b/>
        </w:rPr>
      </w:pPr>
      <w:r>
        <w:rPr>
          <w:b/>
        </w:rPr>
        <w:t>CHAPITRE I. Dispositions générales</w:t>
      </w:r>
    </w:p>
    <w:p w14:paraId="459BE0A9" w14:textId="76F341DC" w:rsidR="00095CDC" w:rsidRPr="00094793" w:rsidRDefault="004351C6" w:rsidP="006E376E">
      <w:pPr>
        <w:pStyle w:val="ListParagraph"/>
        <w:numPr>
          <w:ilvl w:val="0"/>
          <w:numId w:val="11"/>
        </w:numPr>
        <w:spacing w:before="120" w:after="0" w:line="252" w:lineRule="auto"/>
        <w:jc w:val="both"/>
        <w:rPr>
          <w:rFonts w:eastAsia="Times New Roman" w:cstheme="minorHAnsi"/>
          <w:b/>
        </w:rPr>
      </w:pPr>
      <w:r>
        <w:rPr>
          <w:b/>
        </w:rPr>
        <w:t xml:space="preserve">Article 1. </w:t>
      </w:r>
      <w:r>
        <w:rPr>
          <w:b/>
          <w:sz w:val="24"/>
        </w:rPr>
        <w:t>Objectif</w:t>
      </w:r>
    </w:p>
    <w:p w14:paraId="45D4D385" w14:textId="40C729BD" w:rsidR="004351C6" w:rsidRDefault="004732F0" w:rsidP="00F152C8">
      <w:pPr>
        <w:spacing w:before="120" w:after="0" w:line="252" w:lineRule="auto"/>
        <w:jc w:val="both"/>
        <w:rPr>
          <w:rFonts w:cstheme="minorHAnsi"/>
          <w:bCs/>
          <w:sz w:val="24"/>
          <w:szCs w:val="24"/>
        </w:rPr>
      </w:pPr>
      <w:r>
        <w:rPr>
          <w:sz w:val="24"/>
        </w:rPr>
        <w:t>L’objet de cet article est d’exposer l’objectif principal, qui est de réglementer les communications d’urgence pour l’accès aux services d’urgence en utilisant le numéro unique européen 112, ainsi que ses objectifs.</w:t>
      </w:r>
    </w:p>
    <w:p w14:paraId="14C8B1CE" w14:textId="77777777" w:rsidR="004351C6" w:rsidRDefault="004351C6" w:rsidP="00F152C8">
      <w:pPr>
        <w:spacing w:before="120" w:after="0" w:line="252" w:lineRule="auto"/>
        <w:jc w:val="both"/>
        <w:rPr>
          <w:rFonts w:cstheme="minorHAnsi"/>
          <w:bCs/>
          <w:sz w:val="24"/>
          <w:szCs w:val="24"/>
        </w:rPr>
      </w:pPr>
    </w:p>
    <w:p w14:paraId="3F116016" w14:textId="6D328097" w:rsidR="004351C6" w:rsidRPr="00DA463C" w:rsidRDefault="004351C6" w:rsidP="006E376E">
      <w:pPr>
        <w:pStyle w:val="ListParagraph"/>
        <w:numPr>
          <w:ilvl w:val="0"/>
          <w:numId w:val="11"/>
        </w:numPr>
        <w:shd w:val="clear" w:color="auto" w:fill="FFFFFF"/>
        <w:spacing w:before="100" w:beforeAutospacing="1" w:after="100" w:afterAutospacing="1" w:line="240" w:lineRule="auto"/>
        <w:jc w:val="both"/>
        <w:rPr>
          <w:rFonts w:cstheme="minorHAnsi"/>
          <w:b/>
          <w:bCs/>
          <w:sz w:val="24"/>
          <w:szCs w:val="24"/>
        </w:rPr>
      </w:pPr>
      <w:r>
        <w:rPr>
          <w:b/>
          <w:sz w:val="24"/>
        </w:rPr>
        <w:t>Article 2. Champ d’application</w:t>
      </w:r>
    </w:p>
    <w:p w14:paraId="4A05DDA8" w14:textId="77DAF6C8" w:rsidR="004351C6" w:rsidRDefault="004351C6" w:rsidP="004351C6">
      <w:pPr>
        <w:spacing w:before="120" w:after="0" w:line="252" w:lineRule="auto"/>
        <w:jc w:val="both"/>
        <w:rPr>
          <w:rFonts w:cstheme="minorHAnsi"/>
          <w:bCs/>
          <w:sz w:val="24"/>
          <w:szCs w:val="24"/>
        </w:rPr>
      </w:pPr>
      <w:r>
        <w:rPr>
          <w:sz w:val="24"/>
        </w:rPr>
        <w:t>Cet article précise les types d’opérateurs soumis au décret, à savoir ceux qui fournissent des services de communications interpersonnelles fondés sur la numérotation accessibles au public.</w:t>
      </w:r>
    </w:p>
    <w:p w14:paraId="107A4BF7" w14:textId="264040F5" w:rsidR="004351C6" w:rsidRDefault="004351C6" w:rsidP="004351C6">
      <w:pPr>
        <w:spacing w:before="120" w:after="0" w:line="252" w:lineRule="auto"/>
        <w:jc w:val="both"/>
        <w:rPr>
          <w:rFonts w:cstheme="minorHAnsi"/>
          <w:bCs/>
          <w:sz w:val="24"/>
          <w:szCs w:val="24"/>
        </w:rPr>
      </w:pPr>
      <w:r>
        <w:rPr>
          <w:sz w:val="24"/>
        </w:rPr>
        <w:t>Il régit également le type de communications concernées, ainsi que la responsabilité des producteurs de systèmes d’exploitation mobiles d’assurer la fonctionnalité du système.</w:t>
      </w:r>
    </w:p>
    <w:p w14:paraId="2A6AC44F" w14:textId="77777777" w:rsidR="004351C6" w:rsidRPr="00354713" w:rsidRDefault="004351C6" w:rsidP="004351C6">
      <w:pPr>
        <w:spacing w:before="120" w:after="0" w:line="252" w:lineRule="auto"/>
        <w:jc w:val="both"/>
        <w:rPr>
          <w:rFonts w:eastAsia="Times New Roman" w:cstheme="minorHAnsi"/>
          <w:lang w:eastAsia="es-ES"/>
        </w:rPr>
      </w:pPr>
    </w:p>
    <w:p w14:paraId="4D713BD8" w14:textId="457C21CF" w:rsidR="008B22CE" w:rsidRPr="00DA463C" w:rsidRDefault="009879D0" w:rsidP="006E376E">
      <w:pPr>
        <w:pStyle w:val="ListParagraph"/>
        <w:numPr>
          <w:ilvl w:val="0"/>
          <w:numId w:val="11"/>
        </w:numPr>
        <w:spacing w:before="120" w:after="0" w:line="252" w:lineRule="auto"/>
        <w:jc w:val="both"/>
        <w:rPr>
          <w:rFonts w:cstheme="minorHAnsi"/>
          <w:b/>
          <w:bCs/>
          <w:sz w:val="24"/>
          <w:szCs w:val="24"/>
        </w:rPr>
      </w:pPr>
      <w:r>
        <w:rPr>
          <w:b/>
          <w:sz w:val="24"/>
        </w:rPr>
        <w:t>Article 3. Définitions</w:t>
      </w:r>
    </w:p>
    <w:p w14:paraId="5C9687E0" w14:textId="7461348D" w:rsidR="009879D0" w:rsidRDefault="009879D0" w:rsidP="00F152C8">
      <w:pPr>
        <w:spacing w:before="120" w:after="0" w:line="252" w:lineRule="auto"/>
        <w:jc w:val="both"/>
        <w:rPr>
          <w:rFonts w:cstheme="minorHAnsi"/>
          <w:bCs/>
          <w:sz w:val="24"/>
          <w:szCs w:val="24"/>
        </w:rPr>
      </w:pPr>
      <w:r>
        <w:rPr>
          <w:sz w:val="24"/>
        </w:rPr>
        <w:t>Cet article définit les termes clés liés à l’objet en question.</w:t>
      </w:r>
    </w:p>
    <w:p w14:paraId="5029F504" w14:textId="77777777" w:rsidR="009879D0" w:rsidRDefault="009879D0" w:rsidP="00F152C8">
      <w:pPr>
        <w:spacing w:before="120" w:after="0" w:line="252" w:lineRule="auto"/>
        <w:jc w:val="both"/>
        <w:rPr>
          <w:rFonts w:cstheme="minorHAnsi"/>
          <w:bCs/>
          <w:sz w:val="24"/>
          <w:szCs w:val="24"/>
        </w:rPr>
      </w:pPr>
    </w:p>
    <w:p w14:paraId="3606AA44" w14:textId="441C27A7" w:rsidR="009879D0" w:rsidRPr="00665FA8" w:rsidRDefault="009879D0" w:rsidP="00094793">
      <w:pPr>
        <w:rPr>
          <w:rFonts w:cstheme="minorHAnsi"/>
          <w:b/>
          <w:bCs/>
          <w:sz w:val="24"/>
          <w:szCs w:val="24"/>
        </w:rPr>
      </w:pPr>
      <w:r>
        <w:rPr>
          <w:b/>
          <w:sz w:val="24"/>
        </w:rPr>
        <w:t>CHAPITRE II. Service d’intervention d’urgence utilisant le numéro d’urgence unique européen 112</w:t>
      </w:r>
    </w:p>
    <w:p w14:paraId="54E7E316" w14:textId="4629CCE7" w:rsidR="009879D0" w:rsidRPr="00DA463C" w:rsidRDefault="009879D0" w:rsidP="006E376E">
      <w:pPr>
        <w:pStyle w:val="ListParagraph"/>
        <w:numPr>
          <w:ilvl w:val="0"/>
          <w:numId w:val="11"/>
        </w:numPr>
        <w:jc w:val="both"/>
        <w:rPr>
          <w:rFonts w:cstheme="minorHAnsi"/>
          <w:b/>
          <w:bCs/>
          <w:sz w:val="24"/>
          <w:szCs w:val="24"/>
        </w:rPr>
      </w:pPr>
      <w:r>
        <w:rPr>
          <w:b/>
          <w:sz w:val="24"/>
        </w:rPr>
        <w:t>Article 4. Mise en place du service d’intervention d’urgence 112</w:t>
      </w:r>
    </w:p>
    <w:p w14:paraId="0C2EDBC2" w14:textId="2E5BC7B5" w:rsidR="009879D0" w:rsidRDefault="009879D0" w:rsidP="00F152C8">
      <w:pPr>
        <w:spacing w:before="120" w:after="0" w:line="252" w:lineRule="auto"/>
        <w:jc w:val="both"/>
        <w:rPr>
          <w:rFonts w:cstheme="minorHAnsi"/>
          <w:bCs/>
          <w:sz w:val="24"/>
          <w:szCs w:val="24"/>
        </w:rPr>
      </w:pPr>
      <w:r>
        <w:rPr>
          <w:sz w:val="24"/>
        </w:rPr>
        <w:t>Cet article définit les conditions et les exigences pour les utilisateurs finaux de services de communications interpersonnelles nationaux ou internationaux accessibles au public pour accéder</w:t>
      </w:r>
      <w:r>
        <w:t xml:space="preserve"> au </w:t>
      </w:r>
      <w:r>
        <w:rPr>
          <w:sz w:val="24"/>
        </w:rPr>
        <w:t>service d’intervention d’urgence 112.</w:t>
      </w:r>
    </w:p>
    <w:p w14:paraId="2EEEE1F1" w14:textId="754319C2" w:rsidR="009879D0" w:rsidRDefault="009879D0" w:rsidP="00F152C8">
      <w:pPr>
        <w:spacing w:before="120" w:after="0" w:line="252" w:lineRule="auto"/>
        <w:jc w:val="both"/>
        <w:rPr>
          <w:rFonts w:cstheme="minorHAnsi"/>
          <w:bCs/>
          <w:sz w:val="24"/>
          <w:szCs w:val="24"/>
        </w:rPr>
      </w:pPr>
    </w:p>
    <w:p w14:paraId="558F4469" w14:textId="4CA6976E" w:rsidR="00BD0D80" w:rsidRPr="00094793" w:rsidRDefault="00BD0D80" w:rsidP="006E376E">
      <w:pPr>
        <w:pStyle w:val="ListParagraph"/>
        <w:numPr>
          <w:ilvl w:val="0"/>
          <w:numId w:val="11"/>
        </w:numPr>
        <w:jc w:val="both"/>
        <w:rPr>
          <w:rFonts w:cstheme="minorHAnsi"/>
          <w:b/>
          <w:bCs/>
          <w:sz w:val="24"/>
          <w:szCs w:val="24"/>
        </w:rPr>
      </w:pPr>
      <w:r>
        <w:rPr>
          <w:b/>
          <w:sz w:val="24"/>
        </w:rPr>
        <w:t>Article 5. Fournisseurs du service d’intervention d’urgence 112</w:t>
      </w:r>
    </w:p>
    <w:p w14:paraId="2A402954" w14:textId="37B347ED" w:rsidR="009879D0" w:rsidRDefault="00BD0D80" w:rsidP="00BD0D80">
      <w:pPr>
        <w:spacing w:before="120" w:after="0" w:line="252" w:lineRule="auto"/>
        <w:jc w:val="both"/>
        <w:rPr>
          <w:rFonts w:cstheme="minorHAnsi"/>
          <w:bCs/>
          <w:sz w:val="24"/>
          <w:szCs w:val="24"/>
        </w:rPr>
      </w:pPr>
      <w:r>
        <w:rPr>
          <w:sz w:val="24"/>
        </w:rPr>
        <w:t>Cet article dispose que le service d’intervention d’urgence 112 est assuré par les communautés autonomes et les villes de Ceuta et Melilla, qui mettent en place les centres d’appels d’urgence concernés et fixent des exigences quant à leur fonctionnement.</w:t>
      </w:r>
    </w:p>
    <w:p w14:paraId="690888B9" w14:textId="54391F89" w:rsidR="00BD0D80" w:rsidRDefault="00BD0D80" w:rsidP="00BD0D80">
      <w:pPr>
        <w:spacing w:before="120" w:after="0" w:line="252" w:lineRule="auto"/>
        <w:jc w:val="both"/>
        <w:rPr>
          <w:rFonts w:cstheme="minorHAnsi"/>
          <w:bCs/>
          <w:sz w:val="24"/>
          <w:szCs w:val="24"/>
        </w:rPr>
      </w:pPr>
    </w:p>
    <w:p w14:paraId="0A2E6EAA" w14:textId="2E0C24D0" w:rsidR="00BD0D80" w:rsidRPr="00094793" w:rsidRDefault="00BD0D80" w:rsidP="006E376E">
      <w:pPr>
        <w:pStyle w:val="ListParagraph"/>
        <w:numPr>
          <w:ilvl w:val="0"/>
          <w:numId w:val="11"/>
        </w:numPr>
        <w:jc w:val="both"/>
        <w:rPr>
          <w:rFonts w:cstheme="minorHAnsi"/>
          <w:b/>
          <w:bCs/>
          <w:sz w:val="24"/>
          <w:szCs w:val="24"/>
        </w:rPr>
      </w:pPr>
      <w:r>
        <w:rPr>
          <w:b/>
          <w:sz w:val="24"/>
        </w:rPr>
        <w:t>Article 6. centres d’appels de communications d’urgence 112</w:t>
      </w:r>
    </w:p>
    <w:p w14:paraId="026AFA62" w14:textId="7E026E4D" w:rsidR="00BD0D80" w:rsidRDefault="00BD0D80" w:rsidP="00BD0D80">
      <w:pPr>
        <w:jc w:val="both"/>
        <w:rPr>
          <w:rFonts w:cstheme="minorHAnsi"/>
          <w:bCs/>
          <w:sz w:val="24"/>
          <w:szCs w:val="24"/>
        </w:rPr>
      </w:pPr>
      <w:r>
        <w:rPr>
          <w:sz w:val="24"/>
        </w:rPr>
        <w:t>Cet article précise que ces centres d’appels de communications d’urgence 112, ainsi que tous les autres points d’intervention de service public qui seraient nécessaires pour fournir une assistance, ne font pas partie de l’accès au service d’intervention d’urgence en utilisant le numéro unique européen 112 et que leurs conditions d’exploitation dépendront des fournisseurs et traitent de certaines questions opérationnelles.</w:t>
      </w:r>
    </w:p>
    <w:p w14:paraId="392F4FE7" w14:textId="45FDEADC" w:rsidR="00BD0D80" w:rsidRDefault="00BD0D80" w:rsidP="00BD0D80">
      <w:pPr>
        <w:jc w:val="both"/>
        <w:rPr>
          <w:rFonts w:cstheme="minorHAnsi"/>
          <w:bCs/>
          <w:sz w:val="24"/>
          <w:szCs w:val="24"/>
        </w:rPr>
      </w:pPr>
    </w:p>
    <w:p w14:paraId="713BEA33" w14:textId="27BA644D" w:rsidR="00BD0D80" w:rsidRPr="00094793" w:rsidRDefault="00BD0D80" w:rsidP="006E376E">
      <w:pPr>
        <w:pStyle w:val="ListParagraph"/>
        <w:numPr>
          <w:ilvl w:val="0"/>
          <w:numId w:val="11"/>
        </w:numPr>
        <w:jc w:val="both"/>
        <w:rPr>
          <w:rFonts w:cstheme="minorHAnsi"/>
          <w:b/>
          <w:bCs/>
          <w:sz w:val="24"/>
          <w:szCs w:val="24"/>
        </w:rPr>
      </w:pPr>
      <w:r>
        <w:rPr>
          <w:b/>
          <w:sz w:val="24"/>
        </w:rPr>
        <w:t>Article 7. Accès aux informations de l’annuaire</w:t>
      </w:r>
    </w:p>
    <w:p w14:paraId="2294A48F" w14:textId="248825AD" w:rsidR="00BD0D80" w:rsidRDefault="00BD0D80" w:rsidP="00BD0D80">
      <w:pPr>
        <w:jc w:val="both"/>
        <w:rPr>
          <w:rFonts w:cstheme="minorHAnsi"/>
          <w:sz w:val="24"/>
          <w:szCs w:val="24"/>
        </w:rPr>
      </w:pPr>
      <w:r>
        <w:rPr>
          <w:sz w:val="24"/>
        </w:rPr>
        <w:t xml:space="preserve">Parmi d’autres dispositions, cet article stipule </w:t>
      </w:r>
      <w:bookmarkStart w:id="0" w:name="_Hlk105582760"/>
      <w:r>
        <w:rPr>
          <w:sz w:val="24"/>
        </w:rPr>
        <w:t>que les fournisseurs du service d’intervention d’urgence 112, ainsi que les centres d’appels d’urgence 112,</w:t>
      </w:r>
      <w:bookmarkEnd w:id="0"/>
      <w:r>
        <w:rPr>
          <w:sz w:val="24"/>
        </w:rPr>
        <w:t>peuvent accéder au répertoire des informations disponibles au CNMC, strictement pour l’exercice de leurs fonctions, et réglemente cet accès.</w:t>
      </w:r>
    </w:p>
    <w:p w14:paraId="4FBBFE06" w14:textId="77777777" w:rsidR="00BE4635" w:rsidRPr="00094793" w:rsidRDefault="00BD0D80" w:rsidP="006E376E">
      <w:pPr>
        <w:pStyle w:val="ListParagraph"/>
        <w:numPr>
          <w:ilvl w:val="0"/>
          <w:numId w:val="11"/>
        </w:numPr>
        <w:jc w:val="both"/>
        <w:rPr>
          <w:rFonts w:cstheme="minorHAnsi"/>
          <w:b/>
          <w:bCs/>
          <w:sz w:val="24"/>
          <w:szCs w:val="24"/>
        </w:rPr>
      </w:pPr>
      <w:r>
        <w:rPr>
          <w:b/>
          <w:sz w:val="24"/>
        </w:rPr>
        <w:t>Article 8. Informations sur l’existence et l’utilisation du numéro d’urgence unique européen 112</w:t>
      </w:r>
    </w:p>
    <w:p w14:paraId="1D88D219" w14:textId="6D5CD581" w:rsidR="00BD0D80" w:rsidRPr="00094793" w:rsidRDefault="00BE4635" w:rsidP="00BD0D80">
      <w:pPr>
        <w:jc w:val="both"/>
        <w:rPr>
          <w:rFonts w:cstheme="minorHAnsi"/>
          <w:b/>
          <w:bCs/>
          <w:sz w:val="24"/>
          <w:szCs w:val="24"/>
        </w:rPr>
      </w:pPr>
      <w:r>
        <w:rPr>
          <w:sz w:val="24"/>
        </w:rPr>
        <w:t>Cet article garantit que les citoyens reçoivent des informations appropriées sur l’existence et l’utilisation du numéro d’urgence unique européen 112 et de ses caractéristiques d’accessibilité.</w:t>
      </w:r>
    </w:p>
    <w:p w14:paraId="33762B4A" w14:textId="77777777" w:rsidR="00BE4635" w:rsidRDefault="00BE4635" w:rsidP="00094793">
      <w:pPr>
        <w:rPr>
          <w:rFonts w:cstheme="minorHAnsi"/>
          <w:b/>
          <w:bCs/>
          <w:sz w:val="24"/>
          <w:szCs w:val="24"/>
        </w:rPr>
      </w:pPr>
    </w:p>
    <w:p w14:paraId="7E16C578" w14:textId="13620C15" w:rsidR="00BE4635" w:rsidRPr="00665FA8" w:rsidRDefault="00BE4635" w:rsidP="00094793">
      <w:pPr>
        <w:rPr>
          <w:rFonts w:cstheme="minorHAnsi"/>
          <w:b/>
          <w:bCs/>
          <w:sz w:val="24"/>
          <w:szCs w:val="24"/>
        </w:rPr>
      </w:pPr>
      <w:r>
        <w:rPr>
          <w:b/>
          <w:sz w:val="24"/>
        </w:rPr>
        <w:t>CHAPITRE III</w:t>
      </w:r>
    </w:p>
    <w:p w14:paraId="2ED60795" w14:textId="4AA2768B" w:rsidR="00BE4635" w:rsidRDefault="00BE4635" w:rsidP="00BE4635">
      <w:pPr>
        <w:jc w:val="both"/>
        <w:rPr>
          <w:rFonts w:cstheme="minorHAnsi"/>
          <w:bCs/>
          <w:sz w:val="24"/>
          <w:szCs w:val="24"/>
        </w:rPr>
      </w:pPr>
      <w:r>
        <w:rPr>
          <w:b/>
          <w:sz w:val="24"/>
        </w:rPr>
        <w:t>Accès au service d’intervention d’urgence en utilisant le numéro unique européen 112</w:t>
      </w:r>
    </w:p>
    <w:p w14:paraId="0AF74357" w14:textId="34A6B4D1" w:rsidR="00BE4635" w:rsidRPr="00DA463C" w:rsidRDefault="00BE4635" w:rsidP="006E376E">
      <w:pPr>
        <w:pStyle w:val="ListParagraph"/>
        <w:numPr>
          <w:ilvl w:val="0"/>
          <w:numId w:val="11"/>
        </w:numPr>
        <w:jc w:val="both"/>
        <w:rPr>
          <w:rFonts w:cstheme="minorHAnsi"/>
          <w:b/>
          <w:bCs/>
          <w:sz w:val="24"/>
          <w:szCs w:val="24"/>
        </w:rPr>
      </w:pPr>
      <w:r>
        <w:rPr>
          <w:b/>
          <w:sz w:val="24"/>
        </w:rPr>
        <w:t>Article 9. Accès au service d’intervention d’urgence 112 en utilisant le numéro unique européen 112 à partir de réseaux de communications électroniques accessibles au public</w:t>
      </w:r>
    </w:p>
    <w:p w14:paraId="632AA363" w14:textId="7FAC066E" w:rsidR="00BE4635" w:rsidRDefault="00BE4635" w:rsidP="00BE4635">
      <w:pPr>
        <w:jc w:val="both"/>
        <w:rPr>
          <w:rFonts w:cstheme="minorHAnsi"/>
          <w:sz w:val="24"/>
          <w:szCs w:val="24"/>
        </w:rPr>
      </w:pPr>
      <w:r>
        <w:rPr>
          <w:sz w:val="24"/>
        </w:rPr>
        <w:t>Cet article détaille l’obligation pour les opérateurs, visée à l’article 2, paragraphe 1, du décret royal, d’acheminer les communications d’urgence avec le numéro d’urgence unique européen 112 au centre d’appel concerné du prestataire du service d’intervention d’urgence 112, en fonction de la zone géographique d’origine de la communication.</w:t>
      </w:r>
    </w:p>
    <w:p w14:paraId="623CD72C" w14:textId="77777777" w:rsidR="007B50BD" w:rsidRPr="007B50BD" w:rsidRDefault="007B50BD" w:rsidP="00BE4635">
      <w:pPr>
        <w:jc w:val="both"/>
        <w:rPr>
          <w:rFonts w:cstheme="minorHAnsi"/>
          <w:sz w:val="24"/>
          <w:szCs w:val="24"/>
        </w:rPr>
      </w:pPr>
    </w:p>
    <w:p w14:paraId="1A77343A" w14:textId="7A737D67" w:rsidR="00BE4635" w:rsidRPr="00DA463C" w:rsidRDefault="00BE4635" w:rsidP="006E376E">
      <w:pPr>
        <w:pStyle w:val="ListParagraph"/>
        <w:numPr>
          <w:ilvl w:val="0"/>
          <w:numId w:val="11"/>
        </w:numPr>
        <w:jc w:val="both"/>
        <w:rPr>
          <w:rFonts w:cstheme="minorHAnsi"/>
          <w:b/>
          <w:bCs/>
          <w:sz w:val="24"/>
          <w:szCs w:val="24"/>
        </w:rPr>
      </w:pPr>
      <w:r>
        <w:rPr>
          <w:b/>
          <w:sz w:val="24"/>
        </w:rPr>
        <w:t xml:space="preserve">Article 10. Accès au </w:t>
      </w:r>
      <w:bookmarkStart w:id="1" w:name="_Hlk105583432"/>
      <w:r>
        <w:rPr>
          <w:b/>
          <w:sz w:val="24"/>
        </w:rPr>
        <w:t>service d'intervention d'urgence 112</w:t>
      </w:r>
      <w:bookmarkEnd w:id="1"/>
      <w:r>
        <w:rPr>
          <w:b/>
          <w:sz w:val="24"/>
        </w:rPr>
        <w:t>utilisant le numéro unique européen 112 des réseaux de communications électroniques qui ne sont pas accessibles au public mais qui permettent les appels vers les réseaux publics</w:t>
      </w:r>
    </w:p>
    <w:p w14:paraId="3927C9DF" w14:textId="742B4BB7" w:rsidR="00BD0D80" w:rsidRDefault="00BE4635" w:rsidP="00BD0D80">
      <w:pPr>
        <w:jc w:val="both"/>
        <w:rPr>
          <w:rFonts w:cstheme="minorHAnsi"/>
          <w:bCs/>
          <w:sz w:val="24"/>
          <w:szCs w:val="24"/>
        </w:rPr>
      </w:pPr>
      <w:r>
        <w:rPr>
          <w:sz w:val="24"/>
        </w:rPr>
        <w:lastRenderedPageBreak/>
        <w:t>Cet article prévoit l’adoption d’un arrêté ministériel afin de poursuivre la mise en œuvre de cette exigence.</w:t>
      </w:r>
    </w:p>
    <w:p w14:paraId="3C04998D" w14:textId="77777777" w:rsidR="00BE4635" w:rsidRDefault="00BE4635" w:rsidP="00BD0D80">
      <w:pPr>
        <w:jc w:val="both"/>
        <w:rPr>
          <w:rFonts w:cstheme="minorHAnsi"/>
          <w:bCs/>
          <w:sz w:val="24"/>
          <w:szCs w:val="24"/>
        </w:rPr>
      </w:pPr>
    </w:p>
    <w:p w14:paraId="5CC5F32E" w14:textId="3B9EE38F" w:rsidR="00BE4635" w:rsidRPr="00094793" w:rsidRDefault="00BE4635" w:rsidP="006E376E">
      <w:pPr>
        <w:pStyle w:val="ListParagraph"/>
        <w:numPr>
          <w:ilvl w:val="0"/>
          <w:numId w:val="11"/>
        </w:numPr>
        <w:jc w:val="both"/>
        <w:rPr>
          <w:rFonts w:cstheme="minorHAnsi"/>
          <w:b/>
          <w:bCs/>
          <w:sz w:val="24"/>
          <w:szCs w:val="24"/>
        </w:rPr>
      </w:pPr>
      <w:r>
        <w:rPr>
          <w:b/>
          <w:sz w:val="24"/>
        </w:rPr>
        <w:t>Article 11. Obligations des opérateurs en matière de communications d’urgence utilisant le numéro d’urgence unique européen 112</w:t>
      </w:r>
    </w:p>
    <w:p w14:paraId="079903CE" w14:textId="5F464623" w:rsidR="00BE4635" w:rsidRDefault="002E5626" w:rsidP="00BD0D80">
      <w:pPr>
        <w:jc w:val="both"/>
        <w:rPr>
          <w:rFonts w:cstheme="minorHAnsi"/>
          <w:bCs/>
          <w:sz w:val="24"/>
          <w:szCs w:val="24"/>
        </w:rPr>
      </w:pPr>
      <w:bookmarkStart w:id="2" w:name="_Hlk105581911"/>
      <w:r>
        <w:rPr>
          <w:sz w:val="24"/>
        </w:rPr>
        <w:t>Cet article établit l’obligation pour les opérateurs</w:t>
      </w:r>
      <w:bookmarkEnd w:id="2"/>
      <w:r>
        <w:rPr>
          <w:sz w:val="24"/>
        </w:rPr>
        <w:t xml:space="preserve"> d’acheminer gratuitement les appels vers le numéro unique européen 112, sans droit à une compensation monétaire de quelque nature que ce soit, y compris pour les utilisateurs finaux de services de communications interpersonnelles fondés sur les numéros mobiles d’autres États membres qui sont en itinérance en Espagne. Il régit également d’autres obligations connexes.</w:t>
      </w:r>
    </w:p>
    <w:p w14:paraId="439C91F7" w14:textId="5E706257" w:rsidR="002E5626" w:rsidRDefault="002E5626" w:rsidP="00BD0D80">
      <w:pPr>
        <w:jc w:val="both"/>
        <w:rPr>
          <w:rFonts w:cstheme="minorHAnsi"/>
          <w:bCs/>
          <w:sz w:val="24"/>
          <w:szCs w:val="24"/>
        </w:rPr>
      </w:pPr>
    </w:p>
    <w:p w14:paraId="10A29BF1" w14:textId="598CCAA0" w:rsidR="002E5626" w:rsidRPr="00094793" w:rsidRDefault="002E5626" w:rsidP="006E376E">
      <w:pPr>
        <w:pStyle w:val="ListParagraph"/>
        <w:numPr>
          <w:ilvl w:val="0"/>
          <w:numId w:val="11"/>
        </w:numPr>
        <w:jc w:val="both"/>
        <w:rPr>
          <w:rFonts w:cstheme="minorHAnsi"/>
          <w:bCs/>
          <w:sz w:val="24"/>
          <w:szCs w:val="24"/>
        </w:rPr>
      </w:pPr>
      <w:r>
        <w:rPr>
          <w:b/>
          <w:sz w:val="24"/>
        </w:rPr>
        <w:t>Article 12. Obligation pour les opérateurs de fournir des informations sur la localisation des utilisateurs appelant le numéro d’urgence unique européen 112</w:t>
      </w:r>
    </w:p>
    <w:p w14:paraId="266F50AD" w14:textId="5CDA8FA5" w:rsidR="002E5626" w:rsidRDefault="002E5626" w:rsidP="002E5626">
      <w:pPr>
        <w:jc w:val="both"/>
        <w:rPr>
          <w:rFonts w:cstheme="minorHAnsi"/>
          <w:bCs/>
          <w:sz w:val="24"/>
          <w:szCs w:val="24"/>
        </w:rPr>
      </w:pPr>
      <w:r>
        <w:rPr>
          <w:sz w:val="24"/>
        </w:rPr>
        <w:t>Il réglemente l’obligation pour les opérateurs de fournir immédiatement des informations sur la localisation de l’appelant, tant à partir du réseau que de l’appareil mobile, y compris en ce qui concerne les utilisateurs finaux de services de communications interpersonnelles mobiles fondés sur la numérotation d’un autre État membre lors de l’itinérance en Espagne.</w:t>
      </w:r>
    </w:p>
    <w:p w14:paraId="7E9F0D33" w14:textId="41758905" w:rsidR="002E5626" w:rsidRDefault="002E5626" w:rsidP="002E5626">
      <w:pPr>
        <w:jc w:val="both"/>
        <w:rPr>
          <w:rFonts w:cstheme="minorHAnsi"/>
          <w:bCs/>
          <w:sz w:val="24"/>
          <w:szCs w:val="24"/>
        </w:rPr>
      </w:pPr>
      <w:r>
        <w:rPr>
          <w:sz w:val="24"/>
        </w:rPr>
        <w:t>Il régit toutes les exigences supplémentaires pour assurer l’identification de l’emplacement de l’utilisateur et les conditions dans lesquelles elle doit être effectuée, et définit les précautions nécessaires à la protection des données à caractère personnel.</w:t>
      </w:r>
    </w:p>
    <w:p w14:paraId="4E74099F" w14:textId="77777777" w:rsidR="002E5626" w:rsidRDefault="002E5626" w:rsidP="002E5626">
      <w:pPr>
        <w:jc w:val="both"/>
        <w:rPr>
          <w:rFonts w:cstheme="minorHAnsi"/>
          <w:bCs/>
          <w:sz w:val="24"/>
          <w:szCs w:val="24"/>
        </w:rPr>
      </w:pPr>
    </w:p>
    <w:p w14:paraId="56E7CE84" w14:textId="094648A0" w:rsidR="002E5626" w:rsidRPr="00DA463C" w:rsidRDefault="002E5626" w:rsidP="006E376E">
      <w:pPr>
        <w:pStyle w:val="ListParagraph"/>
        <w:numPr>
          <w:ilvl w:val="0"/>
          <w:numId w:val="11"/>
        </w:numPr>
        <w:jc w:val="both"/>
        <w:rPr>
          <w:rFonts w:cstheme="minorHAnsi"/>
          <w:b/>
          <w:bCs/>
          <w:sz w:val="24"/>
          <w:szCs w:val="24"/>
        </w:rPr>
      </w:pPr>
      <w:r>
        <w:rPr>
          <w:b/>
          <w:sz w:val="24"/>
        </w:rPr>
        <w:t>Article 13. Transparence concernant l’accès aux communications d’urgence en utilisant le numéro d’urgence unique européen 112 avec l’itinérance internationale</w:t>
      </w:r>
    </w:p>
    <w:p w14:paraId="15EA8B93" w14:textId="2FD199BB" w:rsidR="002E5626" w:rsidRPr="00114542" w:rsidRDefault="002E5626" w:rsidP="002E5626">
      <w:pPr>
        <w:jc w:val="both"/>
        <w:rPr>
          <w:rFonts w:cstheme="minorHAnsi"/>
          <w:sz w:val="24"/>
          <w:szCs w:val="24"/>
        </w:rPr>
      </w:pPr>
      <w:r>
        <w:rPr>
          <w:sz w:val="24"/>
        </w:rPr>
        <w:t>Cet article stipule que les opérateurs, en leur qualité de fournisseurs de services d’itinérance, doivent veiller à ce que leurs utilisateurs finaux en itinérance soient dûment informés de la manière d’accéder aux services d’urgence dans l’autre État membre et doivent sélectionner les outils permettant de fournir ces informations.</w:t>
      </w:r>
    </w:p>
    <w:p w14:paraId="3E225DC1" w14:textId="77777777" w:rsidR="001D7F18" w:rsidRDefault="001D7F18" w:rsidP="00094793">
      <w:pPr>
        <w:rPr>
          <w:rFonts w:cstheme="minorHAnsi"/>
          <w:b/>
          <w:bCs/>
          <w:sz w:val="24"/>
          <w:szCs w:val="24"/>
        </w:rPr>
      </w:pPr>
    </w:p>
    <w:p w14:paraId="5DFA064F" w14:textId="7C5E063D" w:rsidR="001D7F18" w:rsidRPr="00665FA8" w:rsidRDefault="001D7F18" w:rsidP="00094793">
      <w:pPr>
        <w:rPr>
          <w:rFonts w:cstheme="minorHAnsi"/>
          <w:b/>
          <w:bCs/>
          <w:sz w:val="24"/>
          <w:szCs w:val="24"/>
        </w:rPr>
      </w:pPr>
      <w:r>
        <w:rPr>
          <w:b/>
          <w:sz w:val="24"/>
        </w:rPr>
        <w:t>CHAPITRE IV</w:t>
      </w:r>
    </w:p>
    <w:p w14:paraId="5BD0F2EB" w14:textId="0FFDDD13" w:rsidR="001D7F18" w:rsidRDefault="001D7F18" w:rsidP="00094793">
      <w:pPr>
        <w:rPr>
          <w:rFonts w:cstheme="minorHAnsi"/>
          <w:b/>
          <w:bCs/>
          <w:sz w:val="24"/>
          <w:szCs w:val="24"/>
        </w:rPr>
      </w:pPr>
      <w:r>
        <w:rPr>
          <w:b/>
          <w:sz w:val="24"/>
        </w:rPr>
        <w:t>Accès au service d’intervention d’urgence 112 pour les utilisateurs finaux handicapés</w:t>
      </w:r>
    </w:p>
    <w:p w14:paraId="1916CAF7" w14:textId="77777777" w:rsidR="001D7F18" w:rsidRPr="00DA463C" w:rsidRDefault="001D7F18" w:rsidP="00094793">
      <w:pPr>
        <w:rPr>
          <w:rFonts w:cstheme="minorHAnsi"/>
          <w:b/>
          <w:bCs/>
          <w:sz w:val="24"/>
          <w:szCs w:val="24"/>
        </w:rPr>
      </w:pPr>
    </w:p>
    <w:p w14:paraId="58042757" w14:textId="685CD633" w:rsidR="001D7F18" w:rsidRPr="00DA463C" w:rsidRDefault="001D7F18" w:rsidP="006E376E">
      <w:pPr>
        <w:pStyle w:val="ListParagraph"/>
        <w:numPr>
          <w:ilvl w:val="0"/>
          <w:numId w:val="11"/>
        </w:numPr>
        <w:jc w:val="both"/>
        <w:rPr>
          <w:rFonts w:cstheme="minorHAnsi"/>
          <w:b/>
          <w:bCs/>
          <w:sz w:val="24"/>
          <w:szCs w:val="24"/>
        </w:rPr>
      </w:pPr>
      <w:r>
        <w:rPr>
          <w:b/>
          <w:sz w:val="24"/>
        </w:rPr>
        <w:t>Article 14. Accès au service d’intervention d’urgence 112 pour les utilisateurs finaux handicapés.</w:t>
      </w:r>
    </w:p>
    <w:p w14:paraId="18797DE6" w14:textId="5A8B102A" w:rsidR="002E5626" w:rsidRDefault="001D7F18" w:rsidP="001D7F18">
      <w:pPr>
        <w:jc w:val="both"/>
        <w:rPr>
          <w:rFonts w:cstheme="minorHAnsi"/>
          <w:bCs/>
          <w:sz w:val="24"/>
          <w:szCs w:val="24"/>
        </w:rPr>
      </w:pPr>
      <w:r>
        <w:rPr>
          <w:sz w:val="24"/>
        </w:rPr>
        <w:t xml:space="preserve">Le décret fixe des exigences pour assurer l’accès </w:t>
      </w:r>
      <w:proofErr w:type="spellStart"/>
      <w:proofErr w:type="gramStart"/>
      <w:r>
        <w:rPr>
          <w:sz w:val="24"/>
        </w:rPr>
        <w:t>au</w:t>
      </w:r>
      <w:proofErr w:type="spellEnd"/>
      <w:r>
        <w:rPr>
          <w:sz w:val="24"/>
        </w:rPr>
        <w:t> services</w:t>
      </w:r>
      <w:proofErr w:type="gramEnd"/>
      <w:r>
        <w:rPr>
          <w:sz w:val="24"/>
        </w:rPr>
        <w:t xml:space="preserve"> d’intervention d’urgence 112 pour les utilisateurs finaux handicapés et son équivalence avec celle dont bénéficient les autres utilisateurs finaux.</w:t>
      </w:r>
    </w:p>
    <w:p w14:paraId="4CF98C1B" w14:textId="77777777" w:rsidR="001D7F18" w:rsidRDefault="001D7F18" w:rsidP="001D7F18">
      <w:pPr>
        <w:jc w:val="both"/>
        <w:rPr>
          <w:rFonts w:cstheme="minorHAnsi"/>
          <w:bCs/>
          <w:sz w:val="24"/>
          <w:szCs w:val="24"/>
        </w:rPr>
      </w:pPr>
    </w:p>
    <w:p w14:paraId="7F740831" w14:textId="4C924595" w:rsidR="001D7F18" w:rsidRPr="00094793" w:rsidRDefault="001D7F18" w:rsidP="006E376E">
      <w:pPr>
        <w:pStyle w:val="ListParagraph"/>
        <w:numPr>
          <w:ilvl w:val="0"/>
          <w:numId w:val="11"/>
        </w:numPr>
        <w:jc w:val="both"/>
        <w:rPr>
          <w:rFonts w:cstheme="minorHAnsi"/>
          <w:b/>
          <w:bCs/>
          <w:sz w:val="24"/>
          <w:szCs w:val="24"/>
        </w:rPr>
      </w:pPr>
      <w:r>
        <w:rPr>
          <w:b/>
          <w:sz w:val="24"/>
        </w:rPr>
        <w:t>Article 15. Accès au service d’intervention d’urgence 112 pour les utilisateurs finaux handicapés d’autres États membres</w:t>
      </w:r>
    </w:p>
    <w:p w14:paraId="216B410E" w14:textId="3EECEEFA" w:rsidR="001D7F18" w:rsidRDefault="001D7F18" w:rsidP="001D7F18">
      <w:pPr>
        <w:jc w:val="both"/>
        <w:rPr>
          <w:rFonts w:cstheme="minorHAnsi"/>
          <w:bCs/>
          <w:sz w:val="24"/>
          <w:szCs w:val="24"/>
        </w:rPr>
      </w:pPr>
      <w:r>
        <w:rPr>
          <w:sz w:val="24"/>
        </w:rPr>
        <w:t>Le décret prévoit qu’un arrêté ministériel adopte des mesures appropriées pour garantir qu’en Espagne, les utilisateurs finaux handicapés d’autres États membres puissent accéder aux services d’urgence dans des conditions équivalentes à celles des autres utilisateurs finaux.</w:t>
      </w:r>
    </w:p>
    <w:p w14:paraId="32ADA3B9" w14:textId="77777777" w:rsidR="00CB2526" w:rsidRDefault="00CB2526" w:rsidP="001D7F18">
      <w:pPr>
        <w:jc w:val="both"/>
        <w:rPr>
          <w:rFonts w:cstheme="minorHAnsi"/>
          <w:bCs/>
          <w:sz w:val="24"/>
          <w:szCs w:val="24"/>
        </w:rPr>
      </w:pPr>
    </w:p>
    <w:p w14:paraId="3E84FE91" w14:textId="7FAF93EF" w:rsidR="00ED0781" w:rsidRPr="00094793" w:rsidRDefault="00ED0781" w:rsidP="006E376E">
      <w:pPr>
        <w:pStyle w:val="ListParagraph"/>
        <w:numPr>
          <w:ilvl w:val="0"/>
          <w:numId w:val="11"/>
        </w:numPr>
        <w:jc w:val="both"/>
        <w:rPr>
          <w:rFonts w:cstheme="minorHAnsi"/>
          <w:bCs/>
          <w:sz w:val="24"/>
          <w:szCs w:val="24"/>
        </w:rPr>
      </w:pPr>
      <w:r>
        <w:rPr>
          <w:b/>
          <w:sz w:val="24"/>
        </w:rPr>
        <w:t>Première disposition additionnelle. Communications d’urgence utilisant d’autres numéros de téléphone</w:t>
      </w:r>
    </w:p>
    <w:p w14:paraId="2185903D" w14:textId="22F29374" w:rsidR="001D7F18" w:rsidRDefault="00ED0781" w:rsidP="001D7F18">
      <w:pPr>
        <w:jc w:val="both"/>
        <w:rPr>
          <w:rFonts w:cstheme="minorHAnsi"/>
          <w:bCs/>
          <w:sz w:val="24"/>
          <w:szCs w:val="24"/>
        </w:rPr>
      </w:pPr>
      <w:r>
        <w:rPr>
          <w:sz w:val="24"/>
        </w:rPr>
        <w:t>Le décret régit les aspects des communications d’urgence fournis par les numéros de téléphone suivants:</w:t>
      </w:r>
    </w:p>
    <w:p w14:paraId="7B4B2807"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062 Guardia Civil [Garde civile];</w:t>
      </w:r>
    </w:p>
    <w:p w14:paraId="0D4B8E3B"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080 Services locaux d’incendie;</w:t>
      </w:r>
    </w:p>
    <w:p w14:paraId="269C2050"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085 Services provinciaux d’incendie;</w:t>
      </w:r>
    </w:p>
    <w:p w14:paraId="4E905D5A"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088 Police communautaire autonome;</w:t>
      </w:r>
    </w:p>
    <w:p w14:paraId="135A19B1"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091 Police nationale;</w:t>
      </w:r>
    </w:p>
    <w:p w14:paraId="02986688" w14:textId="317F36DA" w:rsidR="00ED0781" w:rsidRDefault="00ED0781" w:rsidP="006E376E">
      <w:pPr>
        <w:pStyle w:val="ListParagraph"/>
        <w:numPr>
          <w:ilvl w:val="0"/>
          <w:numId w:val="9"/>
        </w:numPr>
        <w:spacing w:after="200" w:line="276" w:lineRule="auto"/>
        <w:jc w:val="both"/>
        <w:rPr>
          <w:rFonts w:cstheme="minorHAnsi"/>
          <w:sz w:val="24"/>
          <w:szCs w:val="24"/>
        </w:rPr>
      </w:pPr>
      <w:r>
        <w:rPr>
          <w:sz w:val="24"/>
        </w:rPr>
        <w:t>092 Police locale;</w:t>
      </w:r>
    </w:p>
    <w:p w14:paraId="4BD8C3EA" w14:textId="77777777" w:rsidR="00ED0781" w:rsidRPr="00ED0781" w:rsidRDefault="00ED0781" w:rsidP="006E376E">
      <w:pPr>
        <w:pStyle w:val="ListParagraph"/>
        <w:numPr>
          <w:ilvl w:val="0"/>
          <w:numId w:val="9"/>
        </w:numPr>
        <w:jc w:val="both"/>
        <w:rPr>
          <w:rFonts w:cstheme="minorHAnsi"/>
          <w:bCs/>
          <w:sz w:val="24"/>
          <w:szCs w:val="24"/>
        </w:rPr>
      </w:pPr>
      <w:r>
        <w:rPr>
          <w:sz w:val="24"/>
        </w:rPr>
        <w:t>1006 Protection civile.</w:t>
      </w:r>
    </w:p>
    <w:p w14:paraId="7868220F" w14:textId="4CFD7910" w:rsidR="00ED0781" w:rsidRDefault="00ED0781" w:rsidP="00094793">
      <w:pPr>
        <w:pStyle w:val="ListParagraph"/>
        <w:spacing w:after="200" w:line="276" w:lineRule="auto"/>
        <w:jc w:val="both"/>
        <w:rPr>
          <w:rFonts w:cstheme="minorHAnsi"/>
          <w:sz w:val="24"/>
          <w:szCs w:val="24"/>
        </w:rPr>
      </w:pPr>
    </w:p>
    <w:p w14:paraId="331A2DE9" w14:textId="67AC0B94" w:rsidR="00ED0781" w:rsidRPr="00094793" w:rsidRDefault="00ED0781" w:rsidP="00094793">
      <w:pPr>
        <w:spacing w:after="200" w:line="276" w:lineRule="auto"/>
        <w:jc w:val="both"/>
        <w:rPr>
          <w:rFonts w:cstheme="minorHAnsi"/>
          <w:sz w:val="24"/>
          <w:szCs w:val="24"/>
        </w:rPr>
      </w:pPr>
      <w:r>
        <w:rPr>
          <w:sz w:val="24"/>
        </w:rPr>
        <w:t>Il prévoit également un arrêté ministériel d’application.</w:t>
      </w:r>
    </w:p>
    <w:p w14:paraId="7FB13271" w14:textId="6FC1B445" w:rsidR="00ED0781" w:rsidRPr="00DA463C" w:rsidRDefault="00ED0781" w:rsidP="006E376E">
      <w:pPr>
        <w:pStyle w:val="ListParagraph"/>
        <w:numPr>
          <w:ilvl w:val="0"/>
          <w:numId w:val="11"/>
        </w:numPr>
        <w:jc w:val="both"/>
        <w:rPr>
          <w:rFonts w:cstheme="minorHAnsi"/>
          <w:b/>
          <w:bCs/>
          <w:sz w:val="24"/>
          <w:szCs w:val="24"/>
        </w:rPr>
      </w:pPr>
      <w:r>
        <w:rPr>
          <w:b/>
          <w:sz w:val="24"/>
        </w:rPr>
        <w:t>Deuxième disposition additionnelle. Services de communications interpersonnelles supplémentaires fondés sur la numérotation et adaptés aux communications d’urgence</w:t>
      </w:r>
    </w:p>
    <w:p w14:paraId="5BB643F5" w14:textId="4A6ED104" w:rsidR="001D7F18" w:rsidRDefault="007B50BD" w:rsidP="001D7F18">
      <w:pPr>
        <w:jc w:val="both"/>
        <w:rPr>
          <w:rFonts w:cstheme="minorHAnsi"/>
          <w:bCs/>
          <w:sz w:val="24"/>
          <w:szCs w:val="24"/>
        </w:rPr>
      </w:pPr>
      <w:r>
        <w:rPr>
          <w:sz w:val="24"/>
        </w:rPr>
        <w:t>Le décret prévoit un arrêté ministériel pour identifier ces services.</w:t>
      </w:r>
    </w:p>
    <w:p w14:paraId="18555402" w14:textId="77777777" w:rsidR="00CB2526" w:rsidRDefault="00CB2526" w:rsidP="001D7F18">
      <w:pPr>
        <w:jc w:val="both"/>
        <w:rPr>
          <w:rFonts w:cstheme="minorHAnsi"/>
          <w:bCs/>
          <w:sz w:val="24"/>
          <w:szCs w:val="24"/>
        </w:rPr>
      </w:pPr>
    </w:p>
    <w:p w14:paraId="270A125D" w14:textId="7EA303B1" w:rsidR="007B50BD" w:rsidRPr="00094793" w:rsidRDefault="007B50BD" w:rsidP="006E376E">
      <w:pPr>
        <w:pStyle w:val="ListParagraph"/>
        <w:numPr>
          <w:ilvl w:val="0"/>
          <w:numId w:val="11"/>
        </w:numPr>
        <w:jc w:val="both"/>
        <w:rPr>
          <w:rFonts w:cstheme="minorHAnsi"/>
          <w:b/>
          <w:bCs/>
          <w:sz w:val="24"/>
          <w:szCs w:val="24"/>
        </w:rPr>
      </w:pPr>
      <w:r>
        <w:rPr>
          <w:b/>
          <w:sz w:val="24"/>
        </w:rPr>
        <w:t>Troisième disposition additionnelle. Introduction sur le marché espagnol des combinés mobiles permettant une utilisation efficace de la fonctionnalité de localisation mobile avancée (AML)</w:t>
      </w:r>
    </w:p>
    <w:p w14:paraId="38CEDF2C" w14:textId="1C848421" w:rsidR="007B50BD" w:rsidRDefault="007B50BD" w:rsidP="001D7F18">
      <w:pPr>
        <w:jc w:val="both"/>
        <w:rPr>
          <w:rFonts w:cstheme="minorHAnsi"/>
          <w:bCs/>
          <w:sz w:val="24"/>
          <w:szCs w:val="24"/>
        </w:rPr>
      </w:pPr>
      <w:r>
        <w:rPr>
          <w:sz w:val="24"/>
        </w:rPr>
        <w:lastRenderedPageBreak/>
        <w:t>Un délai de trois mois est établi de sorte qu’à partir de cette date, les appareils mobiles dotés de capacités informatiques et multimédia interactives qui ne permettent pas d’implémenter la fonctionnalité avancée d’informations de localisation mobile AML à partir de l’appareil lui-même ne peuvent pas être introduits sur le marché espagnol.</w:t>
      </w:r>
    </w:p>
    <w:p w14:paraId="22CDB0B2" w14:textId="77777777" w:rsidR="00CB2526" w:rsidRDefault="00CB2526" w:rsidP="001D7F18">
      <w:pPr>
        <w:jc w:val="both"/>
        <w:rPr>
          <w:rFonts w:cstheme="minorHAnsi"/>
          <w:bCs/>
          <w:sz w:val="24"/>
          <w:szCs w:val="24"/>
        </w:rPr>
      </w:pPr>
    </w:p>
    <w:p w14:paraId="3024F1E5" w14:textId="74A31794" w:rsidR="007B50BD" w:rsidRPr="00094793" w:rsidRDefault="007B50BD" w:rsidP="006E376E">
      <w:pPr>
        <w:pStyle w:val="ListParagraph"/>
        <w:numPr>
          <w:ilvl w:val="0"/>
          <w:numId w:val="11"/>
        </w:numPr>
        <w:jc w:val="both"/>
        <w:rPr>
          <w:rFonts w:cstheme="minorHAnsi"/>
          <w:b/>
          <w:bCs/>
          <w:sz w:val="24"/>
          <w:szCs w:val="24"/>
        </w:rPr>
      </w:pPr>
      <w:r>
        <w:rPr>
          <w:b/>
          <w:sz w:val="24"/>
        </w:rPr>
        <w:t>Disposition abrogatoire unique. Abrogation des règlements</w:t>
      </w:r>
    </w:p>
    <w:p w14:paraId="47CC0900" w14:textId="77777777" w:rsidR="007B50BD" w:rsidRDefault="007B50BD" w:rsidP="007B50BD">
      <w:pPr>
        <w:jc w:val="both"/>
        <w:rPr>
          <w:rFonts w:cstheme="minorHAnsi"/>
          <w:bCs/>
          <w:sz w:val="24"/>
          <w:szCs w:val="24"/>
        </w:rPr>
      </w:pPr>
      <w:r>
        <w:rPr>
          <w:sz w:val="24"/>
        </w:rPr>
        <w:t>Les actes suivants sont à présent abrogés:</w:t>
      </w:r>
    </w:p>
    <w:p w14:paraId="79821E63" w14:textId="77777777" w:rsidR="007B50BD" w:rsidRDefault="007B50BD" w:rsidP="006E376E">
      <w:pPr>
        <w:pStyle w:val="ListParagraph"/>
        <w:numPr>
          <w:ilvl w:val="0"/>
          <w:numId w:val="10"/>
        </w:numPr>
        <w:spacing w:after="200" w:line="276" w:lineRule="auto"/>
        <w:jc w:val="both"/>
        <w:rPr>
          <w:rFonts w:cstheme="minorHAnsi"/>
          <w:sz w:val="24"/>
          <w:szCs w:val="24"/>
        </w:rPr>
      </w:pPr>
      <w:r>
        <w:rPr>
          <w:sz w:val="24"/>
        </w:rPr>
        <w:t>Décret royal 903/1997 du 16 juin 1997 régissant l’accès, sur les réseaux de télécommunications, au service d’appel d’urgence au numéro 112;</w:t>
      </w:r>
    </w:p>
    <w:p w14:paraId="0FD4B08E" w14:textId="77777777" w:rsidR="007B50BD" w:rsidRPr="00CB2526" w:rsidRDefault="007B50BD" w:rsidP="006E376E">
      <w:pPr>
        <w:pStyle w:val="ListParagraph"/>
        <w:numPr>
          <w:ilvl w:val="0"/>
          <w:numId w:val="10"/>
        </w:numPr>
        <w:spacing w:after="200" w:line="276" w:lineRule="auto"/>
        <w:jc w:val="both"/>
        <w:rPr>
          <w:rFonts w:cstheme="minorHAnsi"/>
          <w:bCs/>
          <w:sz w:val="24"/>
          <w:szCs w:val="24"/>
        </w:rPr>
      </w:pPr>
      <w:r>
        <w:rPr>
          <w:sz w:val="24"/>
        </w:rPr>
        <w:t>l’arrêté du 14 octobre 1999 relatif aux conditions de fourniture d’informations pertinentes pour la fourniture d’un service d’appel d’urgence en utilisant le numéro 112;</w:t>
      </w:r>
    </w:p>
    <w:p w14:paraId="6D860356" w14:textId="77777777" w:rsidR="007B50BD" w:rsidRDefault="007B50BD" w:rsidP="006E376E">
      <w:pPr>
        <w:pStyle w:val="ListParagraph"/>
        <w:numPr>
          <w:ilvl w:val="0"/>
          <w:numId w:val="10"/>
        </w:numPr>
        <w:spacing w:after="200" w:line="276" w:lineRule="auto"/>
        <w:jc w:val="both"/>
        <w:rPr>
          <w:rFonts w:cstheme="minorHAnsi"/>
          <w:sz w:val="24"/>
          <w:szCs w:val="24"/>
        </w:rPr>
      </w:pPr>
      <w:r>
        <w:rPr>
          <w:sz w:val="24"/>
        </w:rPr>
        <w:t>Arrêté ITC/750/2010 du 17 mars 2010 fixant les conditions relatives à la fourniture d’informations sur la localisation de l’appelant à partir du service de téléphonie mobile aux services d’intervention d’urgence fournis en utilisant les numéros 062 et 091.</w:t>
      </w:r>
    </w:p>
    <w:p w14:paraId="493AEC95" w14:textId="15FCD1F2" w:rsidR="007B50BD" w:rsidRDefault="007B50BD" w:rsidP="006E376E">
      <w:pPr>
        <w:pStyle w:val="ListParagraph"/>
        <w:numPr>
          <w:ilvl w:val="0"/>
          <w:numId w:val="10"/>
        </w:numPr>
        <w:spacing w:after="200" w:line="276" w:lineRule="auto"/>
        <w:jc w:val="both"/>
        <w:rPr>
          <w:rFonts w:cstheme="minorHAnsi"/>
          <w:sz w:val="24"/>
          <w:szCs w:val="24"/>
        </w:rPr>
      </w:pPr>
      <w:r>
        <w:rPr>
          <w:sz w:val="24"/>
        </w:rPr>
        <w:t>En outre, toutes les autres dispositions d’une portée similaire ou moindre qui entrent en conflit avec les dispositions du présent décret royal sont également abrogées.</w:t>
      </w:r>
    </w:p>
    <w:p w14:paraId="1F0EE345" w14:textId="77777777" w:rsidR="007B50BD" w:rsidRPr="00094793" w:rsidRDefault="007B50BD" w:rsidP="00094793">
      <w:pPr>
        <w:spacing w:after="200" w:line="276" w:lineRule="auto"/>
        <w:jc w:val="both"/>
        <w:rPr>
          <w:rFonts w:cstheme="minorHAnsi"/>
          <w:sz w:val="24"/>
          <w:szCs w:val="24"/>
        </w:rPr>
      </w:pPr>
    </w:p>
    <w:p w14:paraId="250EF773" w14:textId="55BD5C3F" w:rsidR="007B50BD" w:rsidRPr="00DA463C" w:rsidRDefault="007B50BD" w:rsidP="006E376E">
      <w:pPr>
        <w:pStyle w:val="ListParagraph"/>
        <w:numPr>
          <w:ilvl w:val="0"/>
          <w:numId w:val="11"/>
        </w:numPr>
        <w:spacing w:after="0" w:line="240" w:lineRule="auto"/>
        <w:jc w:val="both"/>
        <w:rPr>
          <w:rFonts w:ascii="Calibri" w:eastAsia="Times New Roman" w:hAnsi="Calibri" w:cs="Calibri"/>
          <w:b/>
          <w:sz w:val="24"/>
          <w:szCs w:val="24"/>
        </w:rPr>
      </w:pPr>
      <w:r>
        <w:rPr>
          <w:rFonts w:ascii="Calibri" w:hAnsi="Calibri"/>
          <w:b/>
          <w:sz w:val="24"/>
        </w:rPr>
        <w:t>Première disposition finale. Attribution des pouvoirs</w:t>
      </w:r>
    </w:p>
    <w:p w14:paraId="3C7AD6C0" w14:textId="77777777" w:rsidR="007B50BD" w:rsidRPr="00AE2097" w:rsidRDefault="007B50BD" w:rsidP="007B50BD">
      <w:pPr>
        <w:spacing w:after="0" w:line="240" w:lineRule="auto"/>
        <w:jc w:val="both"/>
        <w:rPr>
          <w:rFonts w:ascii="Calibri" w:eastAsia="Times New Roman" w:hAnsi="Calibri" w:cs="Calibri"/>
          <w:b/>
          <w:sz w:val="24"/>
          <w:szCs w:val="24"/>
          <w:lang w:eastAsia="es-ES"/>
        </w:rPr>
      </w:pPr>
    </w:p>
    <w:p w14:paraId="122860EF" w14:textId="4FD38455" w:rsidR="00BE4635" w:rsidRDefault="007B50BD" w:rsidP="00BD0D80">
      <w:pPr>
        <w:jc w:val="both"/>
        <w:rPr>
          <w:rFonts w:ascii="Calibri" w:eastAsia="Times New Roman" w:hAnsi="Calibri" w:cs="Calibri"/>
          <w:sz w:val="24"/>
          <w:szCs w:val="24"/>
        </w:rPr>
      </w:pPr>
      <w:r>
        <w:rPr>
          <w:rFonts w:ascii="Calibri" w:hAnsi="Calibri"/>
          <w:sz w:val="24"/>
        </w:rPr>
        <w:t>Cette disposition prévoit que le décret royal est émis en vertu des dispositions de l’article 149, paragraphe 1, point 21) et 29), de la Constitution espagnole, qui confèrent à l’État des pouvoirs exclusifs en matière de télécommunications et de sécurité publique, respectivement.</w:t>
      </w:r>
    </w:p>
    <w:p w14:paraId="5E0D5B9A" w14:textId="77777777" w:rsidR="00CB2526" w:rsidRDefault="00CB2526" w:rsidP="00BD0D80">
      <w:pPr>
        <w:jc w:val="both"/>
        <w:rPr>
          <w:rFonts w:ascii="Calibri" w:eastAsia="Times New Roman" w:hAnsi="Calibri" w:cs="Calibri"/>
          <w:sz w:val="24"/>
          <w:szCs w:val="24"/>
          <w:lang w:eastAsia="es-ES"/>
        </w:rPr>
      </w:pPr>
    </w:p>
    <w:p w14:paraId="5DC3B404" w14:textId="13DAF9CC" w:rsidR="007B50BD" w:rsidRPr="0068307E" w:rsidRDefault="007B50BD" w:rsidP="006E376E">
      <w:pPr>
        <w:pStyle w:val="ListParagraph"/>
        <w:numPr>
          <w:ilvl w:val="0"/>
          <w:numId w:val="11"/>
        </w:numPr>
        <w:jc w:val="both"/>
        <w:rPr>
          <w:rFonts w:cstheme="minorHAnsi"/>
          <w:b/>
          <w:bCs/>
          <w:sz w:val="24"/>
          <w:szCs w:val="24"/>
        </w:rPr>
      </w:pPr>
      <w:r>
        <w:rPr>
          <w:b/>
          <w:sz w:val="24"/>
        </w:rPr>
        <w:t>Deuxième disposition finale. Pouvoirs d’exécution réglementaire</w:t>
      </w:r>
    </w:p>
    <w:p w14:paraId="37DDF38A" w14:textId="5EDB66CC" w:rsidR="007B50BD" w:rsidRPr="00AE2097" w:rsidRDefault="007B50BD" w:rsidP="007B50BD">
      <w:pPr>
        <w:spacing w:after="0" w:line="240" w:lineRule="auto"/>
        <w:jc w:val="both"/>
        <w:rPr>
          <w:rFonts w:ascii="Calibri" w:eastAsia="Calibri" w:hAnsi="Calibri" w:cs="Calibri"/>
          <w:bCs/>
          <w:sz w:val="24"/>
          <w:szCs w:val="24"/>
        </w:rPr>
      </w:pPr>
      <w:r>
        <w:rPr>
          <w:rFonts w:ascii="Calibri" w:hAnsi="Calibri"/>
          <w:sz w:val="24"/>
        </w:rPr>
        <w:t>Cette disposition autorise le ministre de l’Économie et de la Transformation numérique, ainsi que le ministre de l’Intérieur, dans le cadre de leurs fonctions, à émettre les dispositions nécessaires pour respecter le présent décret royal.</w:t>
      </w:r>
    </w:p>
    <w:p w14:paraId="2F2BE063" w14:textId="3D46E9D3" w:rsidR="007B50BD" w:rsidRDefault="007B50BD" w:rsidP="00BD0D80">
      <w:pPr>
        <w:jc w:val="both"/>
        <w:rPr>
          <w:rFonts w:ascii="Calibri" w:eastAsia="Times New Roman" w:hAnsi="Calibri" w:cs="Calibri"/>
          <w:sz w:val="24"/>
          <w:szCs w:val="24"/>
          <w:lang w:eastAsia="es-ES"/>
        </w:rPr>
      </w:pPr>
    </w:p>
    <w:p w14:paraId="13948CCA" w14:textId="4A7913F9" w:rsidR="007B50BD" w:rsidRPr="0068307E" w:rsidRDefault="007B50BD" w:rsidP="006E376E">
      <w:pPr>
        <w:pStyle w:val="ListParagraph"/>
        <w:numPr>
          <w:ilvl w:val="0"/>
          <w:numId w:val="11"/>
        </w:numPr>
        <w:jc w:val="both"/>
        <w:rPr>
          <w:rFonts w:cstheme="minorHAnsi"/>
          <w:b/>
          <w:bCs/>
          <w:sz w:val="24"/>
          <w:szCs w:val="24"/>
        </w:rPr>
      </w:pPr>
      <w:r>
        <w:rPr>
          <w:b/>
          <w:sz w:val="24"/>
        </w:rPr>
        <w:t>Troisième disposition finale. Entrée en vigueur</w:t>
      </w:r>
    </w:p>
    <w:p w14:paraId="44E9D562" w14:textId="333FA43B" w:rsidR="007B50BD" w:rsidRPr="00665FA8" w:rsidRDefault="007B50BD" w:rsidP="007B50BD">
      <w:pPr>
        <w:jc w:val="both"/>
        <w:rPr>
          <w:rFonts w:cstheme="minorHAnsi"/>
          <w:bCs/>
          <w:sz w:val="24"/>
          <w:szCs w:val="24"/>
        </w:rPr>
      </w:pPr>
      <w:r>
        <w:rPr>
          <w:sz w:val="24"/>
        </w:rPr>
        <w:t>Cette disposition prévoit que le décret royal entre en vigueur le lendemain de sa publication au Journal officiel de l’État.</w:t>
      </w:r>
    </w:p>
    <w:p w14:paraId="648525E2" w14:textId="77777777" w:rsidR="007B50BD" w:rsidRDefault="007B50BD" w:rsidP="00BD0D80">
      <w:pPr>
        <w:jc w:val="both"/>
        <w:rPr>
          <w:rFonts w:ascii="Calibri" w:eastAsia="Times New Roman" w:hAnsi="Calibri" w:cs="Calibri"/>
          <w:sz w:val="24"/>
          <w:szCs w:val="24"/>
          <w:lang w:eastAsia="es-ES"/>
        </w:rPr>
      </w:pPr>
    </w:p>
    <w:p w14:paraId="43C6E212" w14:textId="77777777" w:rsidR="007B50BD" w:rsidRPr="00BE4635" w:rsidRDefault="007B50BD" w:rsidP="00BD0D80">
      <w:pPr>
        <w:jc w:val="both"/>
        <w:rPr>
          <w:rFonts w:cstheme="minorHAnsi"/>
          <w:bCs/>
          <w:sz w:val="24"/>
          <w:szCs w:val="24"/>
        </w:rPr>
      </w:pPr>
    </w:p>
    <w:p w14:paraId="2E7BA895" w14:textId="77777777" w:rsidR="00BD0D80" w:rsidRPr="00094793" w:rsidRDefault="00BD0D80" w:rsidP="00BD0D80">
      <w:pPr>
        <w:spacing w:before="120" w:after="0" w:line="252" w:lineRule="auto"/>
        <w:jc w:val="both"/>
        <w:rPr>
          <w:rFonts w:eastAsia="Times New Roman" w:cstheme="minorHAnsi"/>
          <w:lang w:eastAsia="es-ES"/>
        </w:rPr>
      </w:pPr>
    </w:p>
    <w:p w14:paraId="1FD5CAA3" w14:textId="7B5F0852" w:rsidR="008B22CE" w:rsidRDefault="009A1BAE" w:rsidP="00F152C8">
      <w:pPr>
        <w:spacing w:before="120" w:after="0" w:line="252" w:lineRule="auto"/>
        <w:jc w:val="both"/>
        <w:rPr>
          <w:rFonts w:eastAsia="Times New Roman" w:cstheme="minorHAnsi"/>
          <w:b/>
        </w:rPr>
      </w:pPr>
      <w:r>
        <w:rPr>
          <w:b/>
        </w:rPr>
        <w:t>2) Analyse juridique</w:t>
      </w:r>
    </w:p>
    <w:p w14:paraId="69E89076" w14:textId="77777777" w:rsidR="00CB2526" w:rsidRDefault="00CB2526" w:rsidP="00F152C8">
      <w:pPr>
        <w:spacing w:before="120" w:after="0" w:line="252" w:lineRule="auto"/>
        <w:jc w:val="both"/>
        <w:rPr>
          <w:rFonts w:eastAsia="Times New Roman" w:cstheme="minorHAnsi"/>
          <w:b/>
          <w:lang w:eastAsia="es-ES"/>
        </w:rPr>
      </w:pPr>
    </w:p>
    <w:p w14:paraId="5C3FBAC9" w14:textId="72E3CABE" w:rsidR="009A1BAE" w:rsidRDefault="009A1BAE" w:rsidP="00F152C8">
      <w:pPr>
        <w:spacing w:before="120" w:after="0" w:line="252" w:lineRule="auto"/>
        <w:jc w:val="both"/>
        <w:rPr>
          <w:rFonts w:eastAsia="Times New Roman" w:cstheme="minorHAnsi"/>
        </w:rPr>
      </w:pPr>
      <w:r>
        <w:t>2.1. Législation communautaire</w:t>
      </w:r>
    </w:p>
    <w:p w14:paraId="48C858DF" w14:textId="77777777" w:rsidR="00CB2526" w:rsidRDefault="00CB2526" w:rsidP="00F152C8">
      <w:pPr>
        <w:spacing w:before="120" w:after="0" w:line="252" w:lineRule="auto"/>
        <w:jc w:val="both"/>
        <w:rPr>
          <w:rFonts w:eastAsia="Times New Roman" w:cstheme="minorHAnsi"/>
          <w:lang w:eastAsia="es-ES"/>
        </w:rPr>
      </w:pPr>
    </w:p>
    <w:p w14:paraId="2015676D" w14:textId="7318E014" w:rsidR="008B22CE" w:rsidRPr="008B22CE" w:rsidRDefault="008B22CE" w:rsidP="00F152C8">
      <w:pPr>
        <w:spacing w:before="120" w:after="0" w:line="252" w:lineRule="auto"/>
        <w:jc w:val="both"/>
        <w:rPr>
          <w:rFonts w:eastAsia="Times New Roman" w:cstheme="minorHAnsi"/>
        </w:rPr>
      </w:pPr>
      <w:r>
        <w:t>L’article 109 de la directive (UE) 2018/1972 du Parlement européen et du Conseil du 11 décembre 2018 établissant le code des communications électroniques européen régit les communications d’urgence et le numéro d’urgence européen unique.</w:t>
      </w:r>
    </w:p>
    <w:p w14:paraId="169BC082" w14:textId="777601A4" w:rsidR="0019625B" w:rsidRDefault="00F572F8" w:rsidP="008B22CE">
      <w:pPr>
        <w:spacing w:before="120" w:line="252" w:lineRule="auto"/>
        <w:jc w:val="both"/>
        <w:rPr>
          <w:rFonts w:eastAsia="Times New Roman" w:cstheme="minorHAnsi"/>
        </w:rPr>
      </w:pPr>
      <w:r>
        <w:t>Vous trouverez ci-dessous une liste des principaux aspects du Code (il convient de noter que certains d’entre eux ne sont pas nouveaux).</w:t>
      </w:r>
    </w:p>
    <w:p w14:paraId="34A23D4B" w14:textId="22088F4D" w:rsidR="008B22CE" w:rsidRPr="0019625B"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Les utilisateurs finaux de services de communications interpersonnelles fondés sur la numérotation, y compris les utilisateurs de téléphones payants publics, peuvent utiliser le 112 pour accéder aux services d’urgence gratuitement et sans avoir à utiliser aucun moyen de paiement.</w:t>
      </w:r>
    </w:p>
    <w:p w14:paraId="3B9055A8" w14:textId="351559AF" w:rsidR="00F572F8"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Les entreprises qui fournissent des services de communications interpersonnelles fondés sur la numérotation accessibles au public, si ces services permettent aux utilisateurs finaux d’envoyer des appels à un numéro dans un plan national ou international de numérotation, doivent fournir l’accès aux services d’urgence au moyen de communications d’urgence au point de réponse de sécurité publique le plus approprié.</w:t>
      </w:r>
    </w:p>
    <w:p w14:paraId="0F7D541E" w14:textId="3E115444" w:rsidR="0019625B"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L’accès aux services d’urgence pour les utilisateurs finaux handicapés doit être disponible au moyen de communications d’urgence et être équivalent à celui dont bénéficient les autres utilisateurs finaux, y compris les utilisateurs handicapés qui voyagent à partir d’un autre État membre.</w:t>
      </w:r>
    </w:p>
    <w:p w14:paraId="06DB54BD" w14:textId="77777777" w:rsidR="0019625B"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Les renseignements sur l’emplacement des personnes appelant les services d’urgence en utilisant le 112 doivent être fondées sur le réseau et peuvent être complétés par le système AML.</w:t>
      </w:r>
    </w:p>
    <w:p w14:paraId="654559F5" w14:textId="77777777" w:rsidR="004E2BE2"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Les utilisateurs finaux doivent recevoir des informations appropriées sur l’existence et l’utilisation du numéro d’urgence unique européen 112 et sur ses caractéristiques d’accessibilité.</w:t>
      </w:r>
    </w:p>
    <w:p w14:paraId="13F00AB5" w14:textId="77777777" w:rsidR="004E2BE2" w:rsidRDefault="004E2BE2" w:rsidP="00094793">
      <w:pPr>
        <w:pStyle w:val="ListParagraph"/>
        <w:spacing w:before="120" w:line="252" w:lineRule="auto"/>
        <w:jc w:val="both"/>
        <w:rPr>
          <w:rFonts w:ascii="Calibri" w:eastAsia="Calibri" w:hAnsi="Calibri" w:cs="Times New Roman"/>
          <w:lang w:eastAsia="es-ES"/>
        </w:rPr>
      </w:pPr>
    </w:p>
    <w:p w14:paraId="7E652CFB" w14:textId="77777777" w:rsidR="004E2BE2" w:rsidRDefault="004E2BE2" w:rsidP="004E2BE2">
      <w:pPr>
        <w:pStyle w:val="ListParagraph"/>
        <w:ind w:left="222"/>
        <w:contextualSpacing w:val="0"/>
        <w:jc w:val="both"/>
        <w:rPr>
          <w:rFonts w:ascii="Calibri" w:eastAsia="Calibri" w:hAnsi="Calibri" w:cs="Times New Roman"/>
          <w:lang w:eastAsia="es-ES"/>
        </w:rPr>
      </w:pPr>
    </w:p>
    <w:p w14:paraId="3DBE64CE" w14:textId="339485CF" w:rsidR="004E2BE2" w:rsidRDefault="004E2BE2" w:rsidP="004E2BE2">
      <w:pPr>
        <w:pStyle w:val="ListParagraph"/>
        <w:ind w:left="222"/>
        <w:contextualSpacing w:val="0"/>
        <w:jc w:val="both"/>
        <w:rPr>
          <w:rFonts w:ascii="Calibri" w:eastAsia="Calibri" w:hAnsi="Calibri" w:cs="Times New Roman"/>
        </w:rPr>
      </w:pPr>
      <w:r>
        <w:rPr>
          <w:rFonts w:ascii="Calibri" w:hAnsi="Calibri"/>
        </w:rPr>
        <w:t>2.2. Législation nationale</w:t>
      </w:r>
    </w:p>
    <w:p w14:paraId="06FAE50A" w14:textId="491E8ED1" w:rsidR="004E2BE2" w:rsidRPr="004E2BE2" w:rsidRDefault="004E2BE2" w:rsidP="00094793">
      <w:pPr>
        <w:jc w:val="both"/>
        <w:rPr>
          <w:rFonts w:cs="Arial"/>
        </w:rPr>
      </w:pPr>
      <w:r>
        <w:t>L’objectif principal</w:t>
      </w:r>
      <w:r>
        <w:rPr>
          <w:sz w:val="24"/>
        </w:rPr>
        <w:t xml:space="preserve"> du décret royal est de mettre en œuvre l’article 74 de la loi générale sur les télécommunications 11/2022 du 28 juin 2018, qui a transposé en droit espagnol l’article 109 de la directive (UE) 2018/1972 du Parlement européen et du Conseil du 11 décembre 2018 établissant le code des communications électroniques européen, et régit le numéro d’urgence unique européen 112.</w:t>
      </w:r>
    </w:p>
    <w:p w14:paraId="126A943C" w14:textId="4B993A8B" w:rsidR="004E2BE2" w:rsidRDefault="004E2BE2" w:rsidP="004E2BE2">
      <w:pPr>
        <w:spacing w:before="120" w:after="0" w:line="252" w:lineRule="auto"/>
        <w:jc w:val="both"/>
      </w:pPr>
      <w:r>
        <w:rPr>
          <w:rFonts w:ascii="Calibri" w:hAnsi="Calibri"/>
        </w:rPr>
        <w:lastRenderedPageBreak/>
        <w:t>Ainsi, l’article 74, paragraphe 2, de la loi générale sur les télécommunications</w:t>
      </w:r>
      <w:r>
        <w:t> 11/2022 du 28 juin 2022</w:t>
      </w:r>
      <w:r>
        <w:rPr>
          <w:rFonts w:ascii="Calibri" w:hAnsi="Calibri"/>
        </w:rPr>
        <w:t xml:space="preserve"> spécifie que</w:t>
      </w:r>
      <w:r>
        <w:t xml:space="preserve"> les opérateurs susmentionnés doivent fournir aux autorités qui reçoivent ces communications les informations, spécifiées par décret royal, concernant la localisation des personnes effectuant la communication d’urgence, immédiatement après la mise en place de la communication. La génération et le transfert des informations de localisation de l’appelant sont gratuits, tant pour l’appelant que pour les autorités qui reçoivent ces communications d’urgence, lorsqu’ils utilisent le numéro d’urgence 112 ou d’autres numéros d’urgence spécifiés.</w:t>
      </w:r>
    </w:p>
    <w:p w14:paraId="6181B8AB" w14:textId="5695DB61" w:rsidR="004E2BE2" w:rsidRDefault="004E2BE2" w:rsidP="004E2BE2">
      <w:pPr>
        <w:spacing w:before="120" w:after="0" w:line="252" w:lineRule="auto"/>
        <w:jc w:val="both"/>
        <w:rPr>
          <w:rFonts w:eastAsia="Times New Roman" w:cstheme="minorHAnsi"/>
        </w:rPr>
      </w:pPr>
      <w:r>
        <w:t>Ce système, réglementée par le présent décret royal, offre les avantages énoncés ci-dessous.</w:t>
      </w:r>
    </w:p>
    <w:p w14:paraId="489665F7" w14:textId="77777777" w:rsidR="004E2BE2" w:rsidRPr="00F4387F" w:rsidRDefault="004E2BE2" w:rsidP="006E376E">
      <w:pPr>
        <w:pStyle w:val="ListParagraph"/>
        <w:numPr>
          <w:ilvl w:val="0"/>
          <w:numId w:val="7"/>
        </w:numPr>
        <w:spacing w:before="120" w:after="0" w:line="252" w:lineRule="auto"/>
        <w:jc w:val="both"/>
        <w:rPr>
          <w:rFonts w:eastAsia="Times New Roman" w:cstheme="minorHAnsi"/>
        </w:rPr>
      </w:pPr>
      <w:r>
        <w:t>L’utilisateur n’a pas à effectuer d’actions supplémentaires car le système s’active automatiquement.</w:t>
      </w:r>
    </w:p>
    <w:p w14:paraId="4CD29982" w14:textId="5067B3F9" w:rsidR="004E2BE2" w:rsidRPr="00F4387F" w:rsidRDefault="004E2BE2" w:rsidP="006E376E">
      <w:pPr>
        <w:pStyle w:val="ListParagraph"/>
        <w:numPr>
          <w:ilvl w:val="0"/>
          <w:numId w:val="7"/>
        </w:numPr>
        <w:jc w:val="both"/>
        <w:rPr>
          <w:rFonts w:eastAsia="Times New Roman" w:cstheme="minorHAnsi"/>
        </w:rPr>
      </w:pPr>
      <w:r>
        <w:t>L’établissement a de nombreux cas documentés de succès. Comme indiqué ci-dessus, de plus en plus de pays déploient cette technologie, compte tenu de ses excellents résultats en matière de localisation des appelants, comme en témoigne son déploiement actuel dans 15 États membres de l’UE.</w:t>
      </w:r>
    </w:p>
    <w:p w14:paraId="30490C1E" w14:textId="4AD26EF8" w:rsidR="004E2BE2" w:rsidRDefault="004E2BE2" w:rsidP="006E376E">
      <w:pPr>
        <w:pStyle w:val="ListParagraph"/>
        <w:numPr>
          <w:ilvl w:val="0"/>
          <w:numId w:val="7"/>
        </w:numPr>
        <w:spacing w:before="120" w:after="0" w:line="252" w:lineRule="auto"/>
        <w:jc w:val="both"/>
        <w:rPr>
          <w:rFonts w:eastAsia="Times New Roman" w:cstheme="minorHAnsi"/>
        </w:rPr>
      </w:pPr>
      <w:r>
        <w:t>Cette installation complétera — et non remplacera — les informations obtenues auprès des réseaux.</w:t>
      </w:r>
    </w:p>
    <w:p w14:paraId="05F7FE22" w14:textId="44FCAFF0" w:rsidR="004E2BE2" w:rsidRDefault="004E2BE2" w:rsidP="00094793">
      <w:pPr>
        <w:spacing w:before="120" w:after="0" w:line="252" w:lineRule="auto"/>
        <w:jc w:val="both"/>
        <w:rPr>
          <w:rFonts w:eastAsia="Times New Roman" w:cstheme="minorHAnsi"/>
          <w:lang w:eastAsia="es-ES"/>
        </w:rPr>
      </w:pPr>
    </w:p>
    <w:p w14:paraId="17A8590A" w14:textId="565C511A" w:rsidR="004E2BE2" w:rsidRDefault="004E2BE2" w:rsidP="00094793">
      <w:pPr>
        <w:spacing w:before="120" w:after="0" w:line="252" w:lineRule="auto"/>
        <w:jc w:val="both"/>
        <w:rPr>
          <w:rFonts w:ascii="Calibri" w:eastAsia="Calibri" w:hAnsi="Calibri" w:cs="Arial"/>
        </w:rPr>
      </w:pPr>
      <w:r>
        <w:t>Pour sa part</w:t>
      </w:r>
      <w:r>
        <w:rPr>
          <w:rFonts w:ascii="Calibri" w:hAnsi="Calibri"/>
        </w:rPr>
        <w:t>, article 74, paragraphes 3 à 6, de la loi générale sur les télécommunications</w:t>
      </w:r>
      <w:r>
        <w:t> 11/2022 du 28 juin 2022</w:t>
      </w:r>
      <w:r>
        <w:rPr>
          <w:rFonts w:ascii="Calibri" w:hAnsi="Calibri"/>
        </w:rPr>
        <w:t xml:space="preserve"> indique que:</w:t>
      </w:r>
    </w:p>
    <w:p w14:paraId="174F0FFF" w14:textId="63DE173C" w:rsidR="004E2BE2" w:rsidRPr="00CB2526" w:rsidRDefault="004E2BE2" w:rsidP="00CB2526">
      <w:pPr>
        <w:pStyle w:val="parrafo"/>
        <w:ind w:left="709"/>
        <w:jc w:val="both"/>
        <w:rPr>
          <w:rFonts w:asciiTheme="minorHAnsi" w:hAnsiTheme="minorHAnsi" w:cstheme="minorHAnsi"/>
          <w:i/>
          <w:iCs/>
          <w:sz w:val="22"/>
          <w:szCs w:val="22"/>
        </w:rPr>
      </w:pPr>
      <w:r>
        <w:rPr>
          <w:rFonts w:asciiTheme="minorHAnsi" w:hAnsiTheme="minorHAnsi"/>
          <w:i/>
          <w:sz w:val="22"/>
        </w:rPr>
        <w:t>3. Pour les utilisateurs finaux handicapés, l’accès aux services d’urgence au moyen de communications d’urgence est équivalent à celui dont bénéficient les autres utilisateurs finaux. Après avoir entendu le Conseil national des personnes handicapées, les autorités adoptent un décret royal avec des mesures appropriées pour garantir que les utilisateurs finaux handicapés qui se déplacent dans d’autres États membres de l’UE puissent accéder aux services d’urgence dans des conditions équivalentes à celles des autres utilisateurs finaux et, dans la mesure du possible, sans qu’il soit nécessaire d’être préalablement enregistrés. Ces mesures garantissent l’interopérabilité entre les États membres et sont fondées dans toute la mesure du possible sur les spécifications ou normes européennes pertinentes.</w:t>
      </w:r>
    </w:p>
    <w:p w14:paraId="4F256488" w14:textId="5A2E4C1C" w:rsidR="004E2BE2" w:rsidRPr="00CB2526" w:rsidRDefault="004E2BE2" w:rsidP="00CB2526">
      <w:pPr>
        <w:pStyle w:val="parrafo"/>
        <w:ind w:left="709"/>
        <w:jc w:val="both"/>
        <w:rPr>
          <w:rFonts w:asciiTheme="minorHAnsi" w:hAnsiTheme="minorHAnsi" w:cstheme="minorHAnsi"/>
          <w:i/>
          <w:iCs/>
          <w:sz w:val="22"/>
          <w:szCs w:val="22"/>
        </w:rPr>
      </w:pPr>
      <w:r>
        <w:rPr>
          <w:rFonts w:asciiTheme="minorHAnsi" w:hAnsiTheme="minorHAnsi"/>
          <w:i/>
          <w:sz w:val="22"/>
        </w:rPr>
        <w:t>4. Les autorités chargées de fournir des services d’urgence veillent à ce que les citoyens reçoivent des informations adéquates sur l’existence et l’utilisation du numéro d’urgence 112, ainsi que sur ses caractéristiques d’accessibilité, notamment au moyen d’initiatives spécifiquement destinées aux personnes se rendant dans d’autres États membres de l’UE et aux utilisateurs finaux handicapés.</w:t>
      </w:r>
    </w:p>
    <w:p w14:paraId="688E8667" w14:textId="3D2ABCEB" w:rsidR="004E2BE2" w:rsidRPr="00CB2526" w:rsidRDefault="004E2BE2" w:rsidP="00CB2526">
      <w:pPr>
        <w:pStyle w:val="parrafo"/>
        <w:ind w:left="709"/>
        <w:jc w:val="both"/>
        <w:rPr>
          <w:rFonts w:asciiTheme="minorHAnsi" w:hAnsiTheme="minorHAnsi" w:cstheme="minorHAnsi"/>
          <w:i/>
          <w:iCs/>
          <w:sz w:val="22"/>
          <w:szCs w:val="22"/>
        </w:rPr>
      </w:pPr>
      <w:r>
        <w:rPr>
          <w:rFonts w:asciiTheme="minorHAnsi" w:hAnsiTheme="minorHAnsi"/>
          <w:i/>
          <w:sz w:val="22"/>
        </w:rPr>
        <w:t>5. Les parties concernées favorisent l’accès aux services d’urgence au moyen du numéro d’urgence 112 et d’autres numéros d’urgence provenant de réseaux de communications électroniques qui ne sont pas accessibles au public, mais qui permettent des appels vers des réseaux publics, en particulier lorsque la société responsable dudit réseau ne fournit pas un accès alternatif facile à un service d’urgence.</w:t>
      </w:r>
    </w:p>
    <w:p w14:paraId="3EC704D2" w14:textId="2B9E48AE" w:rsidR="004E2BE2" w:rsidRPr="00CB2526" w:rsidRDefault="004E2BE2" w:rsidP="00CB2526">
      <w:pPr>
        <w:pStyle w:val="parrafo"/>
        <w:spacing w:before="0" w:after="0"/>
        <w:ind w:left="709"/>
        <w:jc w:val="both"/>
        <w:rPr>
          <w:rFonts w:asciiTheme="minorHAnsi" w:hAnsiTheme="minorHAnsi" w:cstheme="minorHAnsi"/>
          <w:i/>
          <w:iCs/>
          <w:sz w:val="22"/>
          <w:szCs w:val="22"/>
        </w:rPr>
      </w:pPr>
      <w:r>
        <w:rPr>
          <w:rFonts w:asciiTheme="minorHAnsi" w:hAnsiTheme="minorHAnsi"/>
          <w:i/>
          <w:sz w:val="22"/>
        </w:rPr>
        <w:t xml:space="preserve">6. Sans préjudice des dispositions du présent article, les communications d’urgence sont soumises au règlement (UE) 2016/679 du Parlement européen et du Conseil du 27 avril 2016 et à la loi organique 3/2018 du 5 décembre 2018 relative à la </w:t>
      </w:r>
      <w:r>
        <w:rPr>
          <w:rFonts w:asciiTheme="minorHAnsi" w:hAnsiTheme="minorHAnsi"/>
          <w:i/>
          <w:sz w:val="22"/>
        </w:rPr>
        <w:lastRenderedPageBreak/>
        <w:t>protection des données à caractère personnel et à une garantie des droits numériques, ainsi que ses règlements d’application.</w:t>
      </w:r>
    </w:p>
    <w:p w14:paraId="6D1E16B9" w14:textId="1504D997" w:rsidR="004E2BE2" w:rsidRPr="00CB2526" w:rsidRDefault="004E2BE2" w:rsidP="00CB2526">
      <w:pPr>
        <w:spacing w:before="120" w:after="0" w:line="252" w:lineRule="auto"/>
        <w:jc w:val="both"/>
        <w:rPr>
          <w:rFonts w:eastAsia="Times New Roman" w:cstheme="minorHAnsi"/>
        </w:rPr>
      </w:pPr>
    </w:p>
    <w:p w14:paraId="365AAEB8" w14:textId="327E6723" w:rsidR="004E2BE2" w:rsidRPr="00CB2526" w:rsidRDefault="004E2BE2" w:rsidP="00CB2526">
      <w:pPr>
        <w:spacing w:before="120" w:after="0" w:line="252" w:lineRule="auto"/>
        <w:jc w:val="both"/>
        <w:rPr>
          <w:rFonts w:eastAsia="Times New Roman" w:cstheme="minorHAnsi"/>
        </w:rPr>
      </w:pPr>
      <w:r>
        <w:t>Ainsi, pour résumer, une action efficace est essentielle dans une situation mettant en danger la vie et dans ce cas, ce décret royal est l’instrument réglementaire idéal pour transposer ce principe et mettre à jour le contenu des règlements actuellement en place.</w:t>
      </w:r>
    </w:p>
    <w:p w14:paraId="75A9E9A6" w14:textId="42015959" w:rsidR="00C96647" w:rsidRPr="00CB2526" w:rsidRDefault="00C96647" w:rsidP="00CB2526">
      <w:pPr>
        <w:spacing w:before="120" w:after="0" w:line="252" w:lineRule="auto"/>
        <w:jc w:val="both"/>
        <w:rPr>
          <w:rFonts w:eastAsia="Times New Roman" w:cstheme="minorHAnsi"/>
          <w:lang w:eastAsia="es-ES"/>
        </w:rPr>
      </w:pPr>
    </w:p>
    <w:p w14:paraId="48CD8732" w14:textId="0B5004FC" w:rsidR="00C96647" w:rsidRPr="00CB2526" w:rsidRDefault="00C96647" w:rsidP="00CB2526">
      <w:pPr>
        <w:spacing w:before="120" w:after="0" w:line="252" w:lineRule="auto"/>
        <w:jc w:val="both"/>
        <w:rPr>
          <w:rFonts w:cstheme="minorHAnsi"/>
        </w:rPr>
      </w:pPr>
      <w:r>
        <w:t>Ce projet de législation figure dans le plan législatif annuel 2022 de l’État, adopté par l’accord du Conseil des ministres du 11 janvier 2022.</w:t>
      </w:r>
    </w:p>
    <w:p w14:paraId="17DBECAD" w14:textId="77777777" w:rsidR="00C96647" w:rsidRPr="00CB2526" w:rsidRDefault="00C96647" w:rsidP="00CB2526">
      <w:pPr>
        <w:spacing w:before="120" w:after="0" w:line="252" w:lineRule="auto"/>
        <w:jc w:val="both"/>
        <w:rPr>
          <w:rFonts w:eastAsia="Times New Roman" w:cstheme="minorHAnsi"/>
          <w:lang w:eastAsia="es-ES"/>
        </w:rPr>
      </w:pPr>
    </w:p>
    <w:p w14:paraId="7410B93D" w14:textId="3ACBEA18" w:rsidR="004E2BE2" w:rsidRPr="00CB2526" w:rsidRDefault="00F705C0" w:rsidP="00CB2526">
      <w:pPr>
        <w:spacing w:after="0" w:line="240" w:lineRule="auto"/>
        <w:jc w:val="both"/>
        <w:rPr>
          <w:rFonts w:cstheme="minorHAnsi"/>
        </w:rPr>
      </w:pPr>
      <w:r>
        <w:t>En ce qui concerne l’entrée en vigueur, le décret prévoit qu’il entrera en vigueur le lendemain de sa publication au Journal officiel de l’État. Aux fins de l’article 23 de la loi gouvernementale 50/1997 du 27 novembre 1997, il convient de noter que l’entrée en vigueur immédiate est plus que justifiée, étant donné que le délai de transposition du code européen, finalisé le 21 décembre 2020, est écoulé depuis longtemps.</w:t>
      </w:r>
    </w:p>
    <w:p w14:paraId="2CF66334" w14:textId="556ED32D" w:rsidR="004E2BE2" w:rsidRPr="00CB2526" w:rsidRDefault="004E2BE2" w:rsidP="00CB2526">
      <w:pPr>
        <w:spacing w:before="120" w:after="0" w:line="252" w:lineRule="auto"/>
        <w:jc w:val="both"/>
        <w:rPr>
          <w:rFonts w:eastAsia="Times New Roman" w:cstheme="minorHAnsi"/>
        </w:rPr>
      </w:pPr>
    </w:p>
    <w:p w14:paraId="63F142FB" w14:textId="77777777" w:rsidR="00122F55" w:rsidRPr="00CB2526" w:rsidRDefault="00122F55" w:rsidP="00CB2526">
      <w:pPr>
        <w:pStyle w:val="ListParagraph"/>
        <w:spacing w:before="120" w:line="252" w:lineRule="auto"/>
        <w:jc w:val="both"/>
        <w:rPr>
          <w:rFonts w:eastAsia="Calibri" w:cstheme="minorHAnsi"/>
          <w:lang w:eastAsia="es-ES"/>
        </w:rPr>
      </w:pPr>
    </w:p>
    <w:p w14:paraId="1E8C1CDA" w14:textId="33840606" w:rsidR="00B87A34" w:rsidRPr="00CB2526" w:rsidRDefault="0019625B" w:rsidP="00CB2526">
      <w:pPr>
        <w:spacing w:before="120" w:line="252" w:lineRule="auto"/>
        <w:jc w:val="both"/>
        <w:rPr>
          <w:rFonts w:eastAsia="Times New Roman" w:cstheme="minorHAnsi"/>
        </w:rPr>
      </w:pPr>
      <w:r>
        <w:t>2.3. Base juridique et rang du règlement</w:t>
      </w:r>
    </w:p>
    <w:p w14:paraId="1B7C2619" w14:textId="2C17CD4F" w:rsidR="0024485B" w:rsidRPr="00CB2526" w:rsidRDefault="0024485B" w:rsidP="00CB2526">
      <w:pPr>
        <w:spacing w:before="120" w:line="252" w:lineRule="auto"/>
        <w:jc w:val="both"/>
        <w:rPr>
          <w:rFonts w:eastAsia="Times New Roman" w:cstheme="minorHAnsi"/>
        </w:rPr>
      </w:pPr>
      <w:r>
        <w:t>Ce projet de loi a le rang de décret royal et met en œuvre l’article 74 de la loi générale sur les télécommunications 11/2022 du 28 juin 2022. Le présent rapport d’analyse d’impact de la réglementation (RIAR) détaille les raisons de la base juridique et du rang du règlement.</w:t>
      </w:r>
    </w:p>
    <w:p w14:paraId="71987960" w14:textId="0237853F" w:rsidR="00F4387F" w:rsidRPr="00CB2526" w:rsidRDefault="00F4387F" w:rsidP="00CB2526">
      <w:pPr>
        <w:pStyle w:val="ListParagraph"/>
        <w:spacing w:before="120" w:after="0" w:line="252" w:lineRule="auto"/>
        <w:jc w:val="both"/>
        <w:rPr>
          <w:rFonts w:eastAsia="Times New Roman" w:cstheme="minorHAnsi"/>
          <w:lang w:eastAsia="es-ES"/>
        </w:rPr>
      </w:pPr>
    </w:p>
    <w:p w14:paraId="28164D05" w14:textId="03581CB5" w:rsidR="00C31E1C" w:rsidRPr="00CB2526" w:rsidRDefault="00C31E1C" w:rsidP="00CB2526">
      <w:pPr>
        <w:spacing w:before="120" w:after="0" w:line="252" w:lineRule="auto"/>
        <w:jc w:val="both"/>
        <w:rPr>
          <w:rFonts w:eastAsia="Times New Roman" w:cstheme="minorHAnsi"/>
        </w:rPr>
      </w:pPr>
    </w:p>
    <w:p w14:paraId="7F8F7692" w14:textId="725715B9" w:rsidR="00C31E1C" w:rsidRPr="00CB2526" w:rsidRDefault="00C31E1C" w:rsidP="00CB2526">
      <w:pPr>
        <w:spacing w:before="120" w:line="252" w:lineRule="auto"/>
        <w:jc w:val="both"/>
        <w:rPr>
          <w:rFonts w:eastAsia="Calibri" w:cstheme="minorHAnsi"/>
          <w:b/>
        </w:rPr>
      </w:pPr>
      <w:r>
        <w:rPr>
          <w:b/>
        </w:rPr>
        <w:t>3) Description du processus</w:t>
      </w:r>
    </w:p>
    <w:p w14:paraId="7390C0FD" w14:textId="2AE1A1BE" w:rsidR="007A6797" w:rsidRPr="00CB2526" w:rsidRDefault="007A6797" w:rsidP="00CB2526">
      <w:pPr>
        <w:spacing w:before="120" w:line="252" w:lineRule="auto"/>
        <w:jc w:val="both"/>
        <w:rPr>
          <w:rFonts w:eastAsia="Calibri" w:cstheme="minorHAnsi"/>
        </w:rPr>
      </w:pPr>
      <w:r>
        <w:t>Ce projet de décret royal est une initiative du ministère de l’Économie et de la Transformation numérique, qui est chargé de proposer et de mettre en œuvre la politique économique gouvernementale et les réformes visant à améliorer la compétitivité, les télécommunications et la société de l’information, conformément au décret royal 2/2020 du 12 janvier 2020 restructurant les départements ministériels.</w:t>
      </w:r>
    </w:p>
    <w:p w14:paraId="2D06B424" w14:textId="1170C734" w:rsidR="00AB0181" w:rsidRPr="00CB2526" w:rsidRDefault="00AB0181" w:rsidP="00CB2526">
      <w:pPr>
        <w:spacing w:before="120" w:line="252" w:lineRule="auto"/>
        <w:jc w:val="both"/>
        <w:rPr>
          <w:rFonts w:eastAsia="Calibri" w:cstheme="minorHAnsi"/>
        </w:rPr>
      </w:pPr>
      <w:r>
        <w:t>Le Ministère de l’Intérieur a également participé à cette initiative en vertu de sa responsabilité de proposer et de mettre en œuvre la politique gouvernementale en matière de sécurité civile, conformément au décret royal 2/2020 susmentionné.</w:t>
      </w:r>
    </w:p>
    <w:p w14:paraId="2481E9D1" w14:textId="5924E85E" w:rsidR="00FB1AAD" w:rsidRPr="00CB2526" w:rsidRDefault="00AB0181" w:rsidP="00CB2526">
      <w:pPr>
        <w:spacing w:before="120" w:line="252" w:lineRule="auto"/>
        <w:jc w:val="both"/>
        <w:rPr>
          <w:rFonts w:eastAsia="Calibri" w:cstheme="minorHAnsi"/>
        </w:rPr>
      </w:pPr>
      <w:r>
        <w:t>Sur la base de ce qui précède, ils ont créé un groupe de travail avec la participation du personnel du ministère de l’Économie et de la Transformation numérique et du ministère de l’Intérieur, des gestionnaires ou représentants et des opérateurs de téléphonie mobile du 112, qui s’est penché sur des questions telles que les implications techniques et réglementaires de la mise en œuvre de la fonctionnalité AML (Système de géolocalisation mobile avancée en cas d’urgence) dans les appels 112 et les systèmes d’alerte publique en cas de catastrophe ou d’urgence à l’aide de services de communications mobiles fondés sur la numérotation ou d’autres canaux de communications électroniques.</w:t>
      </w:r>
    </w:p>
    <w:p w14:paraId="193AEE36" w14:textId="1D992DF2" w:rsidR="00BF6E74" w:rsidRPr="00CB2526" w:rsidRDefault="00F54F06" w:rsidP="006E376E">
      <w:pPr>
        <w:pStyle w:val="ListParagraph"/>
        <w:numPr>
          <w:ilvl w:val="0"/>
          <w:numId w:val="4"/>
        </w:numPr>
        <w:spacing w:before="120" w:line="252" w:lineRule="auto"/>
        <w:jc w:val="both"/>
        <w:rPr>
          <w:rFonts w:eastAsia="Calibri" w:cstheme="minorHAnsi"/>
          <w:bCs/>
        </w:rPr>
      </w:pPr>
      <w:r>
        <w:lastRenderedPageBreak/>
        <w:t>Consultation publique: conformément à l’article 133, paragraphe 1, de la loi 39/2015 du 1er octobre 2015 relative aux procédures administratives communes dans le domaine de l’administration publique et à l’article 26 de la loi gouvernementale 50/1997 du 27 novembre 1997, ce projet de décret royal a été soumis au processus de consultation publique par publication sur le site internet du ministère de l’Économie et de la Transformation numérique, du 4 février 2020 au 2 mars 2020.</w:t>
      </w:r>
    </w:p>
    <w:p w14:paraId="1ACC9201" w14:textId="77777777" w:rsidR="00BF6E74" w:rsidRPr="00CB2526" w:rsidRDefault="00BF6E74" w:rsidP="00CB2526">
      <w:pPr>
        <w:pStyle w:val="ListParagraph"/>
        <w:spacing w:before="120" w:line="252" w:lineRule="auto"/>
        <w:ind w:left="360"/>
        <w:jc w:val="both"/>
        <w:rPr>
          <w:rFonts w:eastAsia="Calibri" w:cstheme="minorHAnsi"/>
          <w:bCs/>
          <w:lang w:eastAsia="es-ES"/>
        </w:rPr>
      </w:pPr>
    </w:p>
    <w:p w14:paraId="1C379C9B" w14:textId="6A1B4BFE" w:rsidR="00EE2127" w:rsidRPr="00CB2526" w:rsidRDefault="00F54F06" w:rsidP="00CB2526">
      <w:pPr>
        <w:pStyle w:val="ListParagraph"/>
        <w:spacing w:before="120" w:line="252" w:lineRule="auto"/>
        <w:ind w:left="360"/>
        <w:jc w:val="both"/>
        <w:rPr>
          <w:rFonts w:eastAsia="Calibri" w:cstheme="minorHAnsi"/>
          <w:bCs/>
        </w:rPr>
      </w:pPr>
      <w:r>
        <w:t xml:space="preserve">Le processus a reçu des commentaires de </w:t>
      </w:r>
      <w:proofErr w:type="spellStart"/>
      <w:r>
        <w:t>Telefónica</w:t>
      </w:r>
      <w:proofErr w:type="spellEnd"/>
      <w:r>
        <w:t>, de l’Association espagnole pour la numérisation [</w:t>
      </w:r>
      <w:proofErr w:type="spellStart"/>
      <w:r>
        <w:t>DigitalES</w:t>
      </w:r>
      <w:proofErr w:type="spellEnd"/>
      <w:r>
        <w:t>] et de la Confédération espagnole des familles des personnes sourdes [FIAPAS].</w:t>
      </w:r>
    </w:p>
    <w:p w14:paraId="4EE28771" w14:textId="77777777" w:rsidR="00AA6006" w:rsidRPr="00CB2526" w:rsidRDefault="00AA6006" w:rsidP="00CB2526">
      <w:pPr>
        <w:pStyle w:val="ListParagraph"/>
        <w:spacing w:before="120" w:line="252" w:lineRule="auto"/>
        <w:ind w:left="360"/>
        <w:jc w:val="both"/>
        <w:rPr>
          <w:rFonts w:eastAsia="Calibri" w:cstheme="minorHAnsi"/>
          <w:bCs/>
          <w:lang w:eastAsia="es-ES"/>
        </w:rPr>
      </w:pPr>
    </w:p>
    <w:p w14:paraId="6852DF36" w14:textId="3CEB662C" w:rsidR="00BF6E74" w:rsidRPr="00CB2526" w:rsidRDefault="00BF6E74" w:rsidP="006E376E">
      <w:pPr>
        <w:pStyle w:val="ListParagraph"/>
        <w:numPr>
          <w:ilvl w:val="0"/>
          <w:numId w:val="4"/>
        </w:numPr>
        <w:spacing w:before="120" w:line="252" w:lineRule="auto"/>
        <w:jc w:val="both"/>
        <w:rPr>
          <w:rFonts w:eastAsia="Calibri" w:cstheme="minorHAnsi"/>
        </w:rPr>
      </w:pPr>
      <w:r>
        <w:t>Information du public ou audition:</w:t>
      </w:r>
    </w:p>
    <w:p w14:paraId="1C7FA301" w14:textId="77777777" w:rsidR="00EE2127" w:rsidRPr="00CB2526" w:rsidRDefault="00EE2127" w:rsidP="00CB2526">
      <w:pPr>
        <w:pStyle w:val="ListParagraph"/>
        <w:spacing w:before="120" w:line="252" w:lineRule="auto"/>
        <w:ind w:left="360"/>
        <w:jc w:val="both"/>
        <w:rPr>
          <w:rFonts w:eastAsia="Calibri" w:cstheme="minorHAnsi"/>
          <w:lang w:eastAsia="es-ES"/>
        </w:rPr>
      </w:pPr>
    </w:p>
    <w:p w14:paraId="176B86D3" w14:textId="0CF2B587" w:rsidR="0024485B" w:rsidRPr="00CB2526" w:rsidRDefault="00D55393" w:rsidP="00CB2526">
      <w:pPr>
        <w:pStyle w:val="ListParagraph"/>
        <w:spacing w:before="120" w:line="252" w:lineRule="auto"/>
        <w:ind w:left="360"/>
        <w:jc w:val="both"/>
        <w:rPr>
          <w:rFonts w:eastAsia="Calibri" w:cstheme="minorHAnsi"/>
        </w:rPr>
      </w:pPr>
      <w:r>
        <w:t>de même, conformément à l’article 133 de la loi 39/2015 du 1er octobre 2015 relative aux procédures administratives communes dans l’administration publique et à l’article 26 de la loi gouvernementale 50/1997 du 27 novembre 1997, le texte a également été soumis à la procédure d’information et d’audition du public, afin d’entendre les particuliers et de recueillir toute contribution supplémentaire.</w:t>
      </w:r>
    </w:p>
    <w:p w14:paraId="13200048" w14:textId="77777777" w:rsidR="0024485B" w:rsidRPr="00CB2526" w:rsidRDefault="0024485B" w:rsidP="00CB2526">
      <w:pPr>
        <w:pStyle w:val="ListParagraph"/>
        <w:spacing w:before="120" w:line="252" w:lineRule="auto"/>
        <w:ind w:left="360"/>
        <w:jc w:val="both"/>
        <w:rPr>
          <w:rFonts w:eastAsia="Calibri" w:cstheme="minorHAnsi"/>
          <w:lang w:eastAsia="es-ES"/>
        </w:rPr>
      </w:pPr>
    </w:p>
    <w:p w14:paraId="63B2A4A6" w14:textId="11D61EC1" w:rsidR="0024485B" w:rsidRPr="00CB2526" w:rsidRDefault="0024485B" w:rsidP="006E376E">
      <w:pPr>
        <w:pStyle w:val="ListParagraph"/>
        <w:numPr>
          <w:ilvl w:val="0"/>
          <w:numId w:val="4"/>
        </w:numPr>
        <w:spacing w:before="120" w:line="252" w:lineRule="auto"/>
        <w:jc w:val="both"/>
        <w:rPr>
          <w:rFonts w:eastAsia="Calibri" w:cstheme="minorHAnsi"/>
        </w:rPr>
      </w:pPr>
      <w:r>
        <w:t>Rapports collectés:</w:t>
      </w:r>
    </w:p>
    <w:p w14:paraId="5E667E2B" w14:textId="77777777" w:rsidR="001A3535" w:rsidRPr="00CB2526" w:rsidRDefault="001A3535" w:rsidP="00CB2526">
      <w:pPr>
        <w:pStyle w:val="ListParagraph"/>
        <w:spacing w:before="120" w:line="252" w:lineRule="auto"/>
        <w:ind w:left="360"/>
        <w:jc w:val="both"/>
        <w:rPr>
          <w:rFonts w:eastAsia="Calibri" w:cstheme="minorHAnsi"/>
          <w:lang w:eastAsia="es-ES"/>
        </w:rPr>
      </w:pPr>
    </w:p>
    <w:p w14:paraId="57635F60" w14:textId="3B35BCD8" w:rsidR="0024485B" w:rsidRPr="00CB2526" w:rsidRDefault="0024485B" w:rsidP="006E376E">
      <w:pPr>
        <w:pStyle w:val="ListParagraph"/>
        <w:numPr>
          <w:ilvl w:val="1"/>
          <w:numId w:val="17"/>
        </w:numPr>
        <w:spacing w:before="120" w:line="252" w:lineRule="auto"/>
        <w:jc w:val="both"/>
        <w:rPr>
          <w:rFonts w:eastAsia="Calibri" w:cstheme="minorHAnsi"/>
        </w:rPr>
      </w:pPr>
      <w:r>
        <w:t>Service juridique de l’État</w:t>
      </w:r>
    </w:p>
    <w:p w14:paraId="179A8EE0" w14:textId="63FFA562" w:rsidR="0024485B" w:rsidRPr="00CB2526" w:rsidRDefault="0024485B" w:rsidP="006E376E">
      <w:pPr>
        <w:pStyle w:val="ListParagraph"/>
        <w:numPr>
          <w:ilvl w:val="1"/>
          <w:numId w:val="17"/>
        </w:numPr>
        <w:spacing w:before="120" w:line="252" w:lineRule="auto"/>
        <w:jc w:val="both"/>
        <w:rPr>
          <w:rFonts w:eastAsia="Calibri" w:cstheme="minorHAnsi"/>
        </w:rPr>
      </w:pPr>
      <w:r>
        <w:t>CNMC</w:t>
      </w:r>
    </w:p>
    <w:p w14:paraId="1A4ED55F" w14:textId="1EB4D484" w:rsidR="0024485B" w:rsidRPr="00CB2526" w:rsidRDefault="0024485B" w:rsidP="006E376E">
      <w:pPr>
        <w:pStyle w:val="ListParagraph"/>
        <w:numPr>
          <w:ilvl w:val="1"/>
          <w:numId w:val="17"/>
        </w:numPr>
        <w:spacing w:before="120" w:line="252" w:lineRule="auto"/>
        <w:jc w:val="both"/>
        <w:rPr>
          <w:rFonts w:eastAsia="Calibri" w:cstheme="minorHAnsi"/>
        </w:rPr>
      </w:pPr>
      <w:r>
        <w:t>Rapport du Bureau de la qualité de la réglementation et de la coordination du Ministère de la Présidence, des Relations parlementaires et du Patrimoine démocratique</w:t>
      </w:r>
    </w:p>
    <w:p w14:paraId="1A499B28" w14:textId="34AD9323" w:rsidR="001A3535" w:rsidRPr="00CB2526" w:rsidRDefault="001A3535" w:rsidP="00CB2526">
      <w:pPr>
        <w:spacing w:before="120" w:line="252" w:lineRule="auto"/>
        <w:jc w:val="both"/>
        <w:rPr>
          <w:rFonts w:eastAsia="Calibri" w:cstheme="minorHAnsi"/>
          <w:lang w:eastAsia="es-ES"/>
        </w:rPr>
      </w:pPr>
    </w:p>
    <w:p w14:paraId="01F280FB" w14:textId="05D4BC29" w:rsidR="001A3535" w:rsidRPr="00CB2526" w:rsidRDefault="001A3535" w:rsidP="006E376E">
      <w:pPr>
        <w:pStyle w:val="ListParagraph"/>
        <w:numPr>
          <w:ilvl w:val="0"/>
          <w:numId w:val="4"/>
        </w:numPr>
        <w:spacing w:before="120" w:line="252" w:lineRule="auto"/>
        <w:jc w:val="both"/>
        <w:rPr>
          <w:rFonts w:eastAsia="Calibri" w:cstheme="minorHAnsi"/>
        </w:rPr>
      </w:pPr>
      <w:r>
        <w:t>Les rapports suivants doivent être collectés:</w:t>
      </w:r>
    </w:p>
    <w:p w14:paraId="4D4326B1" w14:textId="77777777" w:rsidR="001A3535" w:rsidRPr="00CB2526" w:rsidRDefault="001A3535" w:rsidP="00CB2526">
      <w:pPr>
        <w:pStyle w:val="ListParagraph"/>
        <w:spacing w:before="120" w:line="252" w:lineRule="auto"/>
        <w:ind w:left="360"/>
        <w:jc w:val="both"/>
        <w:rPr>
          <w:rFonts w:eastAsia="Calibri" w:cstheme="minorHAnsi"/>
          <w:lang w:eastAsia="es-ES"/>
        </w:rPr>
      </w:pPr>
    </w:p>
    <w:p w14:paraId="5D5C5BC7" w14:textId="60C55E50" w:rsidR="0024485B" w:rsidRPr="00CB2526" w:rsidRDefault="0024485B" w:rsidP="006E376E">
      <w:pPr>
        <w:pStyle w:val="ListParagraph"/>
        <w:numPr>
          <w:ilvl w:val="1"/>
          <w:numId w:val="4"/>
        </w:numPr>
        <w:spacing w:before="120" w:line="252" w:lineRule="auto"/>
        <w:ind w:left="1069"/>
        <w:jc w:val="both"/>
        <w:rPr>
          <w:rFonts w:eastAsia="Calibri" w:cstheme="minorHAnsi"/>
        </w:rPr>
      </w:pPr>
      <w:r>
        <w:t>Secrétariat technique général du ministère de l’Économie et de la Transformation numérique et Secrétariat technique général du ministère de l’Intérieur</w:t>
      </w:r>
    </w:p>
    <w:p w14:paraId="3B39B8F6" w14:textId="77777777" w:rsidR="0024485B" w:rsidRPr="00CB2526" w:rsidRDefault="0024485B" w:rsidP="006E376E">
      <w:pPr>
        <w:pStyle w:val="ListParagraph"/>
        <w:numPr>
          <w:ilvl w:val="1"/>
          <w:numId w:val="4"/>
        </w:numPr>
        <w:spacing w:before="120" w:line="252" w:lineRule="auto"/>
        <w:ind w:left="1069"/>
        <w:jc w:val="both"/>
        <w:rPr>
          <w:rFonts w:eastAsia="Calibri" w:cstheme="minorHAnsi"/>
        </w:rPr>
      </w:pPr>
      <w:r>
        <w:t>Secrétariat technique général du Ministère de l’intérieur</w:t>
      </w:r>
    </w:p>
    <w:p w14:paraId="0B779F2F" w14:textId="77777777" w:rsidR="001A3535" w:rsidRPr="00CB2526" w:rsidRDefault="0024485B" w:rsidP="006E376E">
      <w:pPr>
        <w:pStyle w:val="ListParagraph"/>
        <w:numPr>
          <w:ilvl w:val="1"/>
          <w:numId w:val="4"/>
        </w:numPr>
        <w:spacing w:before="120" w:line="252" w:lineRule="auto"/>
        <w:ind w:left="1069"/>
        <w:jc w:val="both"/>
        <w:rPr>
          <w:rFonts w:eastAsia="Calibri" w:cstheme="minorHAnsi"/>
        </w:rPr>
      </w:pPr>
      <w:r>
        <w:t>Agence nationale de protection des données</w:t>
      </w:r>
    </w:p>
    <w:p w14:paraId="6372E14D" w14:textId="771C15A7" w:rsidR="00AA6006" w:rsidRPr="00CB2526" w:rsidRDefault="00AA6006" w:rsidP="006E376E">
      <w:pPr>
        <w:pStyle w:val="ListParagraph"/>
        <w:numPr>
          <w:ilvl w:val="1"/>
          <w:numId w:val="4"/>
        </w:numPr>
        <w:spacing w:before="120" w:line="252" w:lineRule="auto"/>
        <w:ind w:left="1069"/>
        <w:jc w:val="both"/>
        <w:rPr>
          <w:rFonts w:eastAsia="Calibri" w:cstheme="minorHAnsi"/>
        </w:rPr>
      </w:pPr>
      <w:r>
        <w:t>Conseil d’État et Conseil national des personnes handicapées</w:t>
      </w:r>
    </w:p>
    <w:p w14:paraId="750E8579" w14:textId="77777777" w:rsidR="001A3535" w:rsidRPr="00CB2526" w:rsidRDefault="001A3535" w:rsidP="00CB2526">
      <w:pPr>
        <w:spacing w:before="120" w:line="252" w:lineRule="auto"/>
        <w:jc w:val="both"/>
        <w:rPr>
          <w:rFonts w:eastAsia="Calibri" w:cstheme="minorHAnsi"/>
          <w:lang w:eastAsia="es-ES"/>
        </w:rPr>
      </w:pPr>
    </w:p>
    <w:p w14:paraId="2D15FBEE" w14:textId="450BE9A0" w:rsidR="001A3535" w:rsidRPr="00CB2526" w:rsidRDefault="001A3535" w:rsidP="00CB2526">
      <w:pPr>
        <w:spacing w:before="120" w:line="252" w:lineRule="auto"/>
        <w:jc w:val="both"/>
        <w:rPr>
          <w:rFonts w:eastAsia="Calibri" w:cstheme="minorHAnsi"/>
        </w:rPr>
      </w:pPr>
      <w:r>
        <w:t>Enfin, l’avis du Conseil d’État doit être collecté.</w:t>
      </w:r>
    </w:p>
    <w:p w14:paraId="6F3BCC49" w14:textId="77777777" w:rsidR="00AB0181" w:rsidRPr="00CB2526" w:rsidRDefault="00AB0181" w:rsidP="00CB2526">
      <w:pPr>
        <w:spacing w:before="120" w:after="0" w:line="252" w:lineRule="auto"/>
        <w:jc w:val="both"/>
        <w:rPr>
          <w:rFonts w:eastAsia="Times New Roman" w:cstheme="minorHAnsi"/>
          <w:b/>
          <w:lang w:eastAsia="es-ES"/>
        </w:rPr>
      </w:pPr>
    </w:p>
    <w:p w14:paraId="1772B96C" w14:textId="62EC3A41" w:rsidR="008B22CE" w:rsidRPr="00CB2526" w:rsidRDefault="00EE2127" w:rsidP="00CB2526">
      <w:pPr>
        <w:spacing w:before="120" w:after="0" w:line="252" w:lineRule="auto"/>
        <w:jc w:val="both"/>
        <w:rPr>
          <w:rFonts w:eastAsia="Times New Roman" w:cstheme="minorHAnsi"/>
          <w:b/>
        </w:rPr>
      </w:pPr>
      <w:r>
        <w:rPr>
          <w:b/>
        </w:rPr>
        <w:t>III. RESPECT DE LA RÉPARTITION CONSTITUTIONNELLE DES POUVOIRS</w:t>
      </w:r>
    </w:p>
    <w:p w14:paraId="4AE0E589" w14:textId="4AC96FA6" w:rsidR="004F61AB" w:rsidRPr="00CB2526" w:rsidRDefault="00C655ED" w:rsidP="00CB2526">
      <w:pPr>
        <w:spacing w:before="120" w:after="0" w:line="252" w:lineRule="auto"/>
        <w:jc w:val="both"/>
        <w:rPr>
          <w:rFonts w:eastAsia="Times New Roman" w:cstheme="minorHAnsi"/>
        </w:rPr>
      </w:pPr>
      <w:r>
        <w:t>Le présent décret royal est émis en vertu des pouvoirs conférés à l’article 149, paragraphe 1, point 21 et 29, de la Constitution espagnole, qui confèrent à l’État des pouvoirs exclusifs en matière de télécommunications et de sécurité publique, respectivement.</w:t>
      </w:r>
    </w:p>
    <w:p w14:paraId="319726FA" w14:textId="23ED6DD9" w:rsidR="000C01E8" w:rsidRPr="00CB2526" w:rsidRDefault="00AA6006" w:rsidP="00CB2526">
      <w:pPr>
        <w:pStyle w:val="parrafo"/>
        <w:jc w:val="both"/>
        <w:rPr>
          <w:rFonts w:asciiTheme="minorHAnsi" w:hAnsiTheme="minorHAnsi" w:cstheme="minorHAnsi"/>
          <w:sz w:val="22"/>
          <w:szCs w:val="22"/>
        </w:rPr>
      </w:pPr>
      <w:r>
        <w:rPr>
          <w:rFonts w:asciiTheme="minorHAnsi" w:hAnsiTheme="minorHAnsi"/>
          <w:sz w:val="22"/>
        </w:rPr>
        <w:t xml:space="preserve">Comme indiqué ci-dessus, la directive européenne établissant le code européen des communications électroniques réglementait les communications d’urgence et le numéro d’urgence européen unique, avec ses principales modifications concernant le système d’AML </w:t>
      </w:r>
      <w:r>
        <w:rPr>
          <w:rFonts w:asciiTheme="minorHAnsi" w:hAnsiTheme="minorHAnsi"/>
          <w:sz w:val="22"/>
        </w:rPr>
        <w:lastRenderedPageBreak/>
        <w:t>et l’égalité d’accès aux services d’urgence pour les utilisateurs finaux handicapés utilisant les communications d’urgence, et la loi générale sur les télécommunications 11/2022 du 28 juin 2022, conformément à sa troisième disposition finale, est délivrée dans le cadre des pouvoirs exclusifs de l’État en matière de télécommunications, conférés à l’article 149, paragraphe 1, point 21), de la Constitution. En outre, les dispositions de la loi visant à préserver l’unité du marché dans le secteur des télécommunications sont édictées en vertu de l’article 149, paragraphe 1, point 1, de la Constitution, relatif à la réglementation des conditions de base garantissant l’égalité de tous les Espagnols dans l’exercice de leurs droits et de l’exercice de leurs fonctions constitutionnelles, et de l’article 149, paragraphe 1, point 13, de la Constitution, relatif aux règles de base et à la coordination de la planification économique générale. Enfin, les dispositions du titre VIII sont adoptées en vertu des pouvoirs exclusifs de l’État sur le Trésor général, conformément à l’article 149, paragraphe 1, point 14), de la Constitution.</w:t>
      </w:r>
    </w:p>
    <w:p w14:paraId="600CA458" w14:textId="1B9E57D3" w:rsidR="00F55088" w:rsidRPr="00CB2526" w:rsidRDefault="00EE2127" w:rsidP="00CB2526">
      <w:pPr>
        <w:spacing w:before="120" w:after="0" w:line="252" w:lineRule="auto"/>
        <w:jc w:val="both"/>
        <w:rPr>
          <w:rFonts w:eastAsia="Times New Roman" w:cstheme="minorHAnsi"/>
        </w:rPr>
      </w:pPr>
      <w:r>
        <w:t>Toutefois, sur la base des pouvoirs prévus à l’article 149, paragraphe 1, point 21), l’État peut exiger des fournisseurs de services de communications interpersonnelles fondés sur la numérotation qu’ils fournissent l’accès aux services d’urgence au point de réponse de sécurité publique le plus approprié.</w:t>
      </w:r>
    </w:p>
    <w:p w14:paraId="30017113" w14:textId="77777777" w:rsidR="00CB2526" w:rsidRDefault="00CB2526" w:rsidP="00CB2526">
      <w:pPr>
        <w:spacing w:before="120" w:after="0" w:line="252" w:lineRule="auto"/>
        <w:jc w:val="both"/>
        <w:rPr>
          <w:rFonts w:eastAsia="Times New Roman" w:cstheme="minorHAnsi"/>
          <w:lang w:eastAsia="es-ES"/>
        </w:rPr>
      </w:pPr>
    </w:p>
    <w:p w14:paraId="69F67FEE" w14:textId="26FF6CE6" w:rsidR="00EE2127" w:rsidRPr="00CB2526" w:rsidRDefault="007A6797" w:rsidP="00CB2526">
      <w:pPr>
        <w:spacing w:before="120" w:after="0" w:line="252" w:lineRule="auto"/>
        <w:jc w:val="both"/>
        <w:rPr>
          <w:rFonts w:eastAsia="Times New Roman" w:cstheme="minorHAnsi"/>
        </w:rPr>
      </w:pPr>
      <w:r>
        <w:t>En vertu des mêmes pouvoirs, l’État peut prévoir que cet accès doit être égal et équivalent pour les utilisateurs finaux handicapés, y compris ceux qui se rendent en Espagne à partir d’autres États membres.</w:t>
      </w:r>
    </w:p>
    <w:p w14:paraId="53453FCD" w14:textId="77777777" w:rsidR="00CB2526" w:rsidRDefault="00CB2526" w:rsidP="00CB2526">
      <w:pPr>
        <w:spacing w:before="120" w:after="0" w:line="252" w:lineRule="auto"/>
        <w:jc w:val="both"/>
        <w:rPr>
          <w:rFonts w:eastAsia="Times New Roman" w:cstheme="minorHAnsi"/>
          <w:lang w:eastAsia="es-ES"/>
        </w:rPr>
      </w:pPr>
    </w:p>
    <w:p w14:paraId="6D98AD1E" w14:textId="66317C08" w:rsidR="00F55088" w:rsidRPr="00CB2526" w:rsidRDefault="007A6797" w:rsidP="00CB2526">
      <w:pPr>
        <w:spacing w:before="120" w:after="0" w:line="252" w:lineRule="auto"/>
        <w:jc w:val="both"/>
        <w:rPr>
          <w:rFonts w:eastAsia="Times New Roman" w:cstheme="minorHAnsi"/>
        </w:rPr>
      </w:pPr>
      <w:r>
        <w:t>D’autre part, l’objectif premier et ultime de ce décret est de protéger le public, ce qui signifie qu’il relève également de l’attribution de pouvoirs à l’article 149, paragraphe 1, point 29), de la Constitution, accordant à l’État des pouvoirs exclusifs en matière de sécurité publique.</w:t>
      </w:r>
    </w:p>
    <w:p w14:paraId="73A28DEC" w14:textId="77777777" w:rsidR="00CB2526" w:rsidRDefault="00CB2526" w:rsidP="00CB2526">
      <w:pPr>
        <w:spacing w:before="120" w:after="0" w:line="252" w:lineRule="auto"/>
        <w:jc w:val="both"/>
        <w:rPr>
          <w:rFonts w:eastAsia="Times New Roman" w:cstheme="minorHAnsi"/>
          <w:lang w:eastAsia="es-ES"/>
        </w:rPr>
      </w:pPr>
    </w:p>
    <w:p w14:paraId="4DA96792" w14:textId="22AD765D" w:rsidR="004F61AB" w:rsidRPr="00CB2526" w:rsidRDefault="007A6797" w:rsidP="00CB2526">
      <w:pPr>
        <w:spacing w:before="120" w:after="0" w:line="252" w:lineRule="auto"/>
        <w:jc w:val="both"/>
        <w:rPr>
          <w:rFonts w:eastAsia="Times New Roman" w:cstheme="minorHAnsi"/>
        </w:rPr>
      </w:pPr>
      <w:r>
        <w:t>À cet égard, il convient de noter que, dans le cadre de la sécurité publique, la protection civile est aujourd’hui un objectif majeur des différentes politiques publiques et de l’un des secteurs publics qui légitiment l’État, non seulement pour répondre aux urgences d’intérêt national, en mobilisant ses ressources, mais aussi pour prévoir et assurer la coordination entre les différents services et ressources de protection civile en les soumettant à un modèle national minimal.</w:t>
      </w:r>
    </w:p>
    <w:p w14:paraId="26536914" w14:textId="77777777" w:rsidR="00CB2526" w:rsidRDefault="00CB2526" w:rsidP="00CB2526">
      <w:pPr>
        <w:spacing w:before="120" w:after="0" w:line="252" w:lineRule="auto"/>
        <w:jc w:val="both"/>
        <w:rPr>
          <w:rFonts w:eastAsia="Times New Roman" w:cstheme="minorHAnsi"/>
          <w:lang w:eastAsia="es-ES"/>
        </w:rPr>
      </w:pPr>
    </w:p>
    <w:p w14:paraId="52CD7BAA" w14:textId="3E2B8328" w:rsidR="00354713" w:rsidRPr="00CB2526" w:rsidRDefault="00C655ED" w:rsidP="00CB2526">
      <w:pPr>
        <w:spacing w:before="120" w:after="0" w:line="252" w:lineRule="auto"/>
        <w:jc w:val="both"/>
        <w:rPr>
          <w:rFonts w:eastAsia="Times New Roman" w:cstheme="minorHAnsi"/>
        </w:rPr>
      </w:pPr>
      <w:r>
        <w:t>D’autre part, les communautés autonomes et les autorités locales ont exercé leurs propres pouvoirs dans ce domaine, en réglementant leurs activités, en créant leurs propres services de protection civile et en développant des organismes compétents de coordination des situations d’urgence qui ont fait des progrès substantiels dans la gestion de toutes les situations d’urgence et des services municipaux de protection civile efficaces.</w:t>
      </w:r>
    </w:p>
    <w:p w14:paraId="4A5662A6" w14:textId="77777777" w:rsidR="00CB2526" w:rsidRDefault="00CB2526" w:rsidP="00CB2526">
      <w:pPr>
        <w:spacing w:before="120" w:after="0" w:line="252" w:lineRule="auto"/>
        <w:jc w:val="both"/>
        <w:rPr>
          <w:rFonts w:eastAsia="Times New Roman" w:cstheme="minorHAnsi"/>
          <w:lang w:eastAsia="es-ES"/>
        </w:rPr>
      </w:pPr>
    </w:p>
    <w:p w14:paraId="12B0E726" w14:textId="68F2EC0B" w:rsidR="004F61AB" w:rsidRPr="00CB2526" w:rsidRDefault="004F61AB" w:rsidP="00CB2526">
      <w:pPr>
        <w:spacing w:before="120" w:after="0" w:line="252" w:lineRule="auto"/>
        <w:jc w:val="both"/>
        <w:rPr>
          <w:rFonts w:eastAsia="Times New Roman" w:cstheme="minorHAnsi"/>
        </w:rPr>
      </w:pPr>
      <w:r>
        <w:t>Ainsi, ce décret royal établit un modèle national d’accès aux services d’urgence utilisant les communications d’urgence, ce qui contribuera sans aucun doute à sauver des vies.</w:t>
      </w:r>
    </w:p>
    <w:p w14:paraId="2E2EF359" w14:textId="77777777" w:rsidR="00AB0181" w:rsidRPr="00852846" w:rsidRDefault="00AB0181" w:rsidP="00CB2526">
      <w:pPr>
        <w:spacing w:before="120" w:after="0" w:line="252" w:lineRule="auto"/>
        <w:jc w:val="both"/>
        <w:rPr>
          <w:rFonts w:eastAsia="Times New Roman" w:cstheme="minorHAnsi"/>
          <w:b/>
          <w:lang w:eastAsia="es-ES"/>
        </w:rPr>
      </w:pPr>
    </w:p>
    <w:p w14:paraId="6A3E55DA" w14:textId="6F134F6C" w:rsidR="00CC761D" w:rsidRDefault="00AB0181" w:rsidP="00CB2526">
      <w:pPr>
        <w:spacing w:before="120" w:after="0" w:line="252" w:lineRule="auto"/>
        <w:jc w:val="both"/>
        <w:rPr>
          <w:rFonts w:eastAsia="Times New Roman" w:cstheme="minorHAnsi"/>
          <w:b/>
        </w:rPr>
      </w:pPr>
      <w:r>
        <w:rPr>
          <w:b/>
        </w:rPr>
        <w:t>III. ANALYSE D’IMPACT</w:t>
      </w:r>
    </w:p>
    <w:p w14:paraId="52DAC943" w14:textId="77777777" w:rsidR="00CB2526" w:rsidRPr="00852846" w:rsidRDefault="00CB2526" w:rsidP="00CB2526">
      <w:pPr>
        <w:spacing w:before="120" w:after="0" w:line="252" w:lineRule="auto"/>
        <w:jc w:val="both"/>
        <w:rPr>
          <w:rFonts w:eastAsia="Times New Roman" w:cstheme="minorHAnsi"/>
          <w:b/>
          <w:lang w:eastAsia="es-ES"/>
        </w:rPr>
      </w:pPr>
    </w:p>
    <w:p w14:paraId="74706CB3" w14:textId="54B6B2B1" w:rsidR="00CC761D" w:rsidRPr="00CB2526" w:rsidRDefault="0078252C" w:rsidP="00CB2526">
      <w:pPr>
        <w:spacing w:before="120" w:after="0" w:line="252" w:lineRule="auto"/>
        <w:jc w:val="both"/>
        <w:rPr>
          <w:rFonts w:eastAsia="Times New Roman" w:cstheme="minorHAnsi"/>
          <w:b/>
          <w:spacing w:val="6"/>
        </w:rPr>
      </w:pPr>
      <w:r>
        <w:rPr>
          <w:b/>
        </w:rPr>
        <w:t>a) Impact économique (concurrence)</w:t>
      </w:r>
    </w:p>
    <w:p w14:paraId="51BF9C08" w14:textId="162D470B" w:rsidR="00D761D7" w:rsidRPr="00CB2526" w:rsidRDefault="00CC761D" w:rsidP="00CB2526">
      <w:pPr>
        <w:spacing w:before="120" w:after="0" w:line="252" w:lineRule="auto"/>
        <w:jc w:val="both"/>
        <w:rPr>
          <w:rFonts w:eastAsia="Times New Roman" w:cstheme="minorHAnsi"/>
        </w:rPr>
      </w:pPr>
      <w:r>
        <w:t>Le projet de décret aura un impact économique sur les fournisseurs de services de communications interpersonnelles mobiles fondés sur la numérotation avec les réseaux radio en raison de la nouvelle obligation d’envoyer gratuitement des informations de localisation basées sur les terminaux (AML).</w:t>
      </w:r>
    </w:p>
    <w:p w14:paraId="0AFA5A97" w14:textId="23B63BBF" w:rsidR="00A3156C" w:rsidRPr="00CB2526" w:rsidRDefault="00D761D7" w:rsidP="00CB2526">
      <w:pPr>
        <w:spacing w:before="120" w:after="0" w:line="252" w:lineRule="auto"/>
        <w:jc w:val="both"/>
        <w:rPr>
          <w:rFonts w:eastAsia="Times New Roman" w:cstheme="minorHAnsi"/>
        </w:rPr>
      </w:pPr>
      <w:r>
        <w:t>Toutefois, étant donné qu’il s’agit d’une obligation visant à atteindre un objectif social et de l’amélioration de la sécurité et de la protection civile tant pour les particuliers que pour les entreprises, l’impact économique sur le secteur n’est pas considéré comme significatif, et les avantages immatériels découlant de l’accomplissement de cette fonction sociale, pour ce secteur et pour d’autres, l’emportent sur le premier.</w:t>
      </w:r>
    </w:p>
    <w:p w14:paraId="18070D6F" w14:textId="78ADCE36" w:rsidR="00CC761D" w:rsidRPr="00852846" w:rsidRDefault="00CC761D" w:rsidP="00CB2526">
      <w:pPr>
        <w:spacing w:before="120" w:after="0" w:line="252" w:lineRule="auto"/>
        <w:jc w:val="both"/>
        <w:rPr>
          <w:rFonts w:eastAsia="Times New Roman" w:cstheme="minorHAnsi"/>
          <w:lang w:eastAsia="es-ES"/>
        </w:rPr>
      </w:pPr>
    </w:p>
    <w:p w14:paraId="4A793056" w14:textId="44FDA19D" w:rsidR="009D12DA" w:rsidRPr="00CB2526" w:rsidRDefault="0078252C" w:rsidP="00CB2526">
      <w:pPr>
        <w:spacing w:before="120" w:after="0" w:line="252" w:lineRule="auto"/>
        <w:jc w:val="both"/>
        <w:rPr>
          <w:rFonts w:eastAsia="Times New Roman" w:cstheme="minorHAnsi"/>
          <w:b/>
        </w:rPr>
      </w:pPr>
      <w:r>
        <w:rPr>
          <w:b/>
        </w:rPr>
        <w:t>b) Incidence budgétaire</w:t>
      </w:r>
    </w:p>
    <w:p w14:paraId="31D9E429" w14:textId="19EA9F84" w:rsidR="00F33CA5" w:rsidRPr="00CB2526" w:rsidRDefault="00573BA2" w:rsidP="00CB2526">
      <w:pPr>
        <w:spacing w:before="120" w:after="0" w:line="252" w:lineRule="auto"/>
        <w:jc w:val="both"/>
        <w:rPr>
          <w:rFonts w:eastAsia="Times New Roman" w:cstheme="minorHAnsi"/>
        </w:rPr>
      </w:pPr>
      <w:r>
        <w:t>Ce décret n’a pas d’impact budgétaire, car les services techniques des centres 112 mettent déjà en œuvre l’AML et les élargissements nécessaires. De même, le ministère de l’Intérieur s’occupe également de la réception des informations relatives à la localisation dans le cadre des programmes en cours.</w:t>
      </w:r>
    </w:p>
    <w:p w14:paraId="23AE0949" w14:textId="77777777" w:rsidR="00841928" w:rsidRPr="00852846" w:rsidRDefault="00841928" w:rsidP="00CB2526">
      <w:pPr>
        <w:spacing w:before="120" w:after="0" w:line="252" w:lineRule="auto"/>
        <w:jc w:val="both"/>
        <w:rPr>
          <w:rFonts w:eastAsia="Times New Roman" w:cstheme="minorHAnsi"/>
          <w:spacing w:val="6"/>
          <w:lang w:eastAsia="es-ES"/>
        </w:rPr>
      </w:pPr>
    </w:p>
    <w:p w14:paraId="1674B1C0" w14:textId="77777777" w:rsidR="00C917CD" w:rsidRPr="00CB2526" w:rsidRDefault="00C917CD" w:rsidP="00CB2526">
      <w:pPr>
        <w:spacing w:before="120" w:after="0" w:line="252" w:lineRule="auto"/>
        <w:jc w:val="both"/>
        <w:rPr>
          <w:rFonts w:eastAsia="Times New Roman" w:cstheme="minorHAnsi"/>
          <w:b/>
          <w:spacing w:val="6"/>
        </w:rPr>
      </w:pPr>
      <w:r>
        <w:rPr>
          <w:b/>
        </w:rPr>
        <w:t>c) Impact selon le sexe</w:t>
      </w:r>
    </w:p>
    <w:p w14:paraId="72324261" w14:textId="03BFA002" w:rsidR="00C94315" w:rsidRPr="00CB2526" w:rsidRDefault="00C94315" w:rsidP="00CB2526">
      <w:pPr>
        <w:spacing w:before="120" w:after="0" w:line="252" w:lineRule="auto"/>
        <w:jc w:val="both"/>
        <w:rPr>
          <w:rFonts w:eastAsia="Times New Roman" w:cstheme="minorHAnsi"/>
          <w:b/>
          <w:spacing w:val="6"/>
        </w:rPr>
      </w:pPr>
      <w:r>
        <w:t>Cette incidence a été analysée conformément à l’article 19 de la loi organique 3/2007 du 22 mars 2007 pour une égalité effective entre les sexes et à l’article 26, paragraphe 3, point f), de la loi gouvernementale no 50/1997 du 27 novembre 1997.</w:t>
      </w:r>
    </w:p>
    <w:p w14:paraId="0D2966C0" w14:textId="221F6C25" w:rsidR="00C94315" w:rsidRPr="00CB2526" w:rsidRDefault="00A04EB1" w:rsidP="00CB2526">
      <w:pPr>
        <w:spacing w:before="120" w:after="0" w:line="252" w:lineRule="auto"/>
        <w:jc w:val="both"/>
        <w:rPr>
          <w:rFonts w:cstheme="minorHAnsi"/>
        </w:rPr>
      </w:pPr>
      <w:r>
        <w:t>Ce projet n’a pas d’impact sur le genre, car il n’établit aucune distinction entre les sexes dans l’accès au service.</w:t>
      </w:r>
    </w:p>
    <w:p w14:paraId="66A6EE3D" w14:textId="77777777" w:rsidR="00841928" w:rsidRPr="00CB2526" w:rsidRDefault="00841928" w:rsidP="00CB2526">
      <w:pPr>
        <w:spacing w:before="120" w:after="0" w:line="252" w:lineRule="auto"/>
        <w:jc w:val="both"/>
        <w:rPr>
          <w:rFonts w:cstheme="minorHAnsi"/>
        </w:rPr>
      </w:pPr>
    </w:p>
    <w:p w14:paraId="08578056" w14:textId="132287AD" w:rsidR="00C94315" w:rsidRPr="00B61502" w:rsidRDefault="00B61502" w:rsidP="00B61502">
      <w:pPr>
        <w:spacing w:before="120" w:after="0" w:line="252" w:lineRule="auto"/>
        <w:jc w:val="both"/>
        <w:rPr>
          <w:rFonts w:eastAsia="Times New Roman" w:cstheme="minorHAnsi"/>
          <w:b/>
        </w:rPr>
      </w:pPr>
      <w:r>
        <w:rPr>
          <w:b/>
        </w:rPr>
        <w:t>d) Impact sur les enfants et les adolescents</w:t>
      </w:r>
    </w:p>
    <w:p w14:paraId="155AD205" w14:textId="50A78F6C" w:rsidR="00E95FB3" w:rsidRPr="00CB2526" w:rsidRDefault="00E95FB3" w:rsidP="00CB2526">
      <w:pPr>
        <w:spacing w:before="120" w:after="0" w:line="252" w:lineRule="auto"/>
        <w:jc w:val="both"/>
        <w:rPr>
          <w:rFonts w:cstheme="minorHAnsi"/>
        </w:rPr>
      </w:pPr>
      <w:r>
        <w:t>Ce projet profite aux enfants et aux adolescents en permettant de réduire l’impact des accidents potentiels.</w:t>
      </w:r>
    </w:p>
    <w:p w14:paraId="3DDE8B6F" w14:textId="77777777" w:rsidR="00F33CA5" w:rsidRPr="00CB2526" w:rsidRDefault="00F33CA5" w:rsidP="00CB2526">
      <w:pPr>
        <w:pStyle w:val="ListParagraph"/>
        <w:spacing w:before="120" w:after="0" w:line="252" w:lineRule="auto"/>
        <w:ind w:left="360"/>
        <w:jc w:val="both"/>
        <w:rPr>
          <w:rFonts w:eastAsia="Times New Roman" w:cstheme="minorHAnsi"/>
          <w:b/>
          <w:lang w:eastAsia="es-ES"/>
        </w:rPr>
      </w:pPr>
    </w:p>
    <w:p w14:paraId="6DFBFFEC" w14:textId="7F6FDB6A" w:rsidR="00933E3E" w:rsidRPr="00CB2526" w:rsidRDefault="00841928" w:rsidP="00CB2526">
      <w:pPr>
        <w:spacing w:before="120" w:after="0" w:line="252" w:lineRule="auto"/>
        <w:jc w:val="both"/>
        <w:rPr>
          <w:rFonts w:eastAsia="Times New Roman" w:cstheme="minorHAnsi"/>
          <w:b/>
        </w:rPr>
      </w:pPr>
      <w:r>
        <w:rPr>
          <w:b/>
        </w:rPr>
        <w:t>e) Impact dû aux opportunités, à la non-discrimination et à l’accessibilité universelle pour les personnes handicapées</w:t>
      </w:r>
    </w:p>
    <w:p w14:paraId="62A5D668" w14:textId="00F8B98C" w:rsidR="00933E3E" w:rsidRPr="00CB2526" w:rsidRDefault="00796F20" w:rsidP="00CB2526">
      <w:pPr>
        <w:spacing w:before="120" w:after="0" w:line="252" w:lineRule="auto"/>
        <w:jc w:val="both"/>
        <w:rPr>
          <w:rFonts w:eastAsia="Times New Roman" w:cstheme="minorHAnsi"/>
        </w:rPr>
      </w:pPr>
      <w:r>
        <w:t>Conformément à la cinquième disposition supplémentaire de la loi 26/2011 du 1er août 2011 adaptant la législation à la Convention internationale relative aux droits des personnes handicapées et au décret royal 931/2017 du 27 octobre 2017 régissant les rapports d’analyse d’impact réglementaire, l’impact du projet sur l’égalité des chances, la non-discrimination et l’accessibilité universelle pour les personnes handicapées bénéficiera à ce groupe, car il garantit à ce groupe un accès égal aux services d’urgence.</w:t>
      </w:r>
    </w:p>
    <w:p w14:paraId="01415BD6" w14:textId="77777777" w:rsidR="00841928" w:rsidRPr="00852846" w:rsidRDefault="00841928" w:rsidP="00CB2526">
      <w:pPr>
        <w:spacing w:before="120" w:after="0" w:line="252" w:lineRule="auto"/>
        <w:jc w:val="both"/>
        <w:rPr>
          <w:rFonts w:eastAsia="Times New Roman" w:cstheme="minorHAnsi"/>
          <w:b/>
          <w:lang w:eastAsia="es-ES"/>
        </w:rPr>
      </w:pPr>
    </w:p>
    <w:p w14:paraId="10AB0649" w14:textId="0F1F4E38" w:rsidR="00933E3E" w:rsidRPr="00CB2526" w:rsidRDefault="0078252C" w:rsidP="00CB2526">
      <w:pPr>
        <w:spacing w:before="120" w:after="0" w:line="252" w:lineRule="auto"/>
        <w:jc w:val="both"/>
        <w:rPr>
          <w:rFonts w:eastAsia="Times New Roman" w:cstheme="minorHAnsi"/>
          <w:b/>
        </w:rPr>
      </w:pPr>
      <w:r>
        <w:rPr>
          <w:b/>
        </w:rPr>
        <w:t>f) Impact sur les familles</w:t>
      </w:r>
    </w:p>
    <w:p w14:paraId="7575BCDB" w14:textId="7E80A53A" w:rsidR="0077673D" w:rsidRPr="00CB2526" w:rsidRDefault="00933E3E" w:rsidP="00CB2526">
      <w:pPr>
        <w:spacing w:before="120" w:after="0" w:line="252" w:lineRule="auto"/>
        <w:jc w:val="both"/>
        <w:rPr>
          <w:rFonts w:cstheme="minorHAnsi"/>
          <w:bCs/>
        </w:rPr>
      </w:pPr>
      <w:r>
        <w:t>Le contenu du projet de décret n’a aucune incidence sur les familles.</w:t>
      </w:r>
    </w:p>
    <w:p w14:paraId="6204EB6B" w14:textId="77777777" w:rsidR="00CB2526" w:rsidRDefault="00CB2526" w:rsidP="00CB2526">
      <w:pPr>
        <w:spacing w:before="240" w:after="0" w:line="252" w:lineRule="auto"/>
        <w:jc w:val="both"/>
        <w:rPr>
          <w:rFonts w:cstheme="minorHAnsi"/>
          <w:b/>
          <w:bCs/>
        </w:rPr>
      </w:pPr>
    </w:p>
    <w:p w14:paraId="2B54262B" w14:textId="2E67DFE4" w:rsidR="00796F20" w:rsidRPr="00CB2526" w:rsidRDefault="00796F20" w:rsidP="00CB2526">
      <w:pPr>
        <w:spacing w:before="240" w:after="0" w:line="252" w:lineRule="auto"/>
        <w:jc w:val="both"/>
        <w:rPr>
          <w:rFonts w:cstheme="minorHAnsi"/>
          <w:b/>
          <w:bCs/>
        </w:rPr>
      </w:pPr>
      <w:r>
        <w:rPr>
          <w:b/>
        </w:rPr>
        <w:t>g) Charges administratives</w:t>
      </w:r>
    </w:p>
    <w:p w14:paraId="2BBDD14F" w14:textId="45C8D1A0" w:rsidR="00796F20" w:rsidRPr="00CB2526" w:rsidRDefault="00A3156C" w:rsidP="00CB2526">
      <w:pPr>
        <w:spacing w:before="240" w:after="0" w:line="252" w:lineRule="auto"/>
        <w:jc w:val="both"/>
        <w:rPr>
          <w:rFonts w:eastAsia="Times New Roman" w:cstheme="minorHAnsi"/>
        </w:rPr>
      </w:pPr>
      <w:r>
        <w:t xml:space="preserve">Selon l’interprétation du rapport du 12 mai 2022 du Bureau de la qualité et de </w:t>
      </w:r>
      <w:proofErr w:type="gramStart"/>
      <w:r>
        <w:t>la coordination réglementaires</w:t>
      </w:r>
      <w:proofErr w:type="gramEnd"/>
      <w:r>
        <w:t>, le projet n’est pas considéré comme comportant des charges de nature administrative nécessitant une quantification, mais des obligations découlant du droit national et du droit communautaire.</w:t>
      </w:r>
    </w:p>
    <w:p w14:paraId="0AE4C71C" w14:textId="77777777" w:rsidR="00A3156C" w:rsidRPr="00852846" w:rsidRDefault="00A3156C" w:rsidP="00CB2526">
      <w:pPr>
        <w:spacing w:before="240" w:after="0" w:line="252" w:lineRule="auto"/>
        <w:jc w:val="both"/>
        <w:rPr>
          <w:rFonts w:eastAsia="Times New Roman" w:cstheme="minorHAnsi"/>
          <w:b/>
          <w:lang w:eastAsia="es-ES"/>
        </w:rPr>
      </w:pPr>
    </w:p>
    <w:p w14:paraId="4D0707D0" w14:textId="4DE84304" w:rsidR="00A3156C" w:rsidRPr="00CB2526" w:rsidRDefault="00A3156C" w:rsidP="00D55393">
      <w:pPr>
        <w:keepNext/>
        <w:spacing w:before="240" w:after="0" w:line="252" w:lineRule="auto"/>
        <w:jc w:val="both"/>
        <w:rPr>
          <w:rFonts w:cstheme="minorHAnsi"/>
        </w:rPr>
      </w:pPr>
      <w:r>
        <w:rPr>
          <w:b/>
        </w:rPr>
        <w:t>h)</w:t>
      </w:r>
      <w:r>
        <w:t xml:space="preserve"> </w:t>
      </w:r>
      <w:r>
        <w:rPr>
          <w:b/>
          <w:bCs/>
        </w:rPr>
        <w:t>Effets du changement climatique</w:t>
      </w:r>
    </w:p>
    <w:p w14:paraId="21C3A0AA" w14:textId="77777777" w:rsidR="00A3156C" w:rsidRPr="00CB2526" w:rsidRDefault="00A3156C" w:rsidP="00D55393">
      <w:pPr>
        <w:keepNext/>
        <w:spacing w:before="240" w:after="0" w:line="252" w:lineRule="auto"/>
        <w:jc w:val="both"/>
        <w:rPr>
          <w:rFonts w:cstheme="minorHAnsi"/>
        </w:rPr>
      </w:pPr>
    </w:p>
    <w:p w14:paraId="68F75506" w14:textId="4F62476C" w:rsidR="00A3156C" w:rsidRPr="00CB2526" w:rsidRDefault="00A3156C" w:rsidP="00D55393">
      <w:pPr>
        <w:keepNext/>
        <w:autoSpaceDE w:val="0"/>
        <w:autoSpaceDN w:val="0"/>
        <w:adjustRightInd w:val="0"/>
        <w:spacing w:after="0" w:line="240" w:lineRule="auto"/>
        <w:jc w:val="both"/>
        <w:rPr>
          <w:rFonts w:cstheme="minorHAnsi"/>
        </w:rPr>
      </w:pPr>
      <w:r>
        <w:t>Après avoir évalué l’impact du changement climatique en termes d’atténuation et d’adaptation, il est à noter que le projet de loi n’a pas d’impact à cet égard, car il concerne les appels d’urgence lancés par des particuliers, qui n’affectent pas l’adaptation au changement climatique.</w:t>
      </w:r>
    </w:p>
    <w:p w14:paraId="573BA748" w14:textId="2E9EBBC8" w:rsidR="00A3156C" w:rsidRPr="00CB2526" w:rsidRDefault="00A3156C" w:rsidP="00CB2526">
      <w:pPr>
        <w:autoSpaceDE w:val="0"/>
        <w:autoSpaceDN w:val="0"/>
        <w:adjustRightInd w:val="0"/>
        <w:spacing w:after="0" w:line="240" w:lineRule="auto"/>
        <w:jc w:val="both"/>
        <w:rPr>
          <w:rFonts w:cstheme="minorHAnsi"/>
        </w:rPr>
      </w:pPr>
    </w:p>
    <w:p w14:paraId="1A96C41F" w14:textId="77777777" w:rsidR="00A3156C" w:rsidRPr="00CB2526" w:rsidRDefault="00A3156C" w:rsidP="00CB2526">
      <w:pPr>
        <w:autoSpaceDE w:val="0"/>
        <w:autoSpaceDN w:val="0"/>
        <w:adjustRightInd w:val="0"/>
        <w:spacing w:after="0" w:line="240" w:lineRule="auto"/>
        <w:jc w:val="both"/>
        <w:rPr>
          <w:rFonts w:cstheme="minorHAnsi"/>
        </w:rPr>
      </w:pPr>
    </w:p>
    <w:p w14:paraId="7385BB04" w14:textId="77777777" w:rsidR="00A3156C" w:rsidRPr="00CB2526" w:rsidRDefault="00A3156C" w:rsidP="00CB2526">
      <w:pPr>
        <w:autoSpaceDE w:val="0"/>
        <w:autoSpaceDN w:val="0"/>
        <w:adjustRightInd w:val="0"/>
        <w:spacing w:after="0" w:line="240" w:lineRule="auto"/>
        <w:jc w:val="both"/>
        <w:rPr>
          <w:rFonts w:cstheme="minorHAnsi"/>
        </w:rPr>
      </w:pPr>
    </w:p>
    <w:p w14:paraId="6C64819C" w14:textId="4DCA9361" w:rsidR="00A3156C" w:rsidRPr="00CB2526" w:rsidRDefault="00A3156C" w:rsidP="00CB2526">
      <w:pPr>
        <w:autoSpaceDE w:val="0"/>
        <w:autoSpaceDN w:val="0"/>
        <w:adjustRightInd w:val="0"/>
        <w:spacing w:after="0" w:line="240" w:lineRule="auto"/>
        <w:jc w:val="both"/>
        <w:rPr>
          <w:rFonts w:cstheme="minorHAnsi"/>
          <w:b/>
          <w:bCs/>
        </w:rPr>
      </w:pPr>
      <w:r>
        <w:rPr>
          <w:b/>
        </w:rPr>
        <w:t>i) Évaluation ex post</w:t>
      </w:r>
    </w:p>
    <w:p w14:paraId="66CD32EF" w14:textId="77777777" w:rsidR="00A3156C" w:rsidRPr="00CB2526" w:rsidRDefault="00A3156C" w:rsidP="00CB2526">
      <w:pPr>
        <w:autoSpaceDE w:val="0"/>
        <w:autoSpaceDN w:val="0"/>
        <w:adjustRightInd w:val="0"/>
        <w:spacing w:after="0" w:line="240" w:lineRule="auto"/>
        <w:jc w:val="both"/>
        <w:rPr>
          <w:rFonts w:cstheme="minorHAnsi"/>
        </w:rPr>
      </w:pPr>
    </w:p>
    <w:p w14:paraId="6927DF00" w14:textId="77777777" w:rsidR="00A3156C" w:rsidRPr="00CB2526" w:rsidRDefault="00A3156C" w:rsidP="00CB2526">
      <w:pPr>
        <w:autoSpaceDE w:val="0"/>
        <w:autoSpaceDN w:val="0"/>
        <w:adjustRightInd w:val="0"/>
        <w:spacing w:after="0" w:line="240" w:lineRule="auto"/>
        <w:jc w:val="both"/>
        <w:rPr>
          <w:rFonts w:cstheme="minorHAnsi"/>
        </w:rPr>
      </w:pPr>
    </w:p>
    <w:p w14:paraId="4EFA0A5F" w14:textId="5051752F" w:rsidR="00CC761D" w:rsidRPr="00CB2526" w:rsidRDefault="00A3156C" w:rsidP="00CB2526">
      <w:pPr>
        <w:autoSpaceDE w:val="0"/>
        <w:autoSpaceDN w:val="0"/>
        <w:adjustRightInd w:val="0"/>
        <w:spacing w:after="0" w:line="240" w:lineRule="auto"/>
        <w:jc w:val="both"/>
        <w:rPr>
          <w:rFonts w:eastAsia="Times New Roman" w:cstheme="minorHAnsi"/>
          <w:spacing w:val="6"/>
        </w:rPr>
      </w:pPr>
      <w:r>
        <w:t xml:space="preserve">Compte tenu des dispositions de l’article 28, paragraphe 2, de la loi gouvernementale [Ley </w:t>
      </w:r>
      <w:proofErr w:type="spellStart"/>
      <w:r>
        <w:t>del</w:t>
      </w:r>
      <w:proofErr w:type="spellEnd"/>
      <w:r>
        <w:t xml:space="preserve"> </w:t>
      </w:r>
      <w:proofErr w:type="spellStart"/>
      <w:r>
        <w:t>Gobierno</w:t>
      </w:r>
      <w:proofErr w:type="spellEnd"/>
      <w:r>
        <w:t>] et de l’article 3 du décret royal 286/2017 du 24 mars 2017 régissant le plan législatif annuel et le rapport annuel d’évaluation réglementaire de l’État et créant le conseil d’évaluation et de planification réglementaire, il est jugé inutile que le décret fasse l’objet d’une évaluation ex post ou d’une évaluation de ses résultats en raison des pouvoirs spéciaux d’analyse et de contrôle de la Commission européenne sur ces questions sur l’ensemble du territoire de l’Union.</w:t>
      </w:r>
    </w:p>
    <w:p w14:paraId="0B2E2344" w14:textId="6DE6EF74" w:rsidR="00094793" w:rsidRDefault="00CC761D" w:rsidP="00CB2526">
      <w:pPr>
        <w:spacing w:before="120" w:after="0" w:line="252" w:lineRule="auto"/>
        <w:jc w:val="right"/>
        <w:rPr>
          <w:rFonts w:cstheme="minorHAnsi"/>
        </w:rPr>
      </w:pPr>
      <w:r>
        <w:t>Madrid, le 24 juin 2022</w:t>
      </w:r>
      <w:r>
        <w:br w:type="page"/>
      </w:r>
    </w:p>
    <w:p w14:paraId="78A5AC69" w14:textId="77777777" w:rsidR="00094793" w:rsidRPr="00094793" w:rsidRDefault="00094793" w:rsidP="00094793">
      <w:pPr>
        <w:spacing w:after="200" w:line="276" w:lineRule="auto"/>
        <w:jc w:val="center"/>
        <w:rPr>
          <w:rFonts w:ascii="Calibri" w:eastAsia="Calibri" w:hAnsi="Calibri" w:cs="Times New Roman"/>
        </w:rPr>
      </w:pPr>
    </w:p>
    <w:p w14:paraId="06D42D1D" w14:textId="77777777" w:rsidR="00094793" w:rsidRPr="00094793" w:rsidRDefault="00094793" w:rsidP="00094793">
      <w:pPr>
        <w:spacing w:after="200" w:line="276" w:lineRule="auto"/>
        <w:jc w:val="center"/>
        <w:rPr>
          <w:rFonts w:ascii="Calibri" w:eastAsia="Calibri" w:hAnsi="Calibri" w:cs="Times New Roman"/>
          <w:b/>
          <w:sz w:val="28"/>
          <w:szCs w:val="28"/>
        </w:rPr>
      </w:pPr>
      <w:r>
        <w:rPr>
          <w:rFonts w:ascii="Calibri" w:hAnsi="Calibri"/>
          <w:b/>
          <w:sz w:val="28"/>
        </w:rPr>
        <w:t>ANNEXE</w:t>
      </w:r>
    </w:p>
    <w:tbl>
      <w:tblPr>
        <w:tblStyle w:val="TableGrid"/>
        <w:tblW w:w="10060" w:type="dxa"/>
        <w:tblLook w:val="04A0" w:firstRow="1" w:lastRow="0" w:firstColumn="1" w:lastColumn="0" w:noHBand="0" w:noVBand="1"/>
      </w:tblPr>
      <w:tblGrid>
        <w:gridCol w:w="1380"/>
        <w:gridCol w:w="6834"/>
        <w:gridCol w:w="1846"/>
      </w:tblGrid>
      <w:tr w:rsidR="00094793" w:rsidRPr="00094793" w14:paraId="614248D0" w14:textId="77777777" w:rsidTr="00852846">
        <w:tc>
          <w:tcPr>
            <w:tcW w:w="8095" w:type="dxa"/>
            <w:gridSpan w:val="2"/>
            <w:shd w:val="clear" w:color="auto" w:fill="FFFF00"/>
          </w:tcPr>
          <w:p w14:paraId="14D3537B" w14:textId="77777777" w:rsidR="00094793" w:rsidRPr="00094793" w:rsidRDefault="00094793" w:rsidP="00094793">
            <w:pPr>
              <w:jc w:val="center"/>
              <w:rPr>
                <w:rFonts w:ascii="Calibri" w:eastAsia="Calibri" w:hAnsi="Calibri"/>
              </w:rPr>
            </w:pPr>
            <w:r>
              <w:rPr>
                <w:rFonts w:ascii="Calibri" w:hAnsi="Calibri"/>
                <w:b/>
                <w:sz w:val="16"/>
                <w:u w:val="single"/>
              </w:rPr>
              <w:t>112 Résumé des commentaires de l’audience publique</w:t>
            </w:r>
          </w:p>
        </w:tc>
        <w:tc>
          <w:tcPr>
            <w:tcW w:w="1965" w:type="dxa"/>
            <w:shd w:val="clear" w:color="auto" w:fill="FFFF00"/>
          </w:tcPr>
          <w:p w14:paraId="0A365407" w14:textId="77777777" w:rsidR="00094793" w:rsidRPr="00094793" w:rsidRDefault="00094793" w:rsidP="00094793">
            <w:pPr>
              <w:rPr>
                <w:rFonts w:ascii="Calibri" w:eastAsia="Calibri" w:hAnsi="Calibri"/>
              </w:rPr>
            </w:pPr>
            <w:r>
              <w:rPr>
                <w:rFonts w:ascii="Calibri" w:hAnsi="Calibri"/>
              </w:rPr>
              <w:t>OUI/NON</w:t>
            </w:r>
          </w:p>
        </w:tc>
      </w:tr>
      <w:tr w:rsidR="00094793" w:rsidRPr="00094793" w14:paraId="3319F213" w14:textId="77777777" w:rsidTr="00852846">
        <w:tc>
          <w:tcPr>
            <w:tcW w:w="1380" w:type="dxa"/>
            <w:shd w:val="clear" w:color="auto" w:fill="9BBB59"/>
          </w:tcPr>
          <w:p w14:paraId="46F03D36" w14:textId="77777777" w:rsidR="00094793" w:rsidRPr="00094793" w:rsidRDefault="00094793" w:rsidP="00094793">
            <w:pPr>
              <w:rPr>
                <w:rFonts w:ascii="Calibri" w:eastAsia="Calibri" w:hAnsi="Calibri"/>
              </w:rPr>
            </w:pPr>
            <w:r>
              <w:rPr>
                <w:rFonts w:ascii="Calibri" w:hAnsi="Calibri"/>
                <w:b/>
                <w:sz w:val="16"/>
              </w:rPr>
              <w:t>NUMÉRIQUES</w:t>
            </w:r>
          </w:p>
        </w:tc>
        <w:tc>
          <w:tcPr>
            <w:tcW w:w="6715" w:type="dxa"/>
          </w:tcPr>
          <w:tbl>
            <w:tblPr>
              <w:tblW w:w="6618" w:type="dxa"/>
              <w:tblBorders>
                <w:top w:val="nil"/>
                <w:left w:val="nil"/>
                <w:bottom w:val="nil"/>
                <w:right w:val="nil"/>
              </w:tblBorders>
              <w:tblLook w:val="0000" w:firstRow="0" w:lastRow="0" w:firstColumn="0" w:lastColumn="0" w:noHBand="0" w:noVBand="0"/>
            </w:tblPr>
            <w:tblGrid>
              <w:gridCol w:w="6618"/>
            </w:tblGrid>
            <w:tr w:rsidR="00094793" w:rsidRPr="00094793" w14:paraId="74C4ADD6" w14:textId="77777777" w:rsidTr="00094793">
              <w:trPr>
                <w:trHeight w:val="1325"/>
              </w:trPr>
              <w:tc>
                <w:tcPr>
                  <w:tcW w:w="0" w:type="auto"/>
                  <w:shd w:val="clear" w:color="auto" w:fill="FFFFFF"/>
                </w:tcPr>
                <w:p w14:paraId="09691ECE" w14:textId="77777777" w:rsidR="00094793" w:rsidRPr="00094793" w:rsidRDefault="00094793" w:rsidP="006E376E">
                  <w:pPr>
                    <w:numPr>
                      <w:ilvl w:val="0"/>
                      <w:numId w:val="12"/>
                    </w:numPr>
                    <w:shd w:val="clear" w:color="auto" w:fill="FFFFFF"/>
                    <w:autoSpaceDE w:val="0"/>
                    <w:autoSpaceDN w:val="0"/>
                    <w:adjustRightInd w:val="0"/>
                    <w:spacing w:after="0" w:line="240" w:lineRule="auto"/>
                    <w:contextualSpacing/>
                    <w:jc w:val="both"/>
                    <w:rPr>
                      <w:rFonts w:ascii="Calibri" w:eastAsia="Calibri" w:hAnsi="Calibri" w:cs="Times New Roman"/>
                      <w:sz w:val="16"/>
                      <w:szCs w:val="16"/>
                    </w:rPr>
                  </w:pPr>
                  <w:r>
                    <w:rPr>
                      <w:rFonts w:ascii="Calibri" w:hAnsi="Calibri"/>
                      <w:sz w:val="16"/>
                    </w:rPr>
                    <w:t>Le décret royal doit indiquer clairement la responsabilité des coûts d’accès aux réseaux de communications électroniques pour les messages SMS du système AML.</w:t>
                  </w:r>
                </w:p>
                <w:p w14:paraId="20CF84AD"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421B165"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2B9F53A6"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AC887E5"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A1236A1" w14:textId="1FE2C711" w:rsid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9FB95E4" w14:textId="23B226F1" w:rsidR="00852846" w:rsidRDefault="00852846"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048CC099" w14:textId="26C56747" w:rsidR="00852846" w:rsidRDefault="00852846"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7E17E362" w14:textId="77777777" w:rsidR="00852846" w:rsidRDefault="00852846"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76317DD2" w14:textId="77777777" w:rsidR="00D55393" w:rsidRPr="00094793" w:rsidRDefault="00D553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07C6A18C" w14:textId="77777777" w:rsidR="00094793" w:rsidRPr="00094793" w:rsidRDefault="00094793" w:rsidP="006E376E">
                  <w:pPr>
                    <w:numPr>
                      <w:ilvl w:val="0"/>
                      <w:numId w:val="12"/>
                    </w:numPr>
                    <w:shd w:val="clear" w:color="auto" w:fill="FFFFFF"/>
                    <w:autoSpaceDE w:val="0"/>
                    <w:autoSpaceDN w:val="0"/>
                    <w:adjustRightInd w:val="0"/>
                    <w:spacing w:after="0" w:line="240" w:lineRule="auto"/>
                    <w:contextualSpacing/>
                    <w:jc w:val="both"/>
                    <w:rPr>
                      <w:rFonts w:ascii="Calibri" w:eastAsia="Calibri" w:hAnsi="Calibri" w:cs="Times New Roman"/>
                      <w:sz w:val="16"/>
                      <w:szCs w:val="16"/>
                    </w:rPr>
                  </w:pPr>
                  <w:r>
                    <w:rPr>
                      <w:rFonts w:ascii="Calibri" w:hAnsi="Calibri"/>
                      <w:sz w:val="16"/>
                    </w:rPr>
                    <w:t>En outre, nous proposons que les appels effectués sans carte SIM ou sans carte SIM activée au moment de l’appel soient expressément exclus de cette obligation, car le système AML ne peut être mis en œuvre techniquement dans ces conditions.</w:t>
                  </w:r>
                </w:p>
                <w:p w14:paraId="6A303047" w14:textId="77777777" w:rsidR="00094793" w:rsidRPr="00094793" w:rsidRDefault="00094793" w:rsidP="00094793">
                  <w:pPr>
                    <w:autoSpaceDE w:val="0"/>
                    <w:autoSpaceDN w:val="0"/>
                    <w:adjustRightInd w:val="0"/>
                    <w:spacing w:after="0" w:line="240" w:lineRule="auto"/>
                    <w:jc w:val="both"/>
                    <w:rPr>
                      <w:rFonts w:ascii="Calibri" w:eastAsia="Calibri" w:hAnsi="Calibri" w:cs="Times New Roman"/>
                      <w:sz w:val="16"/>
                      <w:szCs w:val="16"/>
                    </w:rPr>
                  </w:pPr>
                </w:p>
                <w:p w14:paraId="55B90B61"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r>
                    <w:rPr>
                      <w:rFonts w:ascii="Calibri" w:hAnsi="Calibri"/>
                      <w:sz w:val="16"/>
                    </w:rPr>
                    <w:t>Ainsi, ils proposent le libellé suivant:</w:t>
                  </w:r>
                </w:p>
                <w:p w14:paraId="36F65E2F"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p w14:paraId="2487F1AA" w14:textId="705657BB" w:rsidR="00094793" w:rsidRPr="00094793" w:rsidRDefault="00094793" w:rsidP="00094793">
                  <w:pPr>
                    <w:autoSpaceDE w:val="0"/>
                    <w:autoSpaceDN w:val="0"/>
                    <w:adjustRightInd w:val="0"/>
                    <w:spacing w:after="0" w:line="240" w:lineRule="auto"/>
                    <w:rPr>
                      <w:rFonts w:ascii="Calibri" w:eastAsia="Calibri" w:hAnsi="Calibri" w:cs="Times New Roman"/>
                      <w:color w:val="FF0000"/>
                      <w:sz w:val="16"/>
                      <w:szCs w:val="16"/>
                    </w:rPr>
                  </w:pPr>
                  <w:r>
                    <w:rPr>
                      <w:rFonts w:ascii="Calibri" w:hAnsi="Calibri"/>
                      <w:sz w:val="16"/>
                    </w:rPr>
                    <w:t>Article 12 paragraphe 3 en outre, si l’équipement terminal mobile est compatible et que les informations sont disponibles</w:t>
                  </w:r>
                  <w:r>
                    <w:rPr>
                      <w:rFonts w:ascii="Calibri" w:hAnsi="Calibri"/>
                      <w:color w:val="00B0F0"/>
                      <w:sz w:val="16"/>
                    </w:rPr>
                    <w:t>,</w:t>
                  </w:r>
                  <w:r>
                    <w:rPr>
                      <w:rFonts w:ascii="Calibri" w:hAnsi="Calibri"/>
                      <w:sz w:val="16"/>
                    </w:rPr>
                    <w:t xml:space="preserve"> les opérateurs visés au paragraphe précédent, </w:t>
                  </w:r>
                  <w:r>
                    <w:rPr>
                      <w:rFonts w:ascii="Calibri" w:hAnsi="Calibri"/>
                      <w:color w:val="FF0000"/>
                      <w:sz w:val="16"/>
                    </w:rPr>
                    <w:t>à l’exclusion des communications effectuées sans carte SIM ou sans qu’elle soit activée, doivent</w:t>
                  </w:r>
                  <w:r>
                    <w:rPr>
                      <w:rFonts w:ascii="Calibri" w:hAnsi="Calibri"/>
                      <w:sz w:val="16"/>
                    </w:rPr>
                    <w:t xml:space="preserve"> acheminer les informations de localisation à partir du combiné mobile pour fournir les informations de localisation les plus précises de l’appelant. </w:t>
                  </w:r>
                  <w:r>
                    <w:rPr>
                      <w:rFonts w:ascii="Calibri" w:hAnsi="Calibri"/>
                      <w:color w:val="FF0000"/>
                      <w:sz w:val="16"/>
                    </w:rPr>
                    <w:t>Le respect de cette obligation n’entraîne en aucun cas une obligation pour les opérateurs de couvrir les coûts qui peuvent découler du mécanisme ou du système de diffusion de ces informations mis en œuvre par le ministère de l’Intérieur ou le Secrétariat d’État aux télécommunications et aux infrastructures numériques; ces coûts sont couverts par les prestataires du service d’intervention d’urgence 112 conformément à l’article 9, paragraphe 6, du présent règlement.»</w:t>
                  </w:r>
                </w:p>
                <w:p w14:paraId="0E4ED044"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p w14:paraId="00987B73"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tc>
            </w:tr>
          </w:tbl>
          <w:p w14:paraId="384DDA63" w14:textId="77777777" w:rsidR="00094793" w:rsidRPr="00094793" w:rsidRDefault="00094793" w:rsidP="006E376E">
            <w:pPr>
              <w:numPr>
                <w:ilvl w:val="0"/>
                <w:numId w:val="13"/>
              </w:numPr>
              <w:shd w:val="clear" w:color="auto" w:fill="FFFFFF"/>
              <w:tabs>
                <w:tab w:val="left" w:pos="1170"/>
              </w:tabs>
              <w:contextualSpacing/>
              <w:rPr>
                <w:rFonts w:ascii="Calibri" w:eastAsia="Calibri" w:hAnsi="Calibri"/>
                <w:sz w:val="16"/>
                <w:szCs w:val="16"/>
              </w:rPr>
            </w:pPr>
            <w:r>
              <w:rPr>
                <w:rFonts w:ascii="Calibri" w:hAnsi="Calibri"/>
                <w:sz w:val="16"/>
              </w:rPr>
              <w:t>Dans les définitions, ils proposent d’ajouter «service de communications interpersonnelles fondés sur le numéro» avec des nuances liées à l’EECC.</w:t>
            </w:r>
          </w:p>
          <w:p w14:paraId="1DBFDFB5" w14:textId="77777777" w:rsidR="00094793" w:rsidRPr="00094793" w:rsidRDefault="00094793" w:rsidP="00094793">
            <w:pPr>
              <w:shd w:val="clear" w:color="auto" w:fill="FFFFFF"/>
              <w:tabs>
                <w:tab w:val="left" w:pos="1170"/>
              </w:tabs>
              <w:rPr>
                <w:rFonts w:ascii="Calibri" w:eastAsia="Calibri" w:hAnsi="Calibri"/>
                <w:sz w:val="16"/>
                <w:szCs w:val="16"/>
              </w:rPr>
            </w:pPr>
          </w:p>
          <w:p w14:paraId="64F5F121" w14:textId="77777777" w:rsidR="00094793" w:rsidRPr="00094793" w:rsidRDefault="00094793" w:rsidP="00094793">
            <w:pPr>
              <w:shd w:val="clear" w:color="auto" w:fill="FFFFFF"/>
              <w:tabs>
                <w:tab w:val="left" w:pos="1170"/>
              </w:tabs>
              <w:rPr>
                <w:rFonts w:ascii="Calibri" w:eastAsia="Calibri" w:hAnsi="Calibri"/>
                <w:sz w:val="16"/>
                <w:szCs w:val="16"/>
              </w:rPr>
            </w:pPr>
          </w:p>
          <w:p w14:paraId="4A3058AD" w14:textId="77777777" w:rsidR="00094793" w:rsidRPr="00094793" w:rsidRDefault="00094793" w:rsidP="00094793">
            <w:pPr>
              <w:shd w:val="clear" w:color="auto" w:fill="FFFFFF"/>
              <w:tabs>
                <w:tab w:val="left" w:pos="1170"/>
              </w:tabs>
              <w:ind w:left="720"/>
              <w:contextualSpacing/>
              <w:rPr>
                <w:rFonts w:ascii="Calibri" w:eastAsia="Calibri" w:hAnsi="Calibri"/>
                <w:sz w:val="16"/>
                <w:szCs w:val="16"/>
              </w:rPr>
            </w:pPr>
          </w:p>
          <w:p w14:paraId="3BC6CEF2" w14:textId="7B6C609E" w:rsidR="00094793" w:rsidRPr="00094793" w:rsidRDefault="00094793" w:rsidP="006E376E">
            <w:pPr>
              <w:numPr>
                <w:ilvl w:val="0"/>
                <w:numId w:val="13"/>
              </w:numPr>
              <w:shd w:val="clear" w:color="auto" w:fill="FFFFFF"/>
              <w:contextualSpacing/>
              <w:jc w:val="both"/>
              <w:rPr>
                <w:rFonts w:ascii="Calibri" w:eastAsia="Calibri" w:hAnsi="Calibri"/>
                <w:sz w:val="16"/>
                <w:szCs w:val="16"/>
              </w:rPr>
            </w:pPr>
            <w:r>
              <w:rPr>
                <w:rFonts w:ascii="Calibri" w:hAnsi="Calibri"/>
                <w:sz w:val="16"/>
              </w:rPr>
              <w:t>La deuxième disposition supplémentaire: Ils craignent que le Gouvernement puisse décider unilatéralement quels services de communications interpersonnelles fondés sur le numéro sont considérés comme des communications d’urgence.</w:t>
            </w:r>
          </w:p>
          <w:p w14:paraId="54FDFB8B" w14:textId="77777777" w:rsidR="00094793" w:rsidRPr="00094793" w:rsidRDefault="00094793" w:rsidP="00094793">
            <w:pPr>
              <w:ind w:left="720"/>
              <w:contextualSpacing/>
              <w:rPr>
                <w:rFonts w:ascii="Calibri" w:eastAsia="Calibri" w:hAnsi="Calibri"/>
                <w:sz w:val="16"/>
                <w:szCs w:val="16"/>
              </w:rPr>
            </w:pPr>
          </w:p>
          <w:p w14:paraId="2EA7F756" w14:textId="77777777" w:rsidR="00094793" w:rsidRPr="00094793" w:rsidRDefault="00094793" w:rsidP="00094793">
            <w:pPr>
              <w:shd w:val="clear" w:color="auto" w:fill="FFFFFF"/>
              <w:ind w:left="720"/>
              <w:contextualSpacing/>
              <w:jc w:val="both"/>
              <w:rPr>
                <w:rFonts w:ascii="Calibri" w:eastAsia="Calibri" w:hAnsi="Calibri"/>
                <w:sz w:val="16"/>
                <w:szCs w:val="16"/>
              </w:rPr>
            </w:pPr>
          </w:p>
          <w:p w14:paraId="7CC87109" w14:textId="77777777" w:rsidR="00094793" w:rsidRPr="00094793" w:rsidRDefault="00094793" w:rsidP="00094793">
            <w:pPr>
              <w:shd w:val="clear" w:color="auto" w:fill="FFFFFF"/>
              <w:ind w:left="720"/>
              <w:contextualSpacing/>
              <w:jc w:val="both"/>
              <w:rPr>
                <w:rFonts w:ascii="Calibri" w:eastAsia="Calibri" w:hAnsi="Calibri"/>
                <w:sz w:val="16"/>
                <w:szCs w:val="16"/>
              </w:rPr>
            </w:pPr>
          </w:p>
          <w:p w14:paraId="30A55B75" w14:textId="753E718D" w:rsidR="00094793" w:rsidRPr="00094793" w:rsidRDefault="00094793" w:rsidP="00094793">
            <w:pPr>
              <w:shd w:val="clear" w:color="auto" w:fill="FFFFFF"/>
              <w:ind w:left="720"/>
              <w:contextualSpacing/>
              <w:jc w:val="both"/>
              <w:rPr>
                <w:rFonts w:ascii="Calibri" w:eastAsia="Calibri" w:hAnsi="Calibri"/>
                <w:sz w:val="16"/>
                <w:szCs w:val="16"/>
              </w:rPr>
            </w:pPr>
            <w:r>
              <w:rPr>
                <w:rFonts w:ascii="Calibri" w:hAnsi="Calibri"/>
                <w:sz w:val="16"/>
              </w:rPr>
              <w:t>En ce qui concerne les critères, il est indiqué que la décision ne tiendra compte que de l’équipement technique et des capacités des centres d’appels d’urgence 112. Ce point doit tenir compte de la position des opérateurs en ce qui concerne l’inclusion de ces services en tant que communications d’urgence. Par exemple, nous notons qu’il est techniquement impossible de fournir des communications d’urgence via le service de messages courts (SMS), car ce type de service n’est pas prêt à prendre en charge l’envoi et la réception de messages courts vers et à partir de numéros mobiles qui ne sont pas à neuf chiffres.</w:t>
            </w:r>
          </w:p>
          <w:p w14:paraId="52B274A4" w14:textId="77777777" w:rsidR="00094793" w:rsidRPr="00094793" w:rsidRDefault="00094793" w:rsidP="00094793">
            <w:pPr>
              <w:rPr>
                <w:rFonts w:ascii="Calibri" w:eastAsia="Calibri" w:hAnsi="Calibri"/>
                <w:sz w:val="16"/>
                <w:szCs w:val="16"/>
              </w:rPr>
            </w:pPr>
          </w:p>
        </w:tc>
        <w:tc>
          <w:tcPr>
            <w:tcW w:w="1965" w:type="dxa"/>
          </w:tcPr>
          <w:p w14:paraId="233188F4" w14:textId="7B4C9210"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en partie et incorporé dans les articles en partie, avec d’autres spécifications sur l’itinérance, conformément aux observations de la CNMC sur une question similaire.</w:t>
            </w:r>
          </w:p>
          <w:p w14:paraId="3E5FB628" w14:textId="77777777" w:rsidR="00094793" w:rsidRPr="00094793" w:rsidRDefault="00094793" w:rsidP="00094793">
            <w:pPr>
              <w:rPr>
                <w:rFonts w:ascii="Calibri" w:eastAsia="Calibri" w:hAnsi="Calibri"/>
                <w:b/>
                <w:color w:val="31849B"/>
                <w:sz w:val="16"/>
                <w:szCs w:val="16"/>
              </w:rPr>
            </w:pPr>
          </w:p>
          <w:p w14:paraId="78DBFB3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et incorporé dans les articles.</w:t>
            </w:r>
          </w:p>
          <w:p w14:paraId="2A4243C7" w14:textId="77777777" w:rsidR="00094793" w:rsidRPr="00094793" w:rsidRDefault="00094793" w:rsidP="00094793">
            <w:pPr>
              <w:rPr>
                <w:rFonts w:ascii="Calibri" w:eastAsia="Calibri" w:hAnsi="Calibri"/>
                <w:sz w:val="16"/>
                <w:szCs w:val="16"/>
              </w:rPr>
            </w:pPr>
          </w:p>
          <w:p w14:paraId="42C21C13" w14:textId="77777777" w:rsidR="00094793" w:rsidRPr="00094793" w:rsidRDefault="00094793" w:rsidP="00094793">
            <w:pPr>
              <w:rPr>
                <w:rFonts w:ascii="Calibri" w:eastAsia="Calibri" w:hAnsi="Calibri"/>
                <w:sz w:val="16"/>
                <w:szCs w:val="16"/>
              </w:rPr>
            </w:pPr>
          </w:p>
          <w:p w14:paraId="2BBBE8EF"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Cette deuxième branche est rejetée parce que la loi générale sur les télécommunications, conformément à la CCEE, ne prévoit pas que l’État assume ces coûts et impose à l’opérateur une obligation à cet égard.</w:t>
            </w:r>
          </w:p>
          <w:p w14:paraId="5AF2F72F" w14:textId="77777777" w:rsidR="00094793" w:rsidRPr="00094793" w:rsidRDefault="00094793" w:rsidP="00094793">
            <w:pPr>
              <w:rPr>
                <w:rFonts w:ascii="Calibri" w:eastAsia="Calibri" w:hAnsi="Calibri"/>
                <w:b/>
                <w:color w:val="31849B"/>
                <w:sz w:val="16"/>
                <w:szCs w:val="16"/>
              </w:rPr>
            </w:pPr>
          </w:p>
          <w:p w14:paraId="3601A0E3" w14:textId="77777777" w:rsidR="00094793" w:rsidRPr="00094793" w:rsidRDefault="00094793" w:rsidP="00094793">
            <w:pPr>
              <w:rPr>
                <w:rFonts w:ascii="Calibri" w:eastAsia="Calibri" w:hAnsi="Calibri"/>
                <w:b/>
                <w:color w:val="31849B"/>
                <w:sz w:val="16"/>
                <w:szCs w:val="16"/>
              </w:rPr>
            </w:pPr>
          </w:p>
          <w:p w14:paraId="778603FF"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Non, cette définition va au-delà du champ d’application du présent décret.</w:t>
            </w:r>
          </w:p>
          <w:p w14:paraId="6B543E2D" w14:textId="77777777" w:rsidR="00094793" w:rsidRPr="00094793" w:rsidRDefault="00094793" w:rsidP="00094793">
            <w:pPr>
              <w:rPr>
                <w:rFonts w:ascii="Calibri" w:eastAsia="Calibri" w:hAnsi="Calibri"/>
                <w:b/>
                <w:color w:val="31849B"/>
                <w:sz w:val="16"/>
                <w:szCs w:val="16"/>
              </w:rPr>
            </w:pPr>
          </w:p>
          <w:p w14:paraId="19E23DF5" w14:textId="77777777" w:rsidR="00094793" w:rsidRPr="00094793" w:rsidRDefault="00094793" w:rsidP="00094793">
            <w:pPr>
              <w:rPr>
                <w:rFonts w:ascii="Calibri" w:eastAsia="Calibri" w:hAnsi="Calibri"/>
                <w:b/>
                <w:color w:val="31849B"/>
                <w:sz w:val="16"/>
                <w:szCs w:val="16"/>
              </w:rPr>
            </w:pPr>
          </w:p>
          <w:p w14:paraId="176FB25A" w14:textId="77777777" w:rsidR="00094793" w:rsidRPr="00094793" w:rsidRDefault="00094793" w:rsidP="00094793">
            <w:pPr>
              <w:rPr>
                <w:rFonts w:ascii="Calibri" w:eastAsia="Calibri" w:hAnsi="Calibri"/>
                <w:sz w:val="16"/>
                <w:szCs w:val="16"/>
              </w:rPr>
            </w:pPr>
            <w:r>
              <w:rPr>
                <w:rFonts w:ascii="Calibri" w:hAnsi="Calibri"/>
                <w:b/>
                <w:color w:val="31849B"/>
                <w:sz w:val="16"/>
              </w:rPr>
              <w:t>Ceci n’est pas accepté, en prévision du rapport CNMC et de toutes les garanties de participation du public et d’audition découlant d’un règlement. Ainsi, les contraintes susmentionnées doivent naturellement être prises en compte.</w:t>
            </w:r>
          </w:p>
        </w:tc>
      </w:tr>
      <w:tr w:rsidR="00094793" w:rsidRPr="00094793" w14:paraId="55D89EE5" w14:textId="77777777" w:rsidTr="00852846">
        <w:tc>
          <w:tcPr>
            <w:tcW w:w="1380" w:type="dxa"/>
            <w:shd w:val="clear" w:color="auto" w:fill="F79646"/>
          </w:tcPr>
          <w:p w14:paraId="05689268" w14:textId="77777777" w:rsidR="00094793" w:rsidRPr="00094793" w:rsidRDefault="00094793" w:rsidP="00094793">
            <w:pPr>
              <w:rPr>
                <w:rFonts w:ascii="Calibri" w:eastAsia="Calibri" w:hAnsi="Calibri"/>
              </w:rPr>
            </w:pPr>
            <w:r>
              <w:rPr>
                <w:rFonts w:ascii="Calibri" w:hAnsi="Calibri"/>
                <w:b/>
                <w:sz w:val="16"/>
              </w:rPr>
              <w:t>AMETIC (Association espagnole des entreprises de services électroniques, informatiques, télécoms et de contenu numérique)</w:t>
            </w:r>
          </w:p>
        </w:tc>
        <w:tc>
          <w:tcPr>
            <w:tcW w:w="6715" w:type="dxa"/>
            <w:shd w:val="clear" w:color="auto" w:fill="FFFFFF"/>
          </w:tcPr>
          <w:p w14:paraId="17C5488C" w14:textId="77777777" w:rsidR="00094793" w:rsidRPr="00094793" w:rsidRDefault="00094793" w:rsidP="00094793">
            <w:pPr>
              <w:shd w:val="clear" w:color="auto" w:fill="FFFFFF"/>
              <w:ind w:left="720"/>
              <w:contextualSpacing/>
              <w:jc w:val="both"/>
              <w:rPr>
                <w:rFonts w:ascii="Calibri" w:eastAsia="Calibri" w:hAnsi="Calibri"/>
                <w:sz w:val="16"/>
                <w:szCs w:val="16"/>
              </w:rPr>
            </w:pPr>
            <w:r>
              <w:rPr>
                <w:rFonts w:ascii="Calibri" w:hAnsi="Calibri"/>
                <w:sz w:val="16"/>
              </w:rPr>
              <w:t>Supprimer l’article 2, paragraphe 4: cette responsabilité n’incombe pas aux fabricants de téléphones mobiles dans d’autres pays de l’UE. La technologie n’est pas infaillible et son succès peut être limité par la capacité du réseau de l’opérateur qui doit transmettre le message SMS avec des informations de localisation. S’il n’est pas supprimé, ils proposent une autre formulation indiquant que l’exploitant sera responsable de fournir au centre d’appels d’urgence des informations de localisation basées sur le réseau et les téléphones, à condition qu’il soit capable de le faire et que l’information soit disponible.</w:t>
            </w:r>
          </w:p>
          <w:p w14:paraId="067CCF25" w14:textId="77777777" w:rsidR="00094793" w:rsidRPr="00094793" w:rsidRDefault="00094793" w:rsidP="00094793">
            <w:pPr>
              <w:shd w:val="clear" w:color="auto" w:fill="FFFFFF"/>
              <w:ind w:left="720"/>
              <w:contextualSpacing/>
              <w:jc w:val="both"/>
              <w:rPr>
                <w:rFonts w:ascii="Calibri" w:eastAsia="Calibri" w:hAnsi="Calibri"/>
                <w:sz w:val="16"/>
                <w:szCs w:val="16"/>
              </w:rPr>
            </w:pPr>
          </w:p>
        </w:tc>
        <w:tc>
          <w:tcPr>
            <w:tcW w:w="1965" w:type="dxa"/>
          </w:tcPr>
          <w:p w14:paraId="7D237F53" w14:textId="77777777" w:rsidR="00094793" w:rsidRPr="00094793" w:rsidRDefault="00094793" w:rsidP="00094793">
            <w:pPr>
              <w:rPr>
                <w:rFonts w:ascii="Calibri" w:eastAsia="Calibri" w:hAnsi="Calibri"/>
              </w:rPr>
            </w:pPr>
            <w:r>
              <w:rPr>
                <w:rFonts w:ascii="Calibri" w:hAnsi="Calibri"/>
                <w:b/>
                <w:color w:val="31849B"/>
                <w:sz w:val="16"/>
              </w:rPr>
              <w:t>Ceci n’est pas accepté. La disposition est en fait reformulée pour plus de précision et de sécurité juridique, mais conserve l’obligation parce qu’elle est un élément clé de la fonctionnalité du système.</w:t>
            </w:r>
          </w:p>
        </w:tc>
      </w:tr>
      <w:tr w:rsidR="00094793" w:rsidRPr="00094793" w14:paraId="3A124B36" w14:textId="77777777" w:rsidTr="00852846">
        <w:tc>
          <w:tcPr>
            <w:tcW w:w="1380" w:type="dxa"/>
            <w:shd w:val="clear" w:color="auto" w:fill="9BBB59"/>
          </w:tcPr>
          <w:p w14:paraId="725487E3" w14:textId="77777777" w:rsidR="00094793" w:rsidRPr="00094793" w:rsidRDefault="00094793" w:rsidP="00094793">
            <w:pPr>
              <w:rPr>
                <w:rFonts w:ascii="Calibri" w:eastAsia="Calibri" w:hAnsi="Calibri"/>
              </w:rPr>
            </w:pPr>
            <w:r>
              <w:rPr>
                <w:rFonts w:ascii="Calibri" w:hAnsi="Calibri"/>
                <w:b/>
                <w:sz w:val="16"/>
              </w:rPr>
              <w:t xml:space="preserve">CEVE (Confédération espagnole des </w:t>
            </w:r>
            <w:r>
              <w:rPr>
                <w:rFonts w:ascii="Calibri" w:hAnsi="Calibri"/>
                <w:b/>
                <w:sz w:val="16"/>
              </w:rPr>
              <w:lastRenderedPageBreak/>
              <w:t>entreprises vétérinaires)</w:t>
            </w:r>
          </w:p>
        </w:tc>
        <w:tc>
          <w:tcPr>
            <w:tcW w:w="6715" w:type="dxa"/>
            <w:shd w:val="clear" w:color="auto" w:fill="FFFFFF"/>
          </w:tcPr>
          <w:p w14:paraId="2FEE015B" w14:textId="77777777" w:rsidR="00094793" w:rsidRPr="00094793" w:rsidRDefault="00094793" w:rsidP="00094793">
            <w:pPr>
              <w:rPr>
                <w:rFonts w:ascii="Calibri" w:eastAsia="Calibri" w:hAnsi="Calibri"/>
                <w:sz w:val="16"/>
                <w:szCs w:val="16"/>
              </w:rPr>
            </w:pPr>
            <w:r>
              <w:rPr>
                <w:rFonts w:ascii="Calibri" w:hAnsi="Calibri"/>
                <w:sz w:val="16"/>
              </w:rPr>
              <w:lastRenderedPageBreak/>
              <w:t>Article 5, paragraphe 1:</w:t>
            </w:r>
          </w:p>
          <w:p w14:paraId="58B6DD7E" w14:textId="77777777" w:rsidR="00094793" w:rsidRPr="00094793" w:rsidRDefault="00094793" w:rsidP="00094793">
            <w:pPr>
              <w:rPr>
                <w:rFonts w:ascii="Calibri" w:eastAsia="Calibri" w:hAnsi="Calibri"/>
                <w:sz w:val="16"/>
                <w:szCs w:val="16"/>
              </w:rPr>
            </w:pPr>
            <w:r>
              <w:rPr>
                <w:rFonts w:ascii="Calibri" w:hAnsi="Calibri"/>
                <w:sz w:val="16"/>
              </w:rPr>
              <w:t>Service d’urgence 112 pour les animaux également</w:t>
            </w:r>
          </w:p>
        </w:tc>
        <w:tc>
          <w:tcPr>
            <w:tcW w:w="1965" w:type="dxa"/>
          </w:tcPr>
          <w:p w14:paraId="7A5C1804" w14:textId="77777777" w:rsidR="00094793" w:rsidRPr="00094793" w:rsidRDefault="00094793" w:rsidP="00094793">
            <w:pPr>
              <w:rPr>
                <w:rFonts w:ascii="Calibri" w:eastAsia="Calibri" w:hAnsi="Calibri"/>
              </w:rPr>
            </w:pPr>
            <w:r>
              <w:rPr>
                <w:rFonts w:ascii="Calibri" w:hAnsi="Calibri"/>
                <w:b/>
                <w:color w:val="0070C0"/>
                <w:sz w:val="16"/>
              </w:rPr>
              <w:t>Cela n’est pas accepté parce qu’il va au-delà du champ d’application de ce décret royal.</w:t>
            </w:r>
          </w:p>
        </w:tc>
      </w:tr>
      <w:tr w:rsidR="00094793" w:rsidRPr="00094793" w14:paraId="56A01F75" w14:textId="77777777" w:rsidTr="00852846">
        <w:tc>
          <w:tcPr>
            <w:tcW w:w="1380" w:type="dxa"/>
            <w:shd w:val="clear" w:color="auto" w:fill="F79646"/>
          </w:tcPr>
          <w:p w14:paraId="6ADC36E6" w14:textId="77777777" w:rsidR="00094793" w:rsidRPr="00852846" w:rsidRDefault="00094793" w:rsidP="00094793">
            <w:pPr>
              <w:rPr>
                <w:rFonts w:ascii="Calibri" w:eastAsia="Calibri" w:hAnsi="Calibri"/>
                <w:lang w:val="it-IT"/>
              </w:rPr>
            </w:pPr>
            <w:r w:rsidRPr="00852846">
              <w:rPr>
                <w:rFonts w:ascii="Calibri" w:hAnsi="Calibri"/>
                <w:b/>
                <w:sz w:val="16"/>
                <w:lang w:val="it-IT"/>
              </w:rPr>
              <w:t>Francisco Chiara et Vicente Medrano</w:t>
            </w:r>
          </w:p>
        </w:tc>
        <w:tc>
          <w:tcPr>
            <w:tcW w:w="6715" w:type="dxa"/>
            <w:shd w:val="clear" w:color="auto" w:fill="FFFFFF"/>
          </w:tcPr>
          <w:p w14:paraId="1D32FF0E" w14:textId="77777777" w:rsidR="00094793" w:rsidRPr="00852846" w:rsidRDefault="00094793" w:rsidP="00094793">
            <w:pPr>
              <w:rPr>
                <w:rFonts w:ascii="Calibri" w:eastAsia="Calibri" w:hAnsi="Calibri"/>
                <w:sz w:val="16"/>
                <w:szCs w:val="16"/>
                <w:lang w:val="it-IT"/>
              </w:rPr>
            </w:pPr>
          </w:p>
          <w:p w14:paraId="486F8C55"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 décret royal concerne plusieurs groupes et doit préciser: fabricants, distributeurs de terminaux mobiles, centres de courtage et centres d’appels.</w:t>
            </w:r>
          </w:p>
          <w:p w14:paraId="7A678752" w14:textId="77777777" w:rsidR="00094793" w:rsidRPr="00094793" w:rsidRDefault="00094793" w:rsidP="00094793">
            <w:pPr>
              <w:jc w:val="both"/>
              <w:rPr>
                <w:rFonts w:ascii="Calibri" w:eastAsia="Calibri" w:hAnsi="Calibri"/>
                <w:sz w:val="16"/>
                <w:szCs w:val="16"/>
              </w:rPr>
            </w:pPr>
          </w:p>
          <w:p w14:paraId="70BF4AF3" w14:textId="77777777" w:rsidR="00094793" w:rsidRPr="00094793" w:rsidRDefault="00094793" w:rsidP="00094793">
            <w:pPr>
              <w:jc w:val="both"/>
              <w:rPr>
                <w:rFonts w:ascii="Calibri" w:eastAsia="Calibri" w:hAnsi="Calibri"/>
                <w:sz w:val="16"/>
                <w:szCs w:val="16"/>
              </w:rPr>
            </w:pPr>
          </w:p>
          <w:p w14:paraId="75AB3759" w14:textId="77777777" w:rsidR="00094793" w:rsidRPr="00094793" w:rsidRDefault="00094793" w:rsidP="00094793">
            <w:pPr>
              <w:jc w:val="both"/>
              <w:rPr>
                <w:rFonts w:ascii="Calibri" w:eastAsia="Calibri" w:hAnsi="Calibri"/>
                <w:sz w:val="16"/>
                <w:szCs w:val="16"/>
              </w:rPr>
            </w:pPr>
          </w:p>
          <w:p w14:paraId="447740E6" w14:textId="77777777" w:rsidR="00094793" w:rsidRPr="00094793" w:rsidRDefault="00094793" w:rsidP="00094793">
            <w:pPr>
              <w:jc w:val="both"/>
              <w:rPr>
                <w:rFonts w:ascii="Calibri" w:eastAsia="Calibri" w:hAnsi="Calibri"/>
                <w:sz w:val="16"/>
                <w:szCs w:val="16"/>
              </w:rPr>
            </w:pPr>
          </w:p>
          <w:p w14:paraId="2E01A33A" w14:textId="025DA504" w:rsidR="00094793" w:rsidRDefault="00094793" w:rsidP="00094793">
            <w:pPr>
              <w:jc w:val="both"/>
              <w:rPr>
                <w:rFonts w:ascii="Calibri" w:eastAsia="Calibri" w:hAnsi="Calibri"/>
                <w:sz w:val="16"/>
                <w:szCs w:val="16"/>
              </w:rPr>
            </w:pPr>
          </w:p>
          <w:p w14:paraId="5D904199" w14:textId="77777777" w:rsidR="00D55393" w:rsidRPr="00094793" w:rsidRDefault="00D55393" w:rsidP="00094793">
            <w:pPr>
              <w:jc w:val="both"/>
              <w:rPr>
                <w:rFonts w:ascii="Calibri" w:eastAsia="Calibri" w:hAnsi="Calibri"/>
                <w:sz w:val="16"/>
                <w:szCs w:val="16"/>
              </w:rPr>
            </w:pPr>
          </w:p>
          <w:p w14:paraId="0FDFC296" w14:textId="77777777" w:rsidR="00094793" w:rsidRPr="00094793" w:rsidRDefault="00094793" w:rsidP="00094793">
            <w:pPr>
              <w:jc w:val="both"/>
              <w:rPr>
                <w:rFonts w:ascii="Calibri" w:eastAsia="Calibri" w:hAnsi="Calibri"/>
                <w:sz w:val="16"/>
                <w:szCs w:val="16"/>
              </w:rPr>
            </w:pPr>
          </w:p>
          <w:p w14:paraId="1638B828" w14:textId="779733BE"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L’article doit citer le document de spécification technique ETSI-TS-103-625 pour indiquer les normes comme seuil minimum et aussi pour permettre l’interconnexion future avec les pays voisins. Cette lacune est partiellement comblée par l’article 2, paragraphe 4, qui fait référence à la responsabilité des producteurs de systèmes d’exploitation, mais ne fixe pas d’obligation, pour les terminaux mis sur le marché à compter de la date indiquée, de soutenir cette technologie ni d’éventuels seuils minimaux pour les normes techniques.</w:t>
            </w:r>
          </w:p>
          <w:p w14:paraId="18FD8AD5" w14:textId="77777777" w:rsidR="00094793" w:rsidRPr="00094793" w:rsidRDefault="00094793" w:rsidP="00094793">
            <w:pPr>
              <w:jc w:val="both"/>
              <w:rPr>
                <w:rFonts w:ascii="Calibri" w:eastAsia="Calibri" w:hAnsi="Calibri"/>
                <w:sz w:val="16"/>
                <w:szCs w:val="16"/>
              </w:rPr>
            </w:pPr>
          </w:p>
        </w:tc>
        <w:tc>
          <w:tcPr>
            <w:tcW w:w="1965" w:type="dxa"/>
          </w:tcPr>
          <w:p w14:paraId="51C3DEFA" w14:textId="77777777" w:rsidR="00094793" w:rsidRPr="00094793" w:rsidRDefault="00094793" w:rsidP="00094793">
            <w:pPr>
              <w:rPr>
                <w:rFonts w:ascii="Calibri" w:eastAsia="Calibri" w:hAnsi="Calibri"/>
                <w:b/>
                <w:color w:val="31849B"/>
                <w:sz w:val="16"/>
                <w:szCs w:val="16"/>
              </w:rPr>
            </w:pPr>
          </w:p>
          <w:p w14:paraId="624DEF3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Cela n’est pas accepté parce qu’il va au-delà de la portée de cette classification, bien que le texte comporte des références à certains d’entre eux.</w:t>
            </w:r>
          </w:p>
          <w:p w14:paraId="62DFEFDE" w14:textId="77777777" w:rsidR="00094793" w:rsidRPr="00094793" w:rsidRDefault="00094793" w:rsidP="00094793">
            <w:pPr>
              <w:rPr>
                <w:rFonts w:ascii="Calibri" w:eastAsia="Calibri" w:hAnsi="Calibri"/>
                <w:b/>
                <w:color w:val="31849B"/>
                <w:sz w:val="16"/>
                <w:szCs w:val="16"/>
              </w:rPr>
            </w:pPr>
          </w:p>
          <w:p w14:paraId="44020964" w14:textId="77777777" w:rsidR="00094793" w:rsidRPr="00094793" w:rsidRDefault="00094793" w:rsidP="00094793">
            <w:pPr>
              <w:rPr>
                <w:rFonts w:ascii="Calibri" w:eastAsia="Calibri" w:hAnsi="Calibri"/>
                <w:b/>
                <w:color w:val="31849B"/>
                <w:sz w:val="16"/>
                <w:szCs w:val="16"/>
              </w:rPr>
            </w:pPr>
          </w:p>
          <w:p w14:paraId="1D2F10D4"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et la référence est incluse.</w:t>
            </w:r>
          </w:p>
          <w:p w14:paraId="31A56424" w14:textId="77777777" w:rsidR="00094793" w:rsidRPr="00094793" w:rsidRDefault="00094793" w:rsidP="00094793">
            <w:pPr>
              <w:rPr>
                <w:rFonts w:ascii="Calibri" w:eastAsia="Calibri" w:hAnsi="Calibri"/>
                <w:b/>
                <w:color w:val="0070C0"/>
                <w:sz w:val="16"/>
                <w:szCs w:val="16"/>
              </w:rPr>
            </w:pPr>
          </w:p>
          <w:p w14:paraId="30FF8BBA" w14:textId="77777777" w:rsidR="00094793" w:rsidRPr="00094793" w:rsidRDefault="00094793" w:rsidP="00094793">
            <w:pPr>
              <w:rPr>
                <w:rFonts w:ascii="Calibri" w:eastAsia="Calibri" w:hAnsi="Calibri"/>
              </w:rPr>
            </w:pPr>
          </w:p>
        </w:tc>
      </w:tr>
      <w:tr w:rsidR="00094793" w:rsidRPr="00094793" w14:paraId="55BE972C" w14:textId="77777777" w:rsidTr="00852846">
        <w:tc>
          <w:tcPr>
            <w:tcW w:w="1380" w:type="dxa"/>
            <w:shd w:val="clear" w:color="auto" w:fill="9BBB59"/>
          </w:tcPr>
          <w:p w14:paraId="57E3B0E1" w14:textId="77777777" w:rsidR="00094793" w:rsidRPr="00094793" w:rsidRDefault="00094793" w:rsidP="00094793">
            <w:pPr>
              <w:rPr>
                <w:rFonts w:ascii="Calibri" w:eastAsia="Calibri" w:hAnsi="Calibri"/>
              </w:rPr>
            </w:pPr>
            <w:r>
              <w:rPr>
                <w:rFonts w:ascii="Calibri" w:hAnsi="Calibri"/>
                <w:b/>
                <w:sz w:val="16"/>
              </w:rPr>
              <w:t>GOUVERNEMENT BASQUE</w:t>
            </w:r>
          </w:p>
        </w:tc>
        <w:tc>
          <w:tcPr>
            <w:tcW w:w="6715" w:type="dxa"/>
            <w:shd w:val="clear" w:color="auto" w:fill="FFFFFF"/>
          </w:tcPr>
          <w:p w14:paraId="55059EB9" w14:textId="77777777" w:rsidR="00094793" w:rsidRPr="00094793" w:rsidRDefault="00094793" w:rsidP="006E376E">
            <w:pPr>
              <w:numPr>
                <w:ilvl w:val="0"/>
                <w:numId w:val="14"/>
              </w:numPr>
              <w:contextualSpacing/>
              <w:jc w:val="both"/>
              <w:rPr>
                <w:rFonts w:ascii="Calibri" w:eastAsia="Calibri" w:hAnsi="Calibri"/>
                <w:color w:val="00B0F0"/>
                <w:sz w:val="16"/>
                <w:szCs w:val="16"/>
              </w:rPr>
            </w:pPr>
            <w:r>
              <w:rPr>
                <w:rFonts w:ascii="Calibri" w:hAnsi="Calibri"/>
                <w:sz w:val="16"/>
              </w:rPr>
              <w:t>Dans la définition des communications d’urgence, inclure non seulement les appels vocaux du 112, mais aussi des communications provenant de nouvelles technologies telles que le texte, les données et la vidéo.</w:t>
            </w:r>
          </w:p>
          <w:p w14:paraId="53A70A21" w14:textId="77777777" w:rsidR="00094793" w:rsidRPr="00094793" w:rsidRDefault="00094793" w:rsidP="00094793">
            <w:pPr>
              <w:jc w:val="both"/>
              <w:rPr>
                <w:rFonts w:ascii="Calibri" w:eastAsia="Calibri" w:hAnsi="Calibri"/>
                <w:color w:val="00B0F0"/>
                <w:sz w:val="16"/>
                <w:szCs w:val="16"/>
              </w:rPr>
            </w:pPr>
          </w:p>
          <w:p w14:paraId="4A3C758B" w14:textId="77777777" w:rsidR="00094793" w:rsidRPr="00094793" w:rsidRDefault="00094793" w:rsidP="00094793">
            <w:pPr>
              <w:jc w:val="both"/>
              <w:rPr>
                <w:rFonts w:ascii="Calibri" w:eastAsia="Calibri" w:hAnsi="Calibri"/>
                <w:color w:val="00B0F0"/>
                <w:sz w:val="16"/>
                <w:szCs w:val="16"/>
              </w:rPr>
            </w:pPr>
          </w:p>
          <w:p w14:paraId="0C76425F" w14:textId="77777777" w:rsidR="00094793" w:rsidRPr="00094793" w:rsidRDefault="00094793" w:rsidP="00094793">
            <w:pPr>
              <w:jc w:val="both"/>
              <w:rPr>
                <w:rFonts w:ascii="Calibri" w:eastAsia="Calibri" w:hAnsi="Calibri"/>
                <w:color w:val="00B0F0"/>
                <w:sz w:val="16"/>
                <w:szCs w:val="16"/>
              </w:rPr>
            </w:pPr>
          </w:p>
          <w:p w14:paraId="2FDCE711" w14:textId="77777777" w:rsidR="00094793" w:rsidRPr="00094793" w:rsidRDefault="00094793" w:rsidP="00094793">
            <w:pPr>
              <w:jc w:val="both"/>
              <w:rPr>
                <w:rFonts w:ascii="Calibri" w:eastAsia="Calibri" w:hAnsi="Calibri"/>
                <w:color w:val="00B0F0"/>
                <w:sz w:val="16"/>
                <w:szCs w:val="16"/>
              </w:rPr>
            </w:pPr>
          </w:p>
          <w:p w14:paraId="489945A0" w14:textId="77777777" w:rsidR="00094793" w:rsidRPr="00094793" w:rsidRDefault="00094793" w:rsidP="00094793">
            <w:pPr>
              <w:jc w:val="both"/>
              <w:rPr>
                <w:rFonts w:ascii="Calibri" w:eastAsia="Calibri" w:hAnsi="Calibri"/>
                <w:color w:val="00B0F0"/>
                <w:sz w:val="16"/>
                <w:szCs w:val="16"/>
              </w:rPr>
            </w:pPr>
          </w:p>
          <w:p w14:paraId="3B10EBC8" w14:textId="77777777" w:rsidR="00094793" w:rsidRPr="00094793" w:rsidRDefault="00094793" w:rsidP="006E376E">
            <w:pPr>
              <w:numPr>
                <w:ilvl w:val="0"/>
                <w:numId w:val="14"/>
              </w:numPr>
              <w:contextualSpacing/>
              <w:jc w:val="both"/>
              <w:rPr>
                <w:rFonts w:ascii="Calibri" w:eastAsia="Calibri" w:hAnsi="Calibri"/>
                <w:b/>
                <w:sz w:val="16"/>
                <w:szCs w:val="16"/>
              </w:rPr>
            </w:pPr>
            <w:r>
              <w:rPr>
                <w:rFonts w:ascii="Calibri" w:hAnsi="Calibri"/>
                <w:sz w:val="16"/>
              </w:rPr>
              <w:t>Article 12, paragraphe 4: le texte devrait prévoir un deuxième centre de réception et de diffusion des informations de localisation sur la base du terminal exploité par l’une des communautés autonomes.</w:t>
            </w:r>
          </w:p>
          <w:p w14:paraId="13323DA3" w14:textId="77777777" w:rsidR="00094793" w:rsidRPr="00094793" w:rsidRDefault="00094793" w:rsidP="00094793">
            <w:pPr>
              <w:ind w:left="720"/>
              <w:contextualSpacing/>
              <w:jc w:val="both"/>
              <w:rPr>
                <w:rFonts w:ascii="Calibri" w:eastAsia="Calibri" w:hAnsi="Calibri"/>
                <w:b/>
                <w:sz w:val="16"/>
                <w:szCs w:val="16"/>
              </w:rPr>
            </w:pPr>
          </w:p>
          <w:p w14:paraId="097351DD" w14:textId="77777777" w:rsidR="00094793" w:rsidRPr="00094793" w:rsidRDefault="00094793" w:rsidP="00094793">
            <w:pPr>
              <w:ind w:left="720"/>
              <w:contextualSpacing/>
              <w:jc w:val="both"/>
              <w:rPr>
                <w:rFonts w:ascii="Calibri" w:eastAsia="Calibri" w:hAnsi="Calibri"/>
                <w:b/>
                <w:sz w:val="16"/>
                <w:szCs w:val="16"/>
              </w:rPr>
            </w:pPr>
          </w:p>
          <w:p w14:paraId="28182EE1" w14:textId="77777777" w:rsidR="00094793" w:rsidRPr="00094793" w:rsidRDefault="00094793" w:rsidP="00094793">
            <w:pPr>
              <w:ind w:left="720"/>
              <w:contextualSpacing/>
              <w:jc w:val="both"/>
              <w:rPr>
                <w:rFonts w:ascii="Calibri" w:eastAsia="Calibri" w:hAnsi="Calibri"/>
                <w:b/>
                <w:sz w:val="16"/>
                <w:szCs w:val="16"/>
              </w:rPr>
            </w:pPr>
          </w:p>
          <w:p w14:paraId="42CB2BEE" w14:textId="7EA8F43C" w:rsidR="00094793" w:rsidRPr="00094793" w:rsidRDefault="00094793" w:rsidP="006E376E">
            <w:pPr>
              <w:numPr>
                <w:ilvl w:val="0"/>
                <w:numId w:val="14"/>
              </w:numPr>
              <w:contextualSpacing/>
              <w:jc w:val="both"/>
              <w:rPr>
                <w:rFonts w:ascii="Calibri" w:eastAsia="Calibri" w:hAnsi="Calibri"/>
                <w:b/>
                <w:color w:val="0070C0"/>
                <w:sz w:val="16"/>
                <w:szCs w:val="16"/>
              </w:rPr>
            </w:pPr>
            <w:r>
              <w:rPr>
                <w:rFonts w:ascii="Calibri" w:hAnsi="Calibri"/>
                <w:sz w:val="16"/>
              </w:rPr>
              <w:t>Le projet prévoit les appels au 112 sans carte SIM, ou sans carte SIM activée. Cela devrait être supprimé pour prévenir les appels frauduleux ou malveillants (restriction appliquée en Belgique et en France).</w:t>
            </w:r>
          </w:p>
          <w:p w14:paraId="07611A2A" w14:textId="77777777" w:rsidR="00094793" w:rsidRPr="00094793" w:rsidRDefault="00094793" w:rsidP="00094793">
            <w:pPr>
              <w:jc w:val="both"/>
              <w:rPr>
                <w:rFonts w:ascii="Calibri" w:eastAsia="Calibri" w:hAnsi="Calibri"/>
                <w:b/>
                <w:color w:val="0070C0"/>
                <w:sz w:val="16"/>
                <w:szCs w:val="16"/>
              </w:rPr>
            </w:pPr>
          </w:p>
          <w:p w14:paraId="3335626C" w14:textId="77777777" w:rsidR="00094793" w:rsidRPr="00094793" w:rsidRDefault="00094793" w:rsidP="00094793">
            <w:pPr>
              <w:jc w:val="both"/>
              <w:rPr>
                <w:rFonts w:ascii="Calibri" w:eastAsia="Calibri" w:hAnsi="Calibri"/>
                <w:b/>
                <w:color w:val="0070C0"/>
                <w:sz w:val="16"/>
                <w:szCs w:val="16"/>
              </w:rPr>
            </w:pPr>
          </w:p>
          <w:p w14:paraId="5B4F788B" w14:textId="02317ECD" w:rsidR="00094793" w:rsidRDefault="00094793" w:rsidP="00094793">
            <w:pPr>
              <w:jc w:val="both"/>
              <w:rPr>
                <w:rFonts w:ascii="Calibri" w:eastAsia="Calibri" w:hAnsi="Calibri"/>
                <w:b/>
                <w:color w:val="0070C0"/>
                <w:sz w:val="16"/>
                <w:szCs w:val="16"/>
              </w:rPr>
            </w:pPr>
          </w:p>
          <w:p w14:paraId="3FDA3E63" w14:textId="77777777" w:rsidR="00D55393" w:rsidRPr="00094793" w:rsidRDefault="00D55393" w:rsidP="00094793">
            <w:pPr>
              <w:jc w:val="both"/>
              <w:rPr>
                <w:rFonts w:ascii="Calibri" w:eastAsia="Calibri" w:hAnsi="Calibri"/>
                <w:b/>
                <w:color w:val="0070C0"/>
                <w:sz w:val="16"/>
                <w:szCs w:val="16"/>
              </w:rPr>
            </w:pPr>
          </w:p>
          <w:p w14:paraId="12D04CB5" w14:textId="77777777" w:rsidR="00094793" w:rsidRPr="00094793" w:rsidRDefault="00094793" w:rsidP="00094793">
            <w:pPr>
              <w:jc w:val="both"/>
              <w:rPr>
                <w:rFonts w:ascii="Calibri" w:eastAsia="Calibri" w:hAnsi="Calibri"/>
                <w:b/>
                <w:color w:val="0070C0"/>
                <w:sz w:val="16"/>
                <w:szCs w:val="16"/>
              </w:rPr>
            </w:pPr>
          </w:p>
          <w:p w14:paraId="5C1B8362" w14:textId="77777777" w:rsidR="00094793" w:rsidRPr="00094793" w:rsidRDefault="00094793" w:rsidP="00094793">
            <w:pPr>
              <w:jc w:val="both"/>
              <w:rPr>
                <w:rFonts w:ascii="Calibri" w:eastAsia="Calibri" w:hAnsi="Calibri"/>
                <w:b/>
                <w:color w:val="0070C0"/>
                <w:sz w:val="16"/>
                <w:szCs w:val="16"/>
              </w:rPr>
            </w:pPr>
          </w:p>
          <w:p w14:paraId="268C3952" w14:textId="7A79203D"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 xml:space="preserve">Inclure une référence à la norme européenne PEMEA pour réaliser l’interconnexion entre les applications d’urgence et </w:t>
            </w:r>
            <w:r>
              <w:rPr>
                <w:rFonts w:ascii="Calibri" w:hAnsi="Calibri"/>
                <w:b/>
                <w:color w:val="00B0F0"/>
                <w:sz w:val="16"/>
              </w:rPr>
              <w:t>(MIS EN OEUVRE PAR ARRÊTÉ MINISTÉRIEL)</w:t>
            </w:r>
            <w:r>
              <w:rPr>
                <w:rFonts w:ascii="Calibri" w:hAnsi="Calibri"/>
                <w:sz w:val="16"/>
              </w:rPr>
              <w:t>.</w:t>
            </w:r>
          </w:p>
        </w:tc>
        <w:tc>
          <w:tcPr>
            <w:tcW w:w="1965" w:type="dxa"/>
          </w:tcPr>
          <w:p w14:paraId="6C7FB5C9"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en partie, car la deuxième disposition supplémentaire comprend sa mise en œuvre et son inclusion par arrêté ministériel.</w:t>
            </w:r>
          </w:p>
          <w:p w14:paraId="7A6DC64B" w14:textId="77777777" w:rsidR="00094793" w:rsidRPr="00094793" w:rsidRDefault="00094793" w:rsidP="00094793">
            <w:pPr>
              <w:rPr>
                <w:rFonts w:ascii="Calibri" w:eastAsia="Calibri" w:hAnsi="Calibri"/>
                <w:b/>
                <w:color w:val="31849B"/>
                <w:sz w:val="16"/>
                <w:szCs w:val="16"/>
              </w:rPr>
            </w:pPr>
          </w:p>
          <w:p w14:paraId="605D293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Cela n’est pas accepté, car il ne respecterait pas le principe d’efficacité et d’optimisation des ressources.</w:t>
            </w:r>
          </w:p>
          <w:p w14:paraId="71027067" w14:textId="77777777" w:rsidR="00094793" w:rsidRPr="00094793" w:rsidRDefault="00094793" w:rsidP="00094793">
            <w:pPr>
              <w:rPr>
                <w:rFonts w:ascii="Calibri" w:eastAsia="Calibri" w:hAnsi="Calibri"/>
                <w:b/>
                <w:color w:val="31849B"/>
                <w:sz w:val="16"/>
                <w:szCs w:val="16"/>
              </w:rPr>
            </w:pPr>
          </w:p>
          <w:p w14:paraId="059F0852"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n’est pas accepté. Dans l’intérêt d’un service garanti, il est nécessaire de tolérer la possibilité d’une utilisation frauduleuse dans certains cas.</w:t>
            </w:r>
          </w:p>
          <w:p w14:paraId="410EF0A7" w14:textId="77777777" w:rsidR="00094793" w:rsidRPr="00094793" w:rsidRDefault="00094793" w:rsidP="00094793">
            <w:pPr>
              <w:rPr>
                <w:rFonts w:ascii="Calibri" w:eastAsia="Calibri" w:hAnsi="Calibri"/>
                <w:b/>
                <w:color w:val="31849B"/>
                <w:sz w:val="16"/>
                <w:szCs w:val="16"/>
              </w:rPr>
            </w:pPr>
          </w:p>
          <w:p w14:paraId="75331FB7" w14:textId="77777777" w:rsidR="00094793" w:rsidRPr="00094793" w:rsidRDefault="00094793" w:rsidP="00094793">
            <w:pPr>
              <w:rPr>
                <w:rFonts w:ascii="Calibri" w:eastAsia="Calibri" w:hAnsi="Calibri"/>
                <w:b/>
                <w:color w:val="31849B"/>
                <w:sz w:val="16"/>
                <w:szCs w:val="16"/>
              </w:rPr>
            </w:pPr>
          </w:p>
          <w:p w14:paraId="4554A2A5" w14:textId="77777777" w:rsidR="00094793" w:rsidRPr="00094793" w:rsidRDefault="00094793" w:rsidP="00094793">
            <w:pPr>
              <w:rPr>
                <w:rFonts w:ascii="Calibri" w:eastAsia="Calibri" w:hAnsi="Calibri"/>
                <w:b/>
                <w:color w:val="31849B"/>
                <w:sz w:val="16"/>
                <w:szCs w:val="16"/>
              </w:rPr>
            </w:pPr>
          </w:p>
          <w:p w14:paraId="5AF074D3" w14:textId="77777777" w:rsidR="00094793" w:rsidRPr="00094793" w:rsidRDefault="00094793" w:rsidP="00094793">
            <w:pPr>
              <w:rPr>
                <w:rFonts w:ascii="Calibri" w:eastAsia="Calibri" w:hAnsi="Calibri"/>
                <w:b/>
                <w:sz w:val="16"/>
                <w:szCs w:val="16"/>
              </w:rPr>
            </w:pPr>
            <w:r>
              <w:rPr>
                <w:rFonts w:ascii="Calibri" w:hAnsi="Calibri"/>
                <w:b/>
                <w:color w:val="31849B"/>
                <w:sz w:val="16"/>
              </w:rPr>
              <w:t>Cela n’est pas accepté (en tout état de cause, cela relèverait de la mise en œuvre réglementaire ultérieure).</w:t>
            </w:r>
          </w:p>
        </w:tc>
      </w:tr>
      <w:tr w:rsidR="00094793" w:rsidRPr="00094793" w14:paraId="152D0694" w14:textId="77777777" w:rsidTr="00852846">
        <w:tc>
          <w:tcPr>
            <w:tcW w:w="1380" w:type="dxa"/>
            <w:shd w:val="clear" w:color="auto" w:fill="F79646"/>
          </w:tcPr>
          <w:p w14:paraId="0BBA48A2" w14:textId="77777777" w:rsidR="00094793" w:rsidRPr="00094793" w:rsidRDefault="00094793" w:rsidP="00094793">
            <w:pPr>
              <w:rPr>
                <w:rFonts w:ascii="Calibri" w:eastAsia="Calibri" w:hAnsi="Calibri"/>
              </w:rPr>
            </w:pPr>
            <w:r>
              <w:rPr>
                <w:rFonts w:ascii="Calibri" w:hAnsi="Calibri"/>
                <w:b/>
                <w:sz w:val="16"/>
              </w:rPr>
              <w:t>MASMOVIL</w:t>
            </w:r>
          </w:p>
        </w:tc>
        <w:tc>
          <w:tcPr>
            <w:tcW w:w="6715" w:type="dxa"/>
          </w:tcPr>
          <w:p w14:paraId="04811392"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Article 12. Ils proposent de supprimer l’obligation d’AML pour les appels effectués sans carte SIM ou lorsqu’elle n’est pas activée.</w:t>
            </w:r>
          </w:p>
          <w:p w14:paraId="66D87BAA" w14:textId="77777777" w:rsidR="00094793" w:rsidRPr="00094793" w:rsidRDefault="00094793" w:rsidP="00094793">
            <w:pPr>
              <w:ind w:left="720"/>
              <w:contextualSpacing/>
              <w:jc w:val="both"/>
              <w:rPr>
                <w:rFonts w:ascii="Calibri" w:eastAsia="Calibri" w:hAnsi="Calibri"/>
                <w:sz w:val="16"/>
                <w:szCs w:val="16"/>
              </w:rPr>
            </w:pPr>
          </w:p>
          <w:p w14:paraId="1A0D085E"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Adapter l’article 12, paragraphe 3, en conséquence.</w:t>
            </w:r>
          </w:p>
          <w:p w14:paraId="0106CF4D" w14:textId="77777777" w:rsidR="00094793" w:rsidRPr="00094793" w:rsidRDefault="00094793" w:rsidP="00094793">
            <w:pPr>
              <w:ind w:left="720"/>
              <w:contextualSpacing/>
              <w:rPr>
                <w:rFonts w:ascii="Calibri" w:eastAsia="Calibri" w:hAnsi="Calibri"/>
                <w:sz w:val="16"/>
                <w:szCs w:val="16"/>
              </w:rPr>
            </w:pPr>
          </w:p>
          <w:p w14:paraId="7D4B6595" w14:textId="77777777" w:rsidR="00094793" w:rsidRPr="00094793" w:rsidRDefault="00094793" w:rsidP="00094793">
            <w:pPr>
              <w:ind w:left="720"/>
              <w:contextualSpacing/>
              <w:jc w:val="both"/>
              <w:rPr>
                <w:rFonts w:ascii="Calibri" w:eastAsia="Calibri" w:hAnsi="Calibri"/>
                <w:sz w:val="16"/>
                <w:szCs w:val="16"/>
              </w:rPr>
            </w:pPr>
          </w:p>
          <w:p w14:paraId="5084F034" w14:textId="32AE9783"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L’obligation pour les opérateurs d’acheminer les informations de localisation en matière d’AML ne doit pas entraîner de coûts pour les opérateurs. Les coûts devraient tomber aux services d'urgence 112.</w:t>
            </w:r>
          </w:p>
          <w:p w14:paraId="16FFCFA3" w14:textId="77777777" w:rsidR="00094793" w:rsidRPr="00094793" w:rsidRDefault="00094793" w:rsidP="00094793">
            <w:pPr>
              <w:jc w:val="both"/>
              <w:rPr>
                <w:rFonts w:ascii="Calibri" w:eastAsia="Calibri" w:hAnsi="Calibri"/>
                <w:sz w:val="16"/>
                <w:szCs w:val="16"/>
              </w:rPr>
            </w:pPr>
          </w:p>
          <w:p w14:paraId="6ECD6466" w14:textId="77777777" w:rsidR="00094793" w:rsidRPr="00094793" w:rsidRDefault="00094793" w:rsidP="00094793">
            <w:pPr>
              <w:jc w:val="both"/>
              <w:rPr>
                <w:rFonts w:ascii="Calibri" w:eastAsia="Calibri" w:hAnsi="Calibri"/>
                <w:sz w:val="16"/>
                <w:szCs w:val="16"/>
              </w:rPr>
            </w:pPr>
          </w:p>
          <w:p w14:paraId="58918222" w14:textId="77777777" w:rsidR="00094793" w:rsidRPr="00094793" w:rsidRDefault="00094793" w:rsidP="00094793">
            <w:pPr>
              <w:jc w:val="both"/>
              <w:rPr>
                <w:rFonts w:ascii="Calibri" w:eastAsia="Calibri" w:hAnsi="Calibri"/>
                <w:sz w:val="16"/>
                <w:szCs w:val="16"/>
              </w:rPr>
            </w:pPr>
          </w:p>
          <w:p w14:paraId="613A2D8A" w14:textId="77777777" w:rsidR="00094793" w:rsidRPr="00094793" w:rsidRDefault="00094793" w:rsidP="00094793">
            <w:pPr>
              <w:jc w:val="both"/>
              <w:rPr>
                <w:rFonts w:ascii="Calibri" w:eastAsia="Calibri" w:hAnsi="Calibri"/>
                <w:sz w:val="16"/>
                <w:szCs w:val="16"/>
              </w:rPr>
            </w:pPr>
          </w:p>
          <w:p w14:paraId="0FF1E326" w14:textId="77777777" w:rsidR="00094793" w:rsidRPr="00094793" w:rsidRDefault="00094793" w:rsidP="00094793">
            <w:pPr>
              <w:jc w:val="both"/>
              <w:rPr>
                <w:rFonts w:ascii="Calibri" w:eastAsia="Calibri" w:hAnsi="Calibri"/>
                <w:sz w:val="16"/>
                <w:szCs w:val="16"/>
              </w:rPr>
            </w:pPr>
          </w:p>
          <w:p w14:paraId="4DA3DE61" w14:textId="3298337C" w:rsidR="00094793" w:rsidRDefault="00094793" w:rsidP="00094793">
            <w:pPr>
              <w:jc w:val="both"/>
              <w:rPr>
                <w:rFonts w:ascii="Calibri" w:eastAsia="Calibri" w:hAnsi="Calibri"/>
                <w:sz w:val="16"/>
                <w:szCs w:val="16"/>
              </w:rPr>
            </w:pPr>
          </w:p>
          <w:p w14:paraId="13FBEC86" w14:textId="42AD874D" w:rsidR="00D55393" w:rsidRDefault="00D55393" w:rsidP="00094793">
            <w:pPr>
              <w:jc w:val="both"/>
              <w:rPr>
                <w:rFonts w:ascii="Calibri" w:eastAsia="Calibri" w:hAnsi="Calibri"/>
                <w:sz w:val="16"/>
                <w:szCs w:val="16"/>
              </w:rPr>
            </w:pPr>
          </w:p>
          <w:p w14:paraId="162C7EC6" w14:textId="77777777" w:rsidR="00D55393" w:rsidRPr="00094793" w:rsidRDefault="00D55393" w:rsidP="00094793">
            <w:pPr>
              <w:jc w:val="both"/>
              <w:rPr>
                <w:rFonts w:ascii="Calibri" w:eastAsia="Calibri" w:hAnsi="Calibri"/>
                <w:sz w:val="16"/>
                <w:szCs w:val="16"/>
              </w:rPr>
            </w:pPr>
          </w:p>
          <w:p w14:paraId="22970436" w14:textId="77777777" w:rsidR="00094793" w:rsidRPr="00094793" w:rsidRDefault="00094793" w:rsidP="00094793">
            <w:pPr>
              <w:jc w:val="both"/>
              <w:rPr>
                <w:rFonts w:ascii="Calibri" w:eastAsia="Calibri" w:hAnsi="Calibri"/>
                <w:sz w:val="16"/>
                <w:szCs w:val="16"/>
              </w:rPr>
            </w:pPr>
          </w:p>
          <w:p w14:paraId="16893E59" w14:textId="77777777" w:rsidR="00094793" w:rsidRPr="00094793" w:rsidRDefault="00094793" w:rsidP="00094793">
            <w:pPr>
              <w:jc w:val="both"/>
              <w:rPr>
                <w:rFonts w:ascii="Calibri" w:eastAsia="Calibri" w:hAnsi="Calibri"/>
                <w:sz w:val="16"/>
                <w:szCs w:val="16"/>
              </w:rPr>
            </w:pPr>
          </w:p>
          <w:p w14:paraId="2A298EAF" w14:textId="13D6BD66" w:rsidR="00094793" w:rsidRPr="00094793" w:rsidRDefault="00094793" w:rsidP="006E376E">
            <w:pPr>
              <w:numPr>
                <w:ilvl w:val="0"/>
                <w:numId w:val="15"/>
              </w:numPr>
              <w:contextualSpacing/>
              <w:jc w:val="both"/>
              <w:rPr>
                <w:rFonts w:ascii="Calibri" w:eastAsia="Calibri" w:hAnsi="Calibri"/>
                <w:sz w:val="16"/>
                <w:szCs w:val="16"/>
              </w:rPr>
            </w:pPr>
            <w:r>
              <w:rPr>
                <w:rFonts w:ascii="Calibri" w:hAnsi="Calibri"/>
                <w:sz w:val="16"/>
              </w:rPr>
              <w:lastRenderedPageBreak/>
              <w:t>Article 13.(handicap) Le respect de cette obligation dépend du terminal de l’utilisateur handicapé.</w:t>
            </w:r>
          </w:p>
          <w:p w14:paraId="1753ABD0" w14:textId="77777777" w:rsidR="00094793" w:rsidRPr="00094793" w:rsidRDefault="00094793" w:rsidP="00094793">
            <w:pPr>
              <w:jc w:val="both"/>
              <w:rPr>
                <w:rFonts w:ascii="Calibri" w:eastAsia="Calibri" w:hAnsi="Calibri"/>
                <w:sz w:val="16"/>
                <w:szCs w:val="16"/>
              </w:rPr>
            </w:pPr>
          </w:p>
          <w:p w14:paraId="7FF3150A" w14:textId="440837B0" w:rsidR="00094793" w:rsidRDefault="00094793" w:rsidP="00094793">
            <w:pPr>
              <w:jc w:val="both"/>
              <w:rPr>
                <w:rFonts w:ascii="Calibri" w:eastAsia="Calibri" w:hAnsi="Calibri"/>
                <w:sz w:val="16"/>
                <w:szCs w:val="16"/>
              </w:rPr>
            </w:pPr>
          </w:p>
          <w:p w14:paraId="0A4D38E7" w14:textId="77777777" w:rsidR="00D55393" w:rsidRPr="00094793" w:rsidRDefault="00D55393" w:rsidP="00094793">
            <w:pPr>
              <w:jc w:val="both"/>
              <w:rPr>
                <w:rFonts w:ascii="Calibri" w:eastAsia="Calibri" w:hAnsi="Calibri"/>
                <w:sz w:val="16"/>
                <w:szCs w:val="16"/>
              </w:rPr>
            </w:pPr>
          </w:p>
          <w:p w14:paraId="2B7B0F9A" w14:textId="77777777" w:rsidR="00094793" w:rsidRPr="00094793" w:rsidRDefault="00094793" w:rsidP="00094793">
            <w:pPr>
              <w:jc w:val="both"/>
              <w:rPr>
                <w:rFonts w:ascii="Calibri" w:eastAsia="Calibri" w:hAnsi="Calibri"/>
                <w:sz w:val="16"/>
                <w:szCs w:val="16"/>
              </w:rPr>
            </w:pPr>
          </w:p>
          <w:p w14:paraId="2B12613C" w14:textId="77777777" w:rsidR="00094793" w:rsidRPr="00094793" w:rsidRDefault="00094793" w:rsidP="006E376E">
            <w:pPr>
              <w:numPr>
                <w:ilvl w:val="0"/>
                <w:numId w:val="15"/>
              </w:numPr>
              <w:contextualSpacing/>
              <w:rPr>
                <w:rFonts w:ascii="Calibri" w:eastAsia="Calibri" w:hAnsi="Calibri"/>
                <w:sz w:val="16"/>
                <w:szCs w:val="16"/>
              </w:rPr>
            </w:pPr>
            <w:r>
              <w:rPr>
                <w:rFonts w:ascii="Calibri" w:hAnsi="Calibri"/>
                <w:sz w:val="16"/>
              </w:rPr>
              <w:t>Deuxième disposition supplémentaire: ils sont préoccupés par cette disposition parce que:</w:t>
            </w:r>
          </w:p>
          <w:p w14:paraId="7B290FEA" w14:textId="77777777" w:rsidR="00094793" w:rsidRPr="00094793" w:rsidRDefault="00094793" w:rsidP="006E376E">
            <w:pPr>
              <w:numPr>
                <w:ilvl w:val="0"/>
                <w:numId w:val="16"/>
              </w:numPr>
              <w:contextualSpacing/>
              <w:rPr>
                <w:rFonts w:ascii="Calibri" w:eastAsia="Calibri" w:hAnsi="Calibri"/>
                <w:sz w:val="16"/>
                <w:szCs w:val="16"/>
              </w:rPr>
            </w:pPr>
            <w:r>
              <w:rPr>
                <w:rFonts w:ascii="Calibri" w:hAnsi="Calibri"/>
                <w:sz w:val="16"/>
              </w:rPr>
              <w:t>Il s’agirait d’une décision unilatérale du gouvernement sur laquelle les services comptent comme des communications d’urgence.</w:t>
            </w:r>
          </w:p>
          <w:p w14:paraId="71546B08" w14:textId="77777777" w:rsidR="00094793" w:rsidRPr="00094793" w:rsidRDefault="00094793" w:rsidP="006E376E">
            <w:pPr>
              <w:numPr>
                <w:ilvl w:val="0"/>
                <w:numId w:val="16"/>
              </w:numPr>
              <w:contextualSpacing/>
              <w:rPr>
                <w:rFonts w:ascii="Calibri" w:eastAsia="Calibri" w:hAnsi="Calibri"/>
                <w:sz w:val="16"/>
                <w:szCs w:val="16"/>
              </w:rPr>
            </w:pPr>
            <w:r>
              <w:rPr>
                <w:rFonts w:ascii="Calibri" w:hAnsi="Calibri"/>
                <w:sz w:val="16"/>
              </w:rPr>
              <w:t>Les services ne sont pas spécifiés ou définis.</w:t>
            </w:r>
          </w:p>
          <w:p w14:paraId="4E9B08D1" w14:textId="77777777" w:rsidR="00094793" w:rsidRPr="00094793" w:rsidRDefault="00094793" w:rsidP="00094793">
            <w:pPr>
              <w:ind w:left="360"/>
              <w:rPr>
                <w:rFonts w:ascii="Calibri" w:eastAsia="Calibri" w:hAnsi="Calibri"/>
                <w:sz w:val="16"/>
                <w:szCs w:val="16"/>
              </w:rPr>
            </w:pPr>
          </w:p>
        </w:tc>
        <w:tc>
          <w:tcPr>
            <w:tcW w:w="1965" w:type="dxa"/>
          </w:tcPr>
          <w:p w14:paraId="2CAE1DF5"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lastRenderedPageBreak/>
              <w:t>Accepté.</w:t>
            </w:r>
          </w:p>
          <w:p w14:paraId="2EC0064A" w14:textId="77777777" w:rsidR="00094793" w:rsidRPr="00094793" w:rsidRDefault="00094793" w:rsidP="00094793">
            <w:pPr>
              <w:rPr>
                <w:rFonts w:ascii="Calibri" w:eastAsia="Calibri" w:hAnsi="Calibri"/>
                <w:b/>
                <w:color w:val="31849B"/>
                <w:sz w:val="16"/>
                <w:szCs w:val="16"/>
              </w:rPr>
            </w:pPr>
          </w:p>
          <w:p w14:paraId="17BE06E6" w14:textId="77777777" w:rsidR="00094793" w:rsidRPr="00094793" w:rsidRDefault="00094793" w:rsidP="00094793">
            <w:pPr>
              <w:rPr>
                <w:rFonts w:ascii="Calibri" w:eastAsia="Calibri" w:hAnsi="Calibri"/>
                <w:b/>
                <w:color w:val="31849B"/>
                <w:sz w:val="16"/>
                <w:szCs w:val="16"/>
              </w:rPr>
            </w:pPr>
          </w:p>
          <w:p w14:paraId="701B5A00"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Accepté.</w:t>
            </w:r>
          </w:p>
          <w:p w14:paraId="6458B7E5" w14:textId="77777777" w:rsidR="00094793" w:rsidRPr="00094793" w:rsidRDefault="00094793" w:rsidP="00094793">
            <w:pPr>
              <w:rPr>
                <w:rFonts w:ascii="Calibri" w:eastAsia="Calibri" w:hAnsi="Calibri"/>
                <w:b/>
                <w:color w:val="31849B"/>
                <w:sz w:val="16"/>
                <w:szCs w:val="16"/>
              </w:rPr>
            </w:pPr>
          </w:p>
          <w:p w14:paraId="3A93BCCF" w14:textId="77777777" w:rsidR="00094793" w:rsidRPr="00094793" w:rsidRDefault="00094793" w:rsidP="00094793">
            <w:pPr>
              <w:rPr>
                <w:rFonts w:ascii="Calibri" w:eastAsia="Calibri" w:hAnsi="Calibri"/>
                <w:b/>
                <w:color w:val="31849B"/>
                <w:sz w:val="16"/>
                <w:szCs w:val="16"/>
              </w:rPr>
            </w:pPr>
          </w:p>
          <w:p w14:paraId="50BF2B4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Cette deuxième branche est rejetée parce que la loi générale sur les télécommunications, conformément à la CCEE, ne prévoit pas que l’État assume ces coûts et impose à l’opérateur une obligation à cet égard.</w:t>
            </w:r>
          </w:p>
          <w:p w14:paraId="50EB8FEA" w14:textId="77777777" w:rsidR="00094793" w:rsidRPr="00094793" w:rsidRDefault="00094793" w:rsidP="00094793">
            <w:pPr>
              <w:rPr>
                <w:rFonts w:ascii="Calibri" w:eastAsia="Calibri" w:hAnsi="Calibri"/>
                <w:b/>
                <w:color w:val="31849B"/>
                <w:sz w:val="16"/>
                <w:szCs w:val="16"/>
              </w:rPr>
            </w:pPr>
          </w:p>
          <w:p w14:paraId="77FCF765" w14:textId="7D8DB3E7" w:rsidR="00094793" w:rsidRDefault="00094793" w:rsidP="00094793">
            <w:pPr>
              <w:rPr>
                <w:rFonts w:ascii="Calibri" w:eastAsia="Calibri" w:hAnsi="Calibri"/>
                <w:b/>
                <w:color w:val="31849B"/>
                <w:sz w:val="16"/>
                <w:szCs w:val="16"/>
              </w:rPr>
            </w:pPr>
          </w:p>
          <w:p w14:paraId="403BB202" w14:textId="4D28D1C4" w:rsidR="00852846" w:rsidRDefault="00852846" w:rsidP="00094793">
            <w:pPr>
              <w:rPr>
                <w:rFonts w:ascii="Calibri" w:eastAsia="Calibri" w:hAnsi="Calibri"/>
                <w:b/>
                <w:color w:val="31849B"/>
                <w:sz w:val="16"/>
                <w:szCs w:val="16"/>
              </w:rPr>
            </w:pPr>
          </w:p>
          <w:p w14:paraId="32041A48" w14:textId="77777777" w:rsidR="00852846" w:rsidRPr="00094793" w:rsidRDefault="00852846" w:rsidP="00094793">
            <w:pPr>
              <w:rPr>
                <w:rFonts w:ascii="Calibri" w:eastAsia="Calibri" w:hAnsi="Calibri"/>
                <w:b/>
                <w:color w:val="31849B"/>
                <w:sz w:val="16"/>
                <w:szCs w:val="16"/>
              </w:rPr>
            </w:pPr>
          </w:p>
          <w:p w14:paraId="3EABD367"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lastRenderedPageBreak/>
              <w:t>Ceci n’est pas accepté: L’article 74, paragraphe 3, de la loi générale sur les télécommunications exige cette mise en œuvre.</w:t>
            </w:r>
          </w:p>
          <w:p w14:paraId="60D9FE0B" w14:textId="77777777" w:rsidR="00094793" w:rsidRPr="00094793" w:rsidRDefault="00094793" w:rsidP="00094793">
            <w:pPr>
              <w:rPr>
                <w:rFonts w:ascii="Calibri" w:eastAsia="Calibri" w:hAnsi="Calibri"/>
                <w:b/>
                <w:color w:val="31849B"/>
                <w:sz w:val="16"/>
                <w:szCs w:val="16"/>
              </w:rPr>
            </w:pPr>
          </w:p>
          <w:p w14:paraId="25F3CDDB" w14:textId="77777777" w:rsidR="00094793" w:rsidRPr="00094793" w:rsidRDefault="00094793" w:rsidP="00094793">
            <w:pPr>
              <w:rPr>
                <w:rFonts w:ascii="Calibri" w:eastAsia="Calibri" w:hAnsi="Calibri"/>
                <w:b/>
                <w:sz w:val="16"/>
                <w:szCs w:val="16"/>
              </w:rPr>
            </w:pPr>
            <w:r>
              <w:rPr>
                <w:rFonts w:ascii="Calibri" w:hAnsi="Calibri"/>
                <w:b/>
                <w:color w:val="31849B"/>
                <w:sz w:val="16"/>
              </w:rPr>
              <w:t>Ceci n’est pas accepté, en prévision du rapport CNMC et de toutes les garanties de participation du public et d’audition découlant d’un règlement. Ainsi, les contraintes susmentionnées doivent naturellement être prises en compte.</w:t>
            </w:r>
          </w:p>
        </w:tc>
      </w:tr>
      <w:tr w:rsidR="00094793" w:rsidRPr="00094793" w14:paraId="4B2210DA" w14:textId="77777777" w:rsidTr="00852846">
        <w:tc>
          <w:tcPr>
            <w:tcW w:w="1380" w:type="dxa"/>
            <w:shd w:val="clear" w:color="auto" w:fill="9BBB59"/>
          </w:tcPr>
          <w:p w14:paraId="7B622232" w14:textId="77777777" w:rsidR="00094793" w:rsidRPr="00094793" w:rsidRDefault="00094793" w:rsidP="00094793">
            <w:pPr>
              <w:rPr>
                <w:rFonts w:ascii="Calibri" w:eastAsia="Calibri" w:hAnsi="Calibri"/>
                <w:b/>
                <w:sz w:val="16"/>
                <w:szCs w:val="16"/>
              </w:rPr>
            </w:pPr>
            <w:r>
              <w:rPr>
                <w:rFonts w:ascii="Calibri" w:hAnsi="Calibri"/>
                <w:b/>
                <w:sz w:val="16"/>
              </w:rPr>
              <w:lastRenderedPageBreak/>
              <w:t>VODAFONE</w:t>
            </w:r>
          </w:p>
          <w:p w14:paraId="7EC6CE79" w14:textId="77777777" w:rsidR="00094793" w:rsidRPr="00094793" w:rsidRDefault="00094793" w:rsidP="00094793">
            <w:pPr>
              <w:rPr>
                <w:rFonts w:ascii="Calibri" w:eastAsia="Calibri" w:hAnsi="Calibri"/>
              </w:rPr>
            </w:pPr>
            <w:r>
              <w:rPr>
                <w:rFonts w:ascii="Calibri" w:hAnsi="Calibri"/>
                <w:sz w:val="16"/>
              </w:rPr>
              <w:t xml:space="preserve">(actuellement, l’opérateur qui a remporté l’appel d’offres pour la gestion centralisée des services mobiles dans la fonction publique, ne prévoyait pas de SMS </w:t>
            </w:r>
            <w:r>
              <w:rPr>
                <w:rFonts w:ascii="Calibri" w:hAnsi="Calibri"/>
                <w:sz w:val="16"/>
                <w:u w:val="single"/>
              </w:rPr>
              <w:t>associé à la gestion des services d'urgence 112</w:t>
            </w:r>
            <w:r>
              <w:rPr>
                <w:rFonts w:ascii="Calibri" w:hAnsi="Calibri"/>
                <w:sz w:val="16"/>
              </w:rPr>
              <w:t>)</w:t>
            </w:r>
          </w:p>
        </w:tc>
        <w:tc>
          <w:tcPr>
            <w:tcW w:w="6715" w:type="dxa"/>
          </w:tcPr>
          <w:p w14:paraId="2BEBF0F8"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Vodafone ne peut pas couvrir les coûts d’interconnexion des SMS envoyés par d’autres opérateurs:</w:t>
            </w:r>
          </w:p>
          <w:p w14:paraId="15881B0F"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 cadre contractuel commercial ne peut être modifié unilatéralement par une décision réglementaire modifiant les prix d’interconnexion des SMS envoyés par les opérateurs.</w:t>
            </w:r>
          </w:p>
          <w:p w14:paraId="2182D46F"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Si les opérateurs d’accès ne couvrent pas les coûts d’interconnexion des messages SMS associés à l’AML, le texte devrait expressément indiquer que les entités du service d’urgence 112 couvriront ces coûts.</w:t>
            </w:r>
          </w:p>
          <w:p w14:paraId="331C72D4" w14:textId="1E0CB60E"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À titre de solution alternative à cette situation (gestion SMS par fonctionnalité AML non couverte par l’appel d’offres), elle propose que l’interconnexion des messages SMS AML soit soumise aux mêmes conditions pour tout service SMS pendant une période de 4 ans après l’adoption du décret. Après cette période, il serait gratuit pour les utilisateurs ainsi que pour l’interconnexion. Le futur appel d’offres pour les services mobiles pour la fonction publique indiquera que les paiements d’interconnexion ne s’appliquent pas entre les opérateurs pour les messages SMS AML.</w:t>
            </w:r>
          </w:p>
          <w:p w14:paraId="656DF3F3" w14:textId="77777777" w:rsidR="00094793" w:rsidRPr="00094793" w:rsidRDefault="00094793" w:rsidP="00094793">
            <w:pPr>
              <w:ind w:left="720"/>
              <w:contextualSpacing/>
              <w:jc w:val="both"/>
              <w:rPr>
                <w:rFonts w:ascii="Calibri" w:eastAsia="Calibri" w:hAnsi="Calibri"/>
                <w:sz w:val="16"/>
                <w:szCs w:val="16"/>
              </w:rPr>
            </w:pPr>
          </w:p>
        </w:tc>
        <w:tc>
          <w:tcPr>
            <w:tcW w:w="1965" w:type="dxa"/>
          </w:tcPr>
          <w:p w14:paraId="46348F50"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Cela n’est pas accepté parce que l’acte générale sur les télécommunications, conformément à la CCEE, ne prévoit pas que l’État assume ces coûts et impose une obligation à l’opérateur pour ces coûts.</w:t>
            </w:r>
          </w:p>
          <w:p w14:paraId="696AC853" w14:textId="77777777" w:rsidR="00094793" w:rsidRPr="00094793" w:rsidRDefault="00094793" w:rsidP="00094793">
            <w:pPr>
              <w:rPr>
                <w:rFonts w:ascii="Calibri" w:eastAsia="Calibri" w:hAnsi="Calibri"/>
                <w:b/>
                <w:color w:val="31849B"/>
                <w:sz w:val="16"/>
                <w:szCs w:val="16"/>
              </w:rPr>
            </w:pPr>
          </w:p>
          <w:p w14:paraId="4094174E" w14:textId="77777777" w:rsidR="00094793" w:rsidRPr="00094793" w:rsidRDefault="00094793" w:rsidP="00094793">
            <w:pPr>
              <w:rPr>
                <w:rFonts w:ascii="Calibri" w:eastAsia="Calibri" w:hAnsi="Calibri"/>
                <w:b/>
                <w:color w:val="31849B"/>
                <w:sz w:val="16"/>
                <w:szCs w:val="16"/>
              </w:rPr>
            </w:pPr>
          </w:p>
          <w:p w14:paraId="0C4EEE8B" w14:textId="77777777" w:rsidR="00094793" w:rsidRPr="00094793" w:rsidRDefault="00094793" w:rsidP="00094793">
            <w:pPr>
              <w:rPr>
                <w:rFonts w:ascii="Calibri" w:eastAsia="Calibri" w:hAnsi="Calibri"/>
              </w:rPr>
            </w:pPr>
          </w:p>
        </w:tc>
      </w:tr>
      <w:tr w:rsidR="00094793" w:rsidRPr="00094793" w14:paraId="71A47341" w14:textId="77777777" w:rsidTr="00852846">
        <w:tc>
          <w:tcPr>
            <w:tcW w:w="1380" w:type="dxa"/>
            <w:shd w:val="clear" w:color="auto" w:fill="F79646"/>
          </w:tcPr>
          <w:p w14:paraId="74ED6A89" w14:textId="77777777" w:rsidR="00094793" w:rsidRPr="00094793" w:rsidRDefault="00094793" w:rsidP="00094793">
            <w:pPr>
              <w:rPr>
                <w:rFonts w:ascii="Calibri" w:eastAsia="Calibri" w:hAnsi="Calibri"/>
              </w:rPr>
            </w:pPr>
            <w:r>
              <w:rPr>
                <w:rFonts w:ascii="Calibri" w:hAnsi="Calibri"/>
                <w:b/>
                <w:sz w:val="16"/>
              </w:rPr>
              <w:t>ORANGE</w:t>
            </w:r>
          </w:p>
        </w:tc>
        <w:tc>
          <w:tcPr>
            <w:tcW w:w="6715" w:type="dxa"/>
          </w:tcPr>
          <w:p w14:paraId="531D06D3" w14:textId="68B0F340"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 décret devrait expressément exempter les opérateurs de couvrir les coûts de résiliation ou de livraison des messages SMS AML. Par conséquent, ils proposent une formulation alternative pour l’article 12, paragraphe 3.</w:t>
            </w:r>
          </w:p>
          <w:p w14:paraId="1B9BACA3" w14:textId="77777777" w:rsidR="00094793" w:rsidRPr="00094793" w:rsidRDefault="00094793" w:rsidP="00094793">
            <w:pPr>
              <w:ind w:left="720"/>
              <w:contextualSpacing/>
              <w:jc w:val="both"/>
              <w:rPr>
                <w:rFonts w:ascii="Calibri" w:eastAsia="Calibri" w:hAnsi="Calibri"/>
                <w:sz w:val="16"/>
                <w:szCs w:val="16"/>
              </w:rPr>
            </w:pPr>
          </w:p>
          <w:p w14:paraId="3E3AB6D7" w14:textId="77777777" w:rsidR="00094793" w:rsidRPr="00094793" w:rsidRDefault="00094793" w:rsidP="00094793">
            <w:pPr>
              <w:ind w:left="720"/>
              <w:contextualSpacing/>
              <w:jc w:val="both"/>
              <w:rPr>
                <w:rFonts w:ascii="Calibri" w:eastAsia="Calibri" w:hAnsi="Calibri"/>
                <w:sz w:val="16"/>
                <w:szCs w:val="16"/>
              </w:rPr>
            </w:pPr>
          </w:p>
          <w:p w14:paraId="6D8536D6" w14:textId="77777777" w:rsidR="00094793" w:rsidRPr="00094793" w:rsidRDefault="00094793" w:rsidP="00094793">
            <w:pPr>
              <w:ind w:left="720"/>
              <w:contextualSpacing/>
              <w:jc w:val="both"/>
              <w:rPr>
                <w:rFonts w:ascii="Calibri" w:eastAsia="Calibri" w:hAnsi="Calibri"/>
                <w:sz w:val="16"/>
                <w:szCs w:val="16"/>
              </w:rPr>
            </w:pPr>
          </w:p>
          <w:p w14:paraId="2A959CB1" w14:textId="4F8CA0DA" w:rsidR="00094793" w:rsidRDefault="00094793" w:rsidP="00094793">
            <w:pPr>
              <w:ind w:left="720"/>
              <w:contextualSpacing/>
              <w:jc w:val="both"/>
              <w:rPr>
                <w:rFonts w:ascii="Calibri" w:eastAsia="Calibri" w:hAnsi="Calibri"/>
                <w:sz w:val="16"/>
                <w:szCs w:val="16"/>
              </w:rPr>
            </w:pPr>
          </w:p>
          <w:p w14:paraId="6103A81B" w14:textId="6454F6A3" w:rsidR="00D55393" w:rsidRDefault="00D55393" w:rsidP="00094793">
            <w:pPr>
              <w:ind w:left="720"/>
              <w:contextualSpacing/>
              <w:jc w:val="both"/>
              <w:rPr>
                <w:rFonts w:ascii="Calibri" w:eastAsia="Calibri" w:hAnsi="Calibri"/>
                <w:sz w:val="16"/>
                <w:szCs w:val="16"/>
              </w:rPr>
            </w:pPr>
          </w:p>
          <w:p w14:paraId="2A86BB76" w14:textId="77777777" w:rsidR="00D55393" w:rsidRPr="00094793" w:rsidRDefault="00D55393" w:rsidP="00094793">
            <w:pPr>
              <w:ind w:left="720"/>
              <w:contextualSpacing/>
              <w:jc w:val="both"/>
              <w:rPr>
                <w:rFonts w:ascii="Calibri" w:eastAsia="Calibri" w:hAnsi="Calibri"/>
                <w:sz w:val="16"/>
                <w:szCs w:val="16"/>
              </w:rPr>
            </w:pPr>
          </w:p>
          <w:p w14:paraId="48A8E9F9" w14:textId="77777777" w:rsidR="00094793" w:rsidRPr="00094793" w:rsidRDefault="00094793" w:rsidP="00094793">
            <w:pPr>
              <w:ind w:left="720"/>
              <w:contextualSpacing/>
              <w:jc w:val="both"/>
              <w:rPr>
                <w:rFonts w:ascii="Calibri" w:eastAsia="Calibri" w:hAnsi="Calibri"/>
                <w:sz w:val="16"/>
                <w:szCs w:val="16"/>
              </w:rPr>
            </w:pPr>
          </w:p>
          <w:p w14:paraId="1324CDBA" w14:textId="77777777" w:rsidR="00094793" w:rsidRPr="00094793" w:rsidRDefault="00094793" w:rsidP="00094793">
            <w:pPr>
              <w:ind w:left="720"/>
              <w:contextualSpacing/>
              <w:jc w:val="both"/>
              <w:rPr>
                <w:rFonts w:ascii="Calibri" w:eastAsia="Calibri" w:hAnsi="Calibri"/>
                <w:sz w:val="16"/>
                <w:szCs w:val="16"/>
              </w:rPr>
            </w:pPr>
          </w:p>
          <w:p w14:paraId="05F50B00" w14:textId="77777777" w:rsidR="00094793" w:rsidRPr="00094793" w:rsidRDefault="00094793" w:rsidP="00094793">
            <w:pPr>
              <w:ind w:left="720"/>
              <w:contextualSpacing/>
              <w:jc w:val="both"/>
              <w:rPr>
                <w:rFonts w:ascii="Calibri" w:eastAsia="Calibri" w:hAnsi="Calibri"/>
                <w:sz w:val="16"/>
                <w:szCs w:val="16"/>
              </w:rPr>
            </w:pPr>
          </w:p>
          <w:p w14:paraId="24B3BBD8"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Ils proposent d’inclure des nuances pour le CEEC dans la définition du «service de communications interpersonnelles fondés sur le numéro».</w:t>
            </w:r>
          </w:p>
        </w:tc>
        <w:tc>
          <w:tcPr>
            <w:tcW w:w="1965" w:type="dxa"/>
          </w:tcPr>
          <w:p w14:paraId="1E3A13D4"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Cela n’est pas accepté parce que l’acte générale sur les télécommunications, conformément à la CCEE, ne prévoit pas que l’État assume ces coûts et impose une obligation à l’opérateur pour ces coûts.</w:t>
            </w:r>
          </w:p>
          <w:p w14:paraId="351774FF" w14:textId="77777777" w:rsidR="00094793" w:rsidRPr="00094793" w:rsidRDefault="00094793" w:rsidP="00094793">
            <w:pPr>
              <w:rPr>
                <w:rFonts w:ascii="Calibri" w:eastAsia="Calibri" w:hAnsi="Calibri"/>
                <w:b/>
                <w:color w:val="31849B"/>
                <w:sz w:val="16"/>
                <w:szCs w:val="16"/>
              </w:rPr>
            </w:pPr>
          </w:p>
          <w:p w14:paraId="5FF03154" w14:textId="77777777" w:rsidR="00094793" w:rsidRPr="00094793" w:rsidRDefault="00094793" w:rsidP="00094793">
            <w:pPr>
              <w:rPr>
                <w:rFonts w:ascii="Calibri" w:eastAsia="Calibri" w:hAnsi="Calibri"/>
                <w:b/>
                <w:color w:val="31849B"/>
                <w:sz w:val="16"/>
                <w:szCs w:val="16"/>
              </w:rPr>
            </w:pPr>
          </w:p>
          <w:p w14:paraId="1CA1436D" w14:textId="77777777" w:rsidR="00094793" w:rsidRPr="00094793" w:rsidRDefault="00094793" w:rsidP="00094793">
            <w:pPr>
              <w:rPr>
                <w:rFonts w:ascii="Calibri" w:eastAsia="Calibri" w:hAnsi="Calibri"/>
              </w:rPr>
            </w:pPr>
            <w:r>
              <w:rPr>
                <w:rFonts w:ascii="Calibri" w:hAnsi="Calibri"/>
                <w:b/>
                <w:color w:val="31849B"/>
                <w:sz w:val="16"/>
              </w:rPr>
              <w:t>Cela n’est pas accepté; cette définition va au-delà du champ d’application du présent décret.</w:t>
            </w:r>
          </w:p>
        </w:tc>
      </w:tr>
      <w:tr w:rsidR="00094793" w:rsidRPr="00094793" w14:paraId="781FB248" w14:textId="77777777" w:rsidTr="00852846">
        <w:tc>
          <w:tcPr>
            <w:tcW w:w="1380" w:type="dxa"/>
            <w:shd w:val="clear" w:color="auto" w:fill="9BBB59"/>
          </w:tcPr>
          <w:p w14:paraId="4CE66977" w14:textId="77777777" w:rsidR="00094793" w:rsidRPr="00094793" w:rsidRDefault="00094793" w:rsidP="00094793">
            <w:pPr>
              <w:rPr>
                <w:rFonts w:ascii="Calibri" w:eastAsia="Calibri" w:hAnsi="Calibri"/>
              </w:rPr>
            </w:pPr>
            <w:r>
              <w:rPr>
                <w:rFonts w:ascii="Calibri" w:hAnsi="Calibri"/>
                <w:b/>
                <w:sz w:val="16"/>
              </w:rPr>
              <w:t>TELEFONICA</w:t>
            </w:r>
          </w:p>
        </w:tc>
        <w:tc>
          <w:tcPr>
            <w:tcW w:w="6715" w:type="dxa"/>
          </w:tcPr>
          <w:p w14:paraId="3E68E6F4"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 ministère devrait promouvoir le contact avec tous les fabricants et exiger que les terminaux mobiles vendus en Espagne soient équipés d’AML (seul le fabricant peut l’activer).</w:t>
            </w:r>
          </w:p>
          <w:p w14:paraId="5970E79F" w14:textId="77777777" w:rsidR="00094793" w:rsidRPr="00094793" w:rsidRDefault="00094793" w:rsidP="00094793">
            <w:pPr>
              <w:ind w:left="720"/>
              <w:contextualSpacing/>
              <w:jc w:val="both"/>
              <w:rPr>
                <w:rFonts w:ascii="Calibri" w:eastAsia="Calibri" w:hAnsi="Calibri"/>
                <w:sz w:val="16"/>
                <w:szCs w:val="16"/>
              </w:rPr>
            </w:pPr>
          </w:p>
          <w:p w14:paraId="5B729574" w14:textId="77777777" w:rsidR="00094793" w:rsidRPr="00094793" w:rsidRDefault="00094793" w:rsidP="00094793">
            <w:pPr>
              <w:ind w:left="720"/>
              <w:contextualSpacing/>
              <w:jc w:val="both"/>
              <w:rPr>
                <w:rFonts w:ascii="Calibri" w:eastAsia="Calibri" w:hAnsi="Calibri"/>
                <w:sz w:val="16"/>
                <w:szCs w:val="16"/>
              </w:rPr>
            </w:pPr>
          </w:p>
          <w:p w14:paraId="55DC630C" w14:textId="6270F9F8" w:rsidR="00094793" w:rsidRDefault="00094793" w:rsidP="00094793">
            <w:pPr>
              <w:ind w:left="720"/>
              <w:contextualSpacing/>
              <w:jc w:val="both"/>
              <w:rPr>
                <w:rFonts w:ascii="Calibri" w:eastAsia="Calibri" w:hAnsi="Calibri"/>
                <w:sz w:val="16"/>
                <w:szCs w:val="16"/>
              </w:rPr>
            </w:pPr>
          </w:p>
          <w:p w14:paraId="233299AE" w14:textId="77777777" w:rsidR="00852846" w:rsidRPr="00094793" w:rsidRDefault="00852846" w:rsidP="00094793">
            <w:pPr>
              <w:ind w:left="720"/>
              <w:contextualSpacing/>
              <w:jc w:val="both"/>
              <w:rPr>
                <w:rFonts w:ascii="Calibri" w:eastAsia="Calibri" w:hAnsi="Calibri"/>
                <w:sz w:val="16"/>
                <w:szCs w:val="16"/>
              </w:rPr>
            </w:pPr>
          </w:p>
          <w:p w14:paraId="02D0B062"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Il existe également des terminaux «légers» qui sont techniquement capables d’envoyer un emplacement AML.</w:t>
            </w:r>
          </w:p>
          <w:p w14:paraId="1B0B5E18" w14:textId="77777777" w:rsidR="00094793" w:rsidRPr="00094793" w:rsidRDefault="00094793" w:rsidP="00094793">
            <w:pPr>
              <w:ind w:left="720"/>
              <w:contextualSpacing/>
              <w:rPr>
                <w:rFonts w:ascii="Calibri" w:eastAsia="Calibri" w:hAnsi="Calibri"/>
                <w:sz w:val="16"/>
                <w:szCs w:val="16"/>
              </w:rPr>
            </w:pPr>
          </w:p>
          <w:p w14:paraId="1E2584EE" w14:textId="77777777" w:rsidR="00094793" w:rsidRPr="00094793" w:rsidRDefault="00094793" w:rsidP="00094793">
            <w:pPr>
              <w:ind w:left="720"/>
              <w:contextualSpacing/>
              <w:jc w:val="both"/>
              <w:rPr>
                <w:rFonts w:ascii="Calibri" w:eastAsia="Calibri" w:hAnsi="Calibri"/>
                <w:sz w:val="16"/>
                <w:szCs w:val="16"/>
              </w:rPr>
            </w:pPr>
          </w:p>
          <w:p w14:paraId="080E0119" w14:textId="673E61FB" w:rsidR="00094793" w:rsidRDefault="00094793" w:rsidP="00094793">
            <w:pPr>
              <w:ind w:left="720"/>
              <w:contextualSpacing/>
              <w:jc w:val="both"/>
              <w:rPr>
                <w:rFonts w:ascii="Calibri" w:eastAsia="Calibri" w:hAnsi="Calibri"/>
                <w:sz w:val="16"/>
                <w:szCs w:val="16"/>
              </w:rPr>
            </w:pPr>
          </w:p>
          <w:p w14:paraId="5F41B5BF" w14:textId="77777777" w:rsidR="00852846" w:rsidRPr="00094793" w:rsidRDefault="00852846" w:rsidP="00094793">
            <w:pPr>
              <w:ind w:left="720"/>
              <w:contextualSpacing/>
              <w:jc w:val="both"/>
              <w:rPr>
                <w:rFonts w:ascii="Calibri" w:eastAsia="Calibri" w:hAnsi="Calibri"/>
                <w:sz w:val="16"/>
                <w:szCs w:val="16"/>
              </w:rPr>
            </w:pPr>
          </w:p>
          <w:p w14:paraId="1C4CD5B4" w14:textId="77777777" w:rsidR="00094793" w:rsidRPr="00094793" w:rsidRDefault="00094793" w:rsidP="00094793">
            <w:pPr>
              <w:ind w:left="720"/>
              <w:contextualSpacing/>
              <w:jc w:val="both"/>
              <w:rPr>
                <w:rFonts w:ascii="Calibri" w:eastAsia="Calibri" w:hAnsi="Calibri"/>
                <w:sz w:val="16"/>
                <w:szCs w:val="16"/>
              </w:rPr>
            </w:pPr>
          </w:p>
          <w:p w14:paraId="4AAF2804" w14:textId="77777777" w:rsidR="00094793" w:rsidRPr="00094793" w:rsidRDefault="00094793" w:rsidP="00094793">
            <w:pPr>
              <w:ind w:left="720"/>
              <w:contextualSpacing/>
              <w:jc w:val="both"/>
              <w:rPr>
                <w:rFonts w:ascii="Calibri" w:eastAsia="Calibri" w:hAnsi="Calibri"/>
                <w:sz w:val="16"/>
                <w:szCs w:val="16"/>
              </w:rPr>
            </w:pPr>
          </w:p>
          <w:p w14:paraId="3C9F0230" w14:textId="61426A5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Les MVNO qui ont leur propre centre de SMS doivent apporter les modifications nécessaires à leur facturation pour que cela soit gratuit pour leurs clients.</w:t>
            </w:r>
          </w:p>
          <w:p w14:paraId="3B23B205" w14:textId="76E638E0" w:rsidR="00094793" w:rsidRDefault="00094793" w:rsidP="00094793">
            <w:pPr>
              <w:ind w:left="720"/>
              <w:contextualSpacing/>
              <w:jc w:val="both"/>
              <w:rPr>
                <w:rFonts w:ascii="Calibri" w:eastAsia="Calibri" w:hAnsi="Calibri"/>
                <w:sz w:val="16"/>
                <w:szCs w:val="16"/>
              </w:rPr>
            </w:pPr>
          </w:p>
          <w:p w14:paraId="7920D711" w14:textId="7BE7A461" w:rsidR="00852846" w:rsidRDefault="00852846" w:rsidP="00094793">
            <w:pPr>
              <w:ind w:left="720"/>
              <w:contextualSpacing/>
              <w:jc w:val="both"/>
              <w:rPr>
                <w:rFonts w:ascii="Calibri" w:eastAsia="Calibri" w:hAnsi="Calibri"/>
                <w:sz w:val="16"/>
                <w:szCs w:val="16"/>
              </w:rPr>
            </w:pPr>
          </w:p>
          <w:p w14:paraId="009A0B2A" w14:textId="30AAE95B" w:rsidR="00852846" w:rsidRDefault="00852846" w:rsidP="00094793">
            <w:pPr>
              <w:ind w:left="720"/>
              <w:contextualSpacing/>
              <w:jc w:val="both"/>
              <w:rPr>
                <w:rFonts w:ascii="Calibri" w:eastAsia="Calibri" w:hAnsi="Calibri"/>
                <w:sz w:val="16"/>
                <w:szCs w:val="16"/>
              </w:rPr>
            </w:pPr>
          </w:p>
          <w:p w14:paraId="27C70A26" w14:textId="77777777" w:rsidR="00852846" w:rsidRPr="00094793" w:rsidRDefault="00852846" w:rsidP="00094793">
            <w:pPr>
              <w:ind w:left="720"/>
              <w:contextualSpacing/>
              <w:jc w:val="both"/>
              <w:rPr>
                <w:rFonts w:ascii="Calibri" w:eastAsia="Calibri" w:hAnsi="Calibri"/>
                <w:sz w:val="16"/>
                <w:szCs w:val="16"/>
              </w:rPr>
            </w:pPr>
          </w:p>
          <w:p w14:paraId="637147B3"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L’exploitant qui gère actuellement les SMS pour la fonction publique ne devrait pas facturer les frais de résiliation ou de livraison à l’autre opérateur.</w:t>
            </w:r>
          </w:p>
          <w:p w14:paraId="0BD88EB9" w14:textId="77777777" w:rsidR="00094793" w:rsidRPr="00094793" w:rsidRDefault="00094793" w:rsidP="00094793">
            <w:pPr>
              <w:ind w:left="720"/>
              <w:contextualSpacing/>
              <w:rPr>
                <w:rFonts w:ascii="Calibri" w:eastAsia="Calibri" w:hAnsi="Calibri"/>
                <w:sz w:val="16"/>
                <w:szCs w:val="16"/>
              </w:rPr>
            </w:pPr>
          </w:p>
          <w:p w14:paraId="0DE809E1" w14:textId="77777777" w:rsidR="00094793" w:rsidRPr="00094793" w:rsidRDefault="00094793" w:rsidP="00094793">
            <w:pPr>
              <w:ind w:left="720"/>
              <w:contextualSpacing/>
              <w:jc w:val="both"/>
              <w:rPr>
                <w:rFonts w:ascii="Calibri" w:eastAsia="Calibri" w:hAnsi="Calibri"/>
                <w:sz w:val="16"/>
                <w:szCs w:val="16"/>
              </w:rPr>
            </w:pPr>
          </w:p>
          <w:p w14:paraId="19CFB8D5" w14:textId="6770D8FB" w:rsidR="00094793" w:rsidRPr="00094793" w:rsidRDefault="00094793" w:rsidP="006E376E">
            <w:pPr>
              <w:numPr>
                <w:ilvl w:val="0"/>
                <w:numId w:val="14"/>
              </w:numPr>
              <w:contextualSpacing/>
              <w:jc w:val="both"/>
              <w:rPr>
                <w:rFonts w:ascii="Calibri" w:eastAsia="Calibri" w:hAnsi="Calibri"/>
                <w:sz w:val="16"/>
                <w:szCs w:val="16"/>
              </w:rPr>
            </w:pPr>
            <w:proofErr w:type="spellStart"/>
            <w:r>
              <w:rPr>
                <w:rFonts w:ascii="Calibri" w:hAnsi="Calibri"/>
                <w:sz w:val="16"/>
              </w:rPr>
              <w:t>Telefónica</w:t>
            </w:r>
            <w:proofErr w:type="spellEnd"/>
            <w:r>
              <w:rPr>
                <w:rFonts w:ascii="Calibri" w:hAnsi="Calibri"/>
                <w:sz w:val="16"/>
              </w:rPr>
              <w:t xml:space="preserve"> a développé la technologie RCS qui permet des communications non vocales avec les centres d’urgence. Il serait très utile de fournir aux PSAP cette technologie.</w:t>
            </w:r>
          </w:p>
          <w:p w14:paraId="50F290C7" w14:textId="77777777" w:rsidR="00094793" w:rsidRPr="00094793" w:rsidRDefault="00094793" w:rsidP="00094793">
            <w:pPr>
              <w:ind w:left="720"/>
              <w:contextualSpacing/>
              <w:jc w:val="both"/>
              <w:rPr>
                <w:rFonts w:ascii="Calibri" w:eastAsia="Calibri" w:hAnsi="Calibri"/>
                <w:sz w:val="16"/>
                <w:szCs w:val="16"/>
              </w:rPr>
            </w:pPr>
          </w:p>
          <w:p w14:paraId="04A9147D" w14:textId="77777777" w:rsidR="00094793" w:rsidRPr="00094793" w:rsidRDefault="00094793" w:rsidP="00094793">
            <w:pPr>
              <w:ind w:left="720"/>
              <w:contextualSpacing/>
              <w:jc w:val="both"/>
              <w:rPr>
                <w:rFonts w:ascii="Calibri" w:eastAsia="Calibri" w:hAnsi="Calibri"/>
                <w:sz w:val="16"/>
                <w:szCs w:val="16"/>
              </w:rPr>
            </w:pPr>
          </w:p>
          <w:p w14:paraId="6583ABFE" w14:textId="6F410340"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 xml:space="preserve">Application pour l’accessibilité sur l’ensemble du territoire national: </w:t>
            </w:r>
            <w:proofErr w:type="spellStart"/>
            <w:r>
              <w:rPr>
                <w:rFonts w:ascii="Calibri" w:hAnsi="Calibri"/>
                <w:sz w:val="16"/>
              </w:rPr>
              <w:t>Telefónica</w:t>
            </w:r>
            <w:proofErr w:type="spellEnd"/>
            <w:r>
              <w:rPr>
                <w:rFonts w:ascii="Calibri" w:hAnsi="Calibri"/>
                <w:sz w:val="16"/>
              </w:rPr>
              <w:t xml:space="preserve"> a développé sa propre application accessible au 112 qui est disponible pour iOS et Android.</w:t>
            </w:r>
          </w:p>
        </w:tc>
        <w:tc>
          <w:tcPr>
            <w:tcW w:w="1965" w:type="dxa"/>
          </w:tcPr>
          <w:p w14:paraId="076A0C0A"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lastRenderedPageBreak/>
              <w:t>Cela est accepté, bien qu’il s’applique aux producteurs de systèmes d’exploitation et qu’il soit inclus à l’article 2, paragraphe 4.</w:t>
            </w:r>
          </w:p>
          <w:p w14:paraId="0A5C8A2B" w14:textId="77777777" w:rsidR="00094793" w:rsidRPr="00094793" w:rsidRDefault="00094793" w:rsidP="00094793">
            <w:pPr>
              <w:rPr>
                <w:rFonts w:ascii="Calibri" w:eastAsia="Calibri" w:hAnsi="Calibri"/>
                <w:b/>
                <w:color w:val="31849B"/>
                <w:sz w:val="16"/>
                <w:szCs w:val="16"/>
              </w:rPr>
            </w:pPr>
          </w:p>
          <w:p w14:paraId="1B2D3F62"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Une période de 3 mois est introduite pour éviter le placement futur sur le marché de terminaux qui ne prennent pas en charge cette fonctionnalité.</w:t>
            </w:r>
          </w:p>
          <w:p w14:paraId="31E54913" w14:textId="77777777" w:rsidR="00094793" w:rsidRPr="00094793" w:rsidRDefault="00094793" w:rsidP="00094793">
            <w:pPr>
              <w:rPr>
                <w:rFonts w:ascii="Calibri" w:eastAsia="Calibri" w:hAnsi="Calibri"/>
                <w:b/>
                <w:color w:val="31849B"/>
                <w:sz w:val="16"/>
                <w:szCs w:val="16"/>
              </w:rPr>
            </w:pPr>
          </w:p>
          <w:p w14:paraId="443139C4"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 xml:space="preserve">Il ne s’agit pas d’un commentaire, mais </w:t>
            </w:r>
            <w:r>
              <w:rPr>
                <w:rFonts w:ascii="Calibri" w:hAnsi="Calibri"/>
                <w:b/>
                <w:color w:val="31849B"/>
                <w:sz w:val="16"/>
              </w:rPr>
              <w:lastRenderedPageBreak/>
              <w:t>plutôt d’une clarification.</w:t>
            </w:r>
          </w:p>
          <w:p w14:paraId="2F81E234" w14:textId="77777777" w:rsidR="00094793" w:rsidRPr="00094793" w:rsidRDefault="00094793" w:rsidP="00094793">
            <w:pPr>
              <w:rPr>
                <w:rFonts w:ascii="Calibri" w:eastAsia="Calibri" w:hAnsi="Calibri"/>
                <w:b/>
                <w:color w:val="31849B"/>
                <w:sz w:val="16"/>
                <w:szCs w:val="16"/>
              </w:rPr>
            </w:pPr>
          </w:p>
          <w:p w14:paraId="24CFC21A"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selon les termes du commentaire similaire de la CNMC.</w:t>
            </w:r>
          </w:p>
          <w:p w14:paraId="515637C9" w14:textId="77777777" w:rsidR="00094793" w:rsidRPr="00094793" w:rsidRDefault="00094793" w:rsidP="00094793">
            <w:pPr>
              <w:rPr>
                <w:rFonts w:ascii="Calibri" w:eastAsia="Calibri" w:hAnsi="Calibri"/>
                <w:b/>
                <w:color w:val="31849B"/>
                <w:sz w:val="16"/>
                <w:szCs w:val="16"/>
              </w:rPr>
            </w:pPr>
          </w:p>
          <w:p w14:paraId="73A6F9C6" w14:textId="47B56B8B" w:rsidR="00094793" w:rsidRPr="00094793" w:rsidRDefault="00094793" w:rsidP="00094793">
            <w:pPr>
              <w:rPr>
                <w:rFonts w:ascii="Calibri" w:eastAsia="Calibri" w:hAnsi="Calibri"/>
                <w:b/>
                <w:color w:val="31849B"/>
                <w:sz w:val="16"/>
                <w:szCs w:val="16"/>
              </w:rPr>
            </w:pPr>
            <w:r>
              <w:rPr>
                <w:rFonts w:ascii="Calibri" w:hAnsi="Calibri"/>
                <w:b/>
                <w:color w:val="31849B"/>
                <w:sz w:val="16"/>
              </w:rPr>
              <w:t>Cela sera pris en compte, car il est très utile.</w:t>
            </w:r>
          </w:p>
          <w:p w14:paraId="67C92660" w14:textId="77777777" w:rsidR="00094793" w:rsidRPr="00094793" w:rsidRDefault="00094793" w:rsidP="00094793">
            <w:pPr>
              <w:rPr>
                <w:rFonts w:ascii="Calibri" w:eastAsia="Calibri" w:hAnsi="Calibri"/>
                <w:b/>
                <w:color w:val="31849B"/>
                <w:sz w:val="16"/>
                <w:szCs w:val="16"/>
              </w:rPr>
            </w:pPr>
          </w:p>
          <w:p w14:paraId="2AD21E0C" w14:textId="77777777" w:rsidR="00094793" w:rsidRPr="00094793" w:rsidRDefault="00094793" w:rsidP="00094793">
            <w:pPr>
              <w:rPr>
                <w:rFonts w:ascii="Calibri" w:eastAsia="Calibri" w:hAnsi="Calibri"/>
                <w:color w:val="31849B"/>
              </w:rPr>
            </w:pPr>
            <w:r>
              <w:rPr>
                <w:rFonts w:ascii="Calibri" w:hAnsi="Calibri"/>
                <w:b/>
                <w:color w:val="31849B"/>
                <w:sz w:val="16"/>
              </w:rPr>
              <w:t>Cela sera pris en compte, car il est très utile.</w:t>
            </w:r>
          </w:p>
          <w:p w14:paraId="2097BC4E" w14:textId="77777777" w:rsidR="00094793" w:rsidRPr="00094793" w:rsidRDefault="00094793" w:rsidP="00094793">
            <w:pPr>
              <w:rPr>
                <w:rFonts w:ascii="Calibri" w:eastAsia="Calibri" w:hAnsi="Calibri"/>
                <w:b/>
                <w:sz w:val="16"/>
                <w:szCs w:val="16"/>
              </w:rPr>
            </w:pPr>
          </w:p>
        </w:tc>
      </w:tr>
      <w:tr w:rsidR="00094793" w:rsidRPr="00094793" w14:paraId="1630BB62" w14:textId="77777777" w:rsidTr="00852846">
        <w:tc>
          <w:tcPr>
            <w:tcW w:w="1380" w:type="dxa"/>
            <w:shd w:val="clear" w:color="auto" w:fill="F79646"/>
          </w:tcPr>
          <w:p w14:paraId="73077A5A" w14:textId="77777777" w:rsidR="00094793" w:rsidRPr="00094793" w:rsidRDefault="00094793" w:rsidP="00094793">
            <w:pPr>
              <w:rPr>
                <w:rFonts w:ascii="Calibri" w:eastAsia="Calibri" w:hAnsi="Calibri"/>
              </w:rPr>
            </w:pPr>
            <w:r>
              <w:rPr>
                <w:rFonts w:ascii="Calibri" w:hAnsi="Calibri"/>
                <w:b/>
                <w:sz w:val="16"/>
              </w:rPr>
              <w:lastRenderedPageBreak/>
              <w:t xml:space="preserve">Miguel Li </w:t>
            </w:r>
            <w:proofErr w:type="spellStart"/>
            <w:r>
              <w:rPr>
                <w:rFonts w:ascii="Calibri" w:hAnsi="Calibri"/>
                <w:b/>
                <w:sz w:val="16"/>
              </w:rPr>
              <w:t>Fdez</w:t>
            </w:r>
            <w:proofErr w:type="spellEnd"/>
            <w:r>
              <w:rPr>
                <w:rFonts w:ascii="Calibri" w:hAnsi="Calibri"/>
                <w:b/>
                <w:sz w:val="16"/>
              </w:rPr>
              <w:t xml:space="preserve"> </w:t>
            </w:r>
            <w:proofErr w:type="spellStart"/>
            <w:r>
              <w:rPr>
                <w:rFonts w:ascii="Calibri" w:hAnsi="Calibri"/>
                <w:b/>
                <w:sz w:val="16"/>
              </w:rPr>
              <w:t>Fdez</w:t>
            </w:r>
            <w:proofErr w:type="spellEnd"/>
          </w:p>
        </w:tc>
        <w:tc>
          <w:tcPr>
            <w:tcW w:w="6715" w:type="dxa"/>
          </w:tcPr>
          <w:p w14:paraId="00EDB4D4"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L’Espagne devrait également mettre en œuvre des alertes Amber ainsi que d’autres alertes de masse instantanées ou des avertissements, par exemple lorsqu’un emplacement spécifique doit être évacué en quelques minutes, et pas seulement pour les avertissements météorologiques, etc.</w:t>
            </w:r>
          </w:p>
        </w:tc>
        <w:tc>
          <w:tcPr>
            <w:tcW w:w="1965" w:type="dxa"/>
          </w:tcPr>
          <w:p w14:paraId="3A3ECC4F" w14:textId="77777777" w:rsidR="00094793" w:rsidRPr="00094793" w:rsidRDefault="00094793" w:rsidP="00094793">
            <w:pPr>
              <w:rPr>
                <w:rFonts w:ascii="Calibri" w:eastAsia="Calibri" w:hAnsi="Calibri"/>
                <w:b/>
                <w:sz w:val="16"/>
                <w:szCs w:val="16"/>
              </w:rPr>
            </w:pPr>
            <w:r>
              <w:rPr>
                <w:rFonts w:ascii="Calibri" w:hAnsi="Calibri"/>
                <w:b/>
                <w:color w:val="31849B"/>
                <w:sz w:val="16"/>
              </w:rPr>
              <w:t>Ce commentaire ne relève pas de ce décret royal, mais plutôt du dispositif avertisseur de proximité.</w:t>
            </w:r>
          </w:p>
        </w:tc>
      </w:tr>
      <w:tr w:rsidR="00094793" w:rsidRPr="00094793" w14:paraId="79CDA2FE" w14:textId="77777777" w:rsidTr="00852846">
        <w:tc>
          <w:tcPr>
            <w:tcW w:w="1380" w:type="dxa"/>
            <w:shd w:val="clear" w:color="auto" w:fill="92D050"/>
          </w:tcPr>
          <w:p w14:paraId="669164E2" w14:textId="77777777" w:rsidR="00094793" w:rsidRPr="00094793" w:rsidRDefault="00094793" w:rsidP="00094793">
            <w:pPr>
              <w:rPr>
                <w:rFonts w:ascii="Calibri" w:eastAsia="Calibri" w:hAnsi="Calibri"/>
                <w:b/>
                <w:sz w:val="16"/>
                <w:szCs w:val="16"/>
              </w:rPr>
            </w:pPr>
            <w:r>
              <w:rPr>
                <w:rFonts w:ascii="Calibri" w:hAnsi="Calibri"/>
                <w:b/>
                <w:sz w:val="16"/>
              </w:rPr>
              <w:t>CNMC</w:t>
            </w:r>
          </w:p>
        </w:tc>
        <w:tc>
          <w:tcPr>
            <w:tcW w:w="6715" w:type="dxa"/>
          </w:tcPr>
          <w:p w14:paraId="72D81A79" w14:textId="21F82FC2"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Combiner la régulation de tous les numéros d’urgence en un seul texte et, pour ces numéros, évaluer: l’obligation de fournir des services gratuitement; routage gratuit; et des informations sur la localisation de l’appelant.</w:t>
            </w:r>
          </w:p>
          <w:p w14:paraId="677C9522" w14:textId="77777777" w:rsidR="00094793" w:rsidRPr="00094793" w:rsidRDefault="00094793" w:rsidP="00094793">
            <w:pPr>
              <w:jc w:val="both"/>
              <w:rPr>
                <w:rFonts w:ascii="Calibri" w:eastAsia="Calibri" w:hAnsi="Calibri"/>
                <w:sz w:val="16"/>
                <w:szCs w:val="16"/>
              </w:rPr>
            </w:pPr>
          </w:p>
          <w:p w14:paraId="013186A6" w14:textId="77777777" w:rsidR="00094793" w:rsidRPr="00094793" w:rsidRDefault="00094793" w:rsidP="00094793">
            <w:pPr>
              <w:jc w:val="both"/>
              <w:rPr>
                <w:rFonts w:ascii="Calibri" w:eastAsia="Calibri" w:hAnsi="Calibri"/>
                <w:sz w:val="16"/>
                <w:szCs w:val="16"/>
              </w:rPr>
            </w:pPr>
          </w:p>
          <w:p w14:paraId="64073B09" w14:textId="77777777" w:rsidR="00094793" w:rsidRPr="00094793" w:rsidRDefault="00094793" w:rsidP="00094793">
            <w:pPr>
              <w:jc w:val="both"/>
              <w:rPr>
                <w:rFonts w:ascii="Calibri" w:eastAsia="Calibri" w:hAnsi="Calibri"/>
                <w:sz w:val="16"/>
                <w:szCs w:val="16"/>
              </w:rPr>
            </w:pPr>
          </w:p>
          <w:p w14:paraId="0470B2F9" w14:textId="77777777" w:rsidR="00094793" w:rsidRPr="00094793" w:rsidRDefault="00094793" w:rsidP="00094793">
            <w:pPr>
              <w:jc w:val="both"/>
              <w:rPr>
                <w:rFonts w:ascii="Calibri" w:eastAsia="Calibri" w:hAnsi="Calibri"/>
                <w:sz w:val="16"/>
                <w:szCs w:val="16"/>
              </w:rPr>
            </w:pPr>
          </w:p>
          <w:p w14:paraId="728EAC35" w14:textId="737CC291" w:rsidR="00094793" w:rsidRDefault="00094793" w:rsidP="00094793">
            <w:pPr>
              <w:jc w:val="both"/>
              <w:rPr>
                <w:rFonts w:ascii="Calibri" w:eastAsia="Calibri" w:hAnsi="Calibri"/>
                <w:sz w:val="16"/>
                <w:szCs w:val="16"/>
              </w:rPr>
            </w:pPr>
          </w:p>
          <w:p w14:paraId="14413A6D" w14:textId="256B23EB" w:rsidR="00220F59" w:rsidRDefault="00220F59" w:rsidP="00094793">
            <w:pPr>
              <w:jc w:val="both"/>
              <w:rPr>
                <w:rFonts w:ascii="Calibri" w:eastAsia="Calibri" w:hAnsi="Calibri"/>
                <w:sz w:val="16"/>
                <w:szCs w:val="16"/>
              </w:rPr>
            </w:pPr>
          </w:p>
          <w:p w14:paraId="1A4DAA51" w14:textId="77777777" w:rsidR="00220F59" w:rsidRPr="00094793" w:rsidRDefault="00220F59" w:rsidP="00094793">
            <w:pPr>
              <w:jc w:val="both"/>
              <w:rPr>
                <w:rFonts w:ascii="Calibri" w:eastAsia="Calibri" w:hAnsi="Calibri"/>
                <w:sz w:val="16"/>
                <w:szCs w:val="16"/>
              </w:rPr>
            </w:pPr>
          </w:p>
          <w:p w14:paraId="66715E78" w14:textId="19DD1ABA" w:rsidR="00094793" w:rsidRDefault="00094793" w:rsidP="00094793">
            <w:pPr>
              <w:jc w:val="both"/>
              <w:rPr>
                <w:rFonts w:ascii="Calibri" w:eastAsia="Calibri" w:hAnsi="Calibri"/>
                <w:sz w:val="16"/>
                <w:szCs w:val="16"/>
              </w:rPr>
            </w:pPr>
          </w:p>
          <w:p w14:paraId="52571544" w14:textId="71D7C308" w:rsidR="00852846" w:rsidRDefault="00852846" w:rsidP="00094793">
            <w:pPr>
              <w:jc w:val="both"/>
              <w:rPr>
                <w:rFonts w:ascii="Calibri" w:eastAsia="Calibri" w:hAnsi="Calibri"/>
                <w:sz w:val="16"/>
                <w:szCs w:val="16"/>
              </w:rPr>
            </w:pPr>
          </w:p>
          <w:p w14:paraId="7D61ECA9" w14:textId="77777777" w:rsidR="00852846" w:rsidRPr="00094793" w:rsidRDefault="00852846" w:rsidP="00094793">
            <w:pPr>
              <w:jc w:val="both"/>
              <w:rPr>
                <w:rFonts w:ascii="Calibri" w:eastAsia="Calibri" w:hAnsi="Calibri"/>
                <w:sz w:val="16"/>
                <w:szCs w:val="16"/>
              </w:rPr>
            </w:pPr>
          </w:p>
          <w:p w14:paraId="26420D1E"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À l’article 9, paragraphe 5, inclure une disposition relative au pouvoir d’établir un point d’accès maximum par île.</w:t>
            </w:r>
          </w:p>
          <w:p w14:paraId="4EFE0479" w14:textId="308BA4E4" w:rsidR="00094793" w:rsidRDefault="00094793" w:rsidP="00094793">
            <w:pPr>
              <w:ind w:left="720"/>
              <w:contextualSpacing/>
              <w:jc w:val="both"/>
              <w:rPr>
                <w:rFonts w:ascii="Calibri" w:eastAsia="Calibri" w:hAnsi="Calibri"/>
                <w:sz w:val="16"/>
                <w:szCs w:val="16"/>
              </w:rPr>
            </w:pPr>
          </w:p>
          <w:p w14:paraId="784192E5" w14:textId="77777777" w:rsidR="00220F59" w:rsidRPr="00094793" w:rsidRDefault="00220F59" w:rsidP="00094793">
            <w:pPr>
              <w:ind w:left="720"/>
              <w:contextualSpacing/>
              <w:jc w:val="both"/>
              <w:rPr>
                <w:rFonts w:ascii="Calibri" w:eastAsia="Calibri" w:hAnsi="Calibri"/>
                <w:sz w:val="16"/>
                <w:szCs w:val="16"/>
              </w:rPr>
            </w:pPr>
          </w:p>
          <w:p w14:paraId="01FE883A"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Ajouter d’autres références à la mise en œuvre et à la fonctionnalité dans les articles sur l’AML, y compris une référence au règlement délégué 2019/320 de la Commission du 12 décembre 2018 en ce qui concerne l’application des exigences essentielles.</w:t>
            </w:r>
          </w:p>
          <w:p w14:paraId="1CBCCCA0" w14:textId="77777777" w:rsidR="00094793" w:rsidRPr="00094793" w:rsidRDefault="00094793" w:rsidP="00094793">
            <w:pPr>
              <w:ind w:left="720"/>
              <w:contextualSpacing/>
              <w:rPr>
                <w:rFonts w:ascii="Calibri" w:eastAsia="Calibri" w:hAnsi="Calibri"/>
                <w:sz w:val="16"/>
                <w:szCs w:val="16"/>
              </w:rPr>
            </w:pPr>
          </w:p>
          <w:p w14:paraId="1202C868" w14:textId="77777777" w:rsidR="00094793" w:rsidRPr="00094793" w:rsidRDefault="00094793" w:rsidP="00094793">
            <w:pPr>
              <w:jc w:val="both"/>
              <w:rPr>
                <w:rFonts w:ascii="Calibri" w:eastAsia="Calibri" w:hAnsi="Calibri"/>
                <w:sz w:val="16"/>
                <w:szCs w:val="16"/>
              </w:rPr>
            </w:pPr>
          </w:p>
          <w:p w14:paraId="0FCF03B1"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Évaluer les implications de l’AML en ce qui concerne le traitement des informations de localisation en matière d’AML, en veillant au respect des principes de limitation des finalités, de minimisation des données à traiter, de confidentialité et lorsque les informations de localisation devraient être définitivement supprimées.</w:t>
            </w:r>
          </w:p>
          <w:p w14:paraId="13CD62D6" w14:textId="77777777" w:rsidR="00094793" w:rsidRPr="00094793" w:rsidRDefault="00094793" w:rsidP="00094793">
            <w:pPr>
              <w:jc w:val="both"/>
              <w:rPr>
                <w:rFonts w:ascii="Calibri" w:eastAsia="Calibri" w:hAnsi="Calibri"/>
                <w:sz w:val="16"/>
                <w:szCs w:val="16"/>
              </w:rPr>
            </w:pPr>
          </w:p>
          <w:p w14:paraId="495574CC" w14:textId="46D117D4"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En ce qui concerne l’obligation de fournir des informations de localisation en itinérance, elle ne relève pas que cette obligation est gratuite pour l’appelant ou pour l’opérateur d’accès pour cet utilisateur qui reçoit le service d’itinérance de gros. Il recommande de tenir compte des dispositions de la proposition de règlement sur l’itinérance [</w:t>
            </w:r>
            <w:proofErr w:type="spellStart"/>
            <w:r>
              <w:rPr>
                <w:rFonts w:ascii="Calibri" w:hAnsi="Calibri"/>
                <w:sz w:val="16"/>
              </w:rPr>
              <w:t>Reglamento</w:t>
            </w:r>
            <w:proofErr w:type="spellEnd"/>
            <w:r>
              <w:rPr>
                <w:rFonts w:ascii="Calibri" w:hAnsi="Calibri"/>
                <w:sz w:val="16"/>
              </w:rPr>
              <w:t xml:space="preserve"> sobre </w:t>
            </w:r>
            <w:proofErr w:type="spellStart"/>
            <w:r>
              <w:rPr>
                <w:rFonts w:ascii="Calibri" w:hAnsi="Calibri"/>
                <w:sz w:val="16"/>
              </w:rPr>
              <w:t>itinerancia</w:t>
            </w:r>
            <w:proofErr w:type="spellEnd"/>
            <w:r>
              <w:rPr>
                <w:rFonts w:ascii="Calibri" w:hAnsi="Calibri"/>
                <w:sz w:val="16"/>
              </w:rPr>
              <w:t>] en ce qui concerne les services gratuits, de sorte que le projet de décret est conforme à ce futur règlement.</w:t>
            </w:r>
          </w:p>
          <w:p w14:paraId="6E6E93C4" w14:textId="77777777" w:rsidR="00094793" w:rsidRPr="00094793" w:rsidRDefault="00094793" w:rsidP="00094793">
            <w:pPr>
              <w:ind w:left="720"/>
              <w:contextualSpacing/>
              <w:rPr>
                <w:rFonts w:ascii="Calibri" w:eastAsia="Calibri" w:hAnsi="Calibri"/>
                <w:sz w:val="16"/>
                <w:szCs w:val="16"/>
              </w:rPr>
            </w:pPr>
          </w:p>
          <w:p w14:paraId="2327C85B" w14:textId="77777777" w:rsidR="00094793" w:rsidRPr="00094793" w:rsidRDefault="00094793" w:rsidP="00094793">
            <w:pPr>
              <w:jc w:val="both"/>
              <w:rPr>
                <w:rFonts w:ascii="Calibri" w:eastAsia="Calibri" w:hAnsi="Calibri"/>
                <w:sz w:val="16"/>
                <w:szCs w:val="16"/>
              </w:rPr>
            </w:pPr>
          </w:p>
          <w:p w14:paraId="483E122A" w14:textId="77777777" w:rsidR="00094793" w:rsidRPr="00094793" w:rsidRDefault="00094793" w:rsidP="00094793">
            <w:pPr>
              <w:jc w:val="both"/>
              <w:rPr>
                <w:rFonts w:ascii="Calibri" w:eastAsia="Calibri" w:hAnsi="Calibri"/>
                <w:sz w:val="16"/>
                <w:szCs w:val="16"/>
              </w:rPr>
            </w:pPr>
          </w:p>
          <w:p w14:paraId="104BBD90" w14:textId="2A2BE0A8"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 texte du décret devrait inclure le contenu de l’arrêté du 14 octobre 1999 (fourniture d’informations) et l’abroger expressément dans les dispositions abrogeant le projet de décret. Si la présente ordonnance n’est pas incorporée dans le texte, indiquez expressément qu’elle s’applique.</w:t>
            </w:r>
          </w:p>
          <w:p w14:paraId="44B3EACB" w14:textId="77777777" w:rsidR="00094793" w:rsidRPr="00094793" w:rsidRDefault="00094793" w:rsidP="00094793">
            <w:pPr>
              <w:jc w:val="both"/>
              <w:rPr>
                <w:rFonts w:ascii="Calibri" w:eastAsia="Calibri" w:hAnsi="Calibri"/>
                <w:sz w:val="16"/>
                <w:szCs w:val="16"/>
              </w:rPr>
            </w:pPr>
          </w:p>
          <w:p w14:paraId="45435167" w14:textId="77777777" w:rsidR="00094793" w:rsidRPr="00094793" w:rsidRDefault="00094793" w:rsidP="00094793">
            <w:pPr>
              <w:jc w:val="both"/>
              <w:rPr>
                <w:rFonts w:ascii="Calibri" w:eastAsia="Calibri" w:hAnsi="Calibri"/>
                <w:sz w:val="16"/>
                <w:szCs w:val="16"/>
              </w:rPr>
            </w:pPr>
          </w:p>
          <w:p w14:paraId="4296A639" w14:textId="57E7BB1B"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En outre, l’article 12 devrait inclure une référence au rôle de la CNMC dans la fourniture des données envoyées par les opérateurs pour le système de gestion des données des abonnés [SGDA], conformément à l’article 68 de l’unité distante d’abonnés.</w:t>
            </w:r>
          </w:p>
          <w:p w14:paraId="2873AF53" w14:textId="77777777" w:rsidR="00094793" w:rsidRPr="00094793" w:rsidRDefault="00094793" w:rsidP="00094793">
            <w:pPr>
              <w:jc w:val="both"/>
              <w:rPr>
                <w:rFonts w:ascii="Calibri" w:eastAsia="Calibri" w:hAnsi="Calibri"/>
                <w:sz w:val="16"/>
                <w:szCs w:val="16"/>
              </w:rPr>
            </w:pPr>
          </w:p>
          <w:p w14:paraId="7919DC17" w14:textId="30C0F8D2" w:rsidR="00094793" w:rsidRDefault="00094793" w:rsidP="00094793">
            <w:pPr>
              <w:jc w:val="both"/>
              <w:rPr>
                <w:rFonts w:ascii="Calibri" w:eastAsia="Calibri" w:hAnsi="Calibri"/>
                <w:sz w:val="16"/>
                <w:szCs w:val="16"/>
              </w:rPr>
            </w:pPr>
          </w:p>
          <w:p w14:paraId="761659A4" w14:textId="77777777" w:rsidR="00852846" w:rsidRPr="00094793" w:rsidRDefault="00852846" w:rsidP="00094793">
            <w:pPr>
              <w:jc w:val="both"/>
              <w:rPr>
                <w:rFonts w:ascii="Calibri" w:eastAsia="Calibri" w:hAnsi="Calibri"/>
                <w:sz w:val="16"/>
                <w:szCs w:val="16"/>
              </w:rPr>
            </w:pPr>
          </w:p>
          <w:p w14:paraId="701D4F7F"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lastRenderedPageBreak/>
              <w:t>Inclure le pouvoir du CNMC de régler les différends entre les exploitants et les autorités responsables des centres d’appels d’urgence, prévu dans cet arrêté.</w:t>
            </w:r>
          </w:p>
          <w:p w14:paraId="2F7F9FC4" w14:textId="77777777" w:rsidR="00094793" w:rsidRPr="00094793" w:rsidRDefault="00094793" w:rsidP="00094793">
            <w:pPr>
              <w:jc w:val="both"/>
              <w:rPr>
                <w:rFonts w:ascii="Calibri" w:eastAsia="Calibri" w:hAnsi="Calibri"/>
                <w:sz w:val="16"/>
                <w:szCs w:val="16"/>
              </w:rPr>
            </w:pPr>
          </w:p>
          <w:p w14:paraId="6221874A" w14:textId="77777777" w:rsidR="00094793" w:rsidRPr="00094793" w:rsidRDefault="00094793" w:rsidP="00094793">
            <w:pPr>
              <w:jc w:val="both"/>
              <w:rPr>
                <w:rFonts w:ascii="Calibri" w:eastAsia="Calibri" w:hAnsi="Calibri"/>
                <w:sz w:val="16"/>
                <w:szCs w:val="16"/>
              </w:rPr>
            </w:pPr>
          </w:p>
          <w:p w14:paraId="0672FA24" w14:textId="77777777" w:rsidR="00094793" w:rsidRPr="00094793" w:rsidRDefault="00094793" w:rsidP="00094793">
            <w:pPr>
              <w:jc w:val="both"/>
              <w:rPr>
                <w:rFonts w:ascii="Calibri" w:eastAsia="Calibri" w:hAnsi="Calibri"/>
                <w:sz w:val="16"/>
                <w:szCs w:val="16"/>
              </w:rPr>
            </w:pPr>
          </w:p>
          <w:p w14:paraId="03F2F25A"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Le RIAR doit inclure l’Agence espagnole de protection des données en tant qu’organisme auprès duquel demander le rapport.</w:t>
            </w:r>
          </w:p>
          <w:p w14:paraId="1A480DCF" w14:textId="77777777" w:rsidR="00094793" w:rsidRPr="00094793" w:rsidRDefault="00094793" w:rsidP="00094793">
            <w:pPr>
              <w:jc w:val="both"/>
              <w:rPr>
                <w:rFonts w:ascii="Calibri" w:eastAsia="Calibri" w:hAnsi="Calibri"/>
                <w:sz w:val="16"/>
                <w:szCs w:val="16"/>
              </w:rPr>
            </w:pPr>
          </w:p>
          <w:p w14:paraId="594690FE" w14:textId="06AD53C1" w:rsidR="00094793" w:rsidRDefault="00094793" w:rsidP="00094793">
            <w:pPr>
              <w:jc w:val="both"/>
              <w:rPr>
                <w:rFonts w:ascii="Calibri" w:eastAsia="Calibri" w:hAnsi="Calibri"/>
                <w:sz w:val="16"/>
                <w:szCs w:val="16"/>
              </w:rPr>
            </w:pPr>
          </w:p>
          <w:p w14:paraId="4272D0A1" w14:textId="77777777" w:rsidR="00220F59" w:rsidRPr="00094793" w:rsidRDefault="00220F59" w:rsidP="00094793">
            <w:pPr>
              <w:jc w:val="both"/>
              <w:rPr>
                <w:rFonts w:ascii="Calibri" w:eastAsia="Calibri" w:hAnsi="Calibri"/>
                <w:sz w:val="16"/>
                <w:szCs w:val="16"/>
              </w:rPr>
            </w:pPr>
          </w:p>
          <w:p w14:paraId="03355577" w14:textId="77777777" w:rsidR="00094793" w:rsidRPr="00094793" w:rsidRDefault="00094793" w:rsidP="00094793">
            <w:pPr>
              <w:jc w:val="both"/>
              <w:rPr>
                <w:rFonts w:ascii="Calibri" w:eastAsia="Calibri" w:hAnsi="Calibri"/>
                <w:sz w:val="16"/>
                <w:szCs w:val="16"/>
              </w:rPr>
            </w:pPr>
          </w:p>
          <w:p w14:paraId="301C6D01"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Inclure l’obligation d’envoyer au CNMC la liste des numéros des services d’urgence nationaux à soumettre à la base de données des services d’urgence E.164 de l’ORECE.</w:t>
            </w:r>
          </w:p>
          <w:p w14:paraId="4D8E90BD" w14:textId="77777777" w:rsidR="00094793" w:rsidRPr="00094793" w:rsidRDefault="00094793" w:rsidP="00094793">
            <w:pPr>
              <w:jc w:val="both"/>
              <w:rPr>
                <w:rFonts w:ascii="Calibri" w:eastAsia="Calibri" w:hAnsi="Calibri"/>
                <w:sz w:val="16"/>
                <w:szCs w:val="16"/>
              </w:rPr>
            </w:pPr>
          </w:p>
        </w:tc>
        <w:tc>
          <w:tcPr>
            <w:tcW w:w="1965" w:type="dxa"/>
          </w:tcPr>
          <w:p w14:paraId="7153772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lastRenderedPageBreak/>
              <w:t>Ceci est accepté en partie et intégré dans la première disposition supplémentaire, mais uniquement pour certains aspects de sa réglementation, et non pour les obligations de fournir des services à titre gratuit, par exemple.</w:t>
            </w:r>
          </w:p>
          <w:p w14:paraId="2A0FF55B" w14:textId="77777777" w:rsidR="00094793" w:rsidRPr="00094793" w:rsidRDefault="00094793" w:rsidP="00094793">
            <w:pPr>
              <w:rPr>
                <w:rFonts w:ascii="Calibri" w:eastAsia="Calibri" w:hAnsi="Calibri"/>
                <w:b/>
                <w:color w:val="31849B"/>
                <w:sz w:val="16"/>
                <w:szCs w:val="16"/>
              </w:rPr>
            </w:pPr>
          </w:p>
          <w:p w14:paraId="41446F36" w14:textId="77777777" w:rsidR="00094793" w:rsidRPr="00094793" w:rsidRDefault="00094793" w:rsidP="00094793">
            <w:pPr>
              <w:rPr>
                <w:rFonts w:ascii="Calibri" w:eastAsia="Calibri" w:hAnsi="Calibri"/>
                <w:b/>
                <w:color w:val="31849B"/>
                <w:sz w:val="16"/>
                <w:szCs w:val="16"/>
              </w:rPr>
            </w:pPr>
          </w:p>
          <w:p w14:paraId="796B4B92"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et incorporé dans les articles.</w:t>
            </w:r>
          </w:p>
          <w:p w14:paraId="243F21E4" w14:textId="77777777" w:rsidR="00094793" w:rsidRPr="00094793" w:rsidRDefault="00094793" w:rsidP="00094793">
            <w:pPr>
              <w:rPr>
                <w:rFonts w:ascii="Calibri" w:eastAsia="Calibri" w:hAnsi="Calibri"/>
                <w:b/>
                <w:color w:val="31849B"/>
                <w:sz w:val="16"/>
                <w:szCs w:val="16"/>
              </w:rPr>
            </w:pPr>
          </w:p>
          <w:p w14:paraId="2503F96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La référence à l’AML est acceptée et incorporée à plusieurs endroits dans les articles.</w:t>
            </w:r>
          </w:p>
          <w:p w14:paraId="24849D05" w14:textId="77777777" w:rsidR="00094793" w:rsidRPr="00094793" w:rsidRDefault="00094793" w:rsidP="00094793">
            <w:pPr>
              <w:rPr>
                <w:rFonts w:ascii="Calibri" w:eastAsia="Calibri" w:hAnsi="Calibri"/>
                <w:b/>
                <w:color w:val="31849B"/>
                <w:sz w:val="16"/>
                <w:szCs w:val="16"/>
              </w:rPr>
            </w:pPr>
          </w:p>
          <w:p w14:paraId="0E889B2A"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et incorporé dans les articles.</w:t>
            </w:r>
          </w:p>
          <w:p w14:paraId="29B565A3" w14:textId="77777777" w:rsidR="00094793" w:rsidRPr="00094793" w:rsidRDefault="00094793" w:rsidP="00094793">
            <w:pPr>
              <w:rPr>
                <w:rFonts w:ascii="Calibri" w:eastAsia="Calibri" w:hAnsi="Calibri"/>
                <w:b/>
                <w:color w:val="31849B"/>
                <w:sz w:val="16"/>
                <w:szCs w:val="16"/>
              </w:rPr>
            </w:pPr>
          </w:p>
          <w:p w14:paraId="0494549C" w14:textId="77777777" w:rsidR="00094793" w:rsidRPr="00094793" w:rsidRDefault="00094793" w:rsidP="00094793">
            <w:pPr>
              <w:rPr>
                <w:rFonts w:ascii="Calibri" w:eastAsia="Calibri" w:hAnsi="Calibri"/>
                <w:b/>
                <w:color w:val="31849B"/>
                <w:sz w:val="16"/>
                <w:szCs w:val="16"/>
              </w:rPr>
            </w:pPr>
          </w:p>
          <w:p w14:paraId="497E90F4" w14:textId="061EAA80" w:rsidR="00094793" w:rsidRPr="00094793" w:rsidRDefault="00094793" w:rsidP="00094793">
            <w:pPr>
              <w:rPr>
                <w:rFonts w:ascii="Calibri" w:eastAsia="Calibri" w:hAnsi="Calibri"/>
                <w:b/>
                <w:color w:val="31849B"/>
                <w:sz w:val="16"/>
                <w:szCs w:val="16"/>
              </w:rPr>
            </w:pPr>
            <w:r>
              <w:rPr>
                <w:rFonts w:ascii="Calibri" w:hAnsi="Calibri"/>
                <w:b/>
                <w:color w:val="31849B"/>
                <w:sz w:val="16"/>
              </w:rPr>
              <w:t>Celle-ci a fait l’objet d’une révision et est incorporée dans les articles, conformément au règlement susmentionné.</w:t>
            </w:r>
          </w:p>
          <w:p w14:paraId="178BC7E5" w14:textId="77777777" w:rsidR="00094793" w:rsidRPr="00094793" w:rsidRDefault="00094793" w:rsidP="00094793">
            <w:pPr>
              <w:rPr>
                <w:rFonts w:ascii="Calibri" w:eastAsia="Calibri" w:hAnsi="Calibri"/>
                <w:b/>
                <w:color w:val="31849B"/>
                <w:sz w:val="16"/>
                <w:szCs w:val="16"/>
              </w:rPr>
            </w:pPr>
          </w:p>
          <w:p w14:paraId="68805B34" w14:textId="77777777" w:rsidR="00094793" w:rsidRPr="00094793" w:rsidRDefault="00094793" w:rsidP="00094793">
            <w:pPr>
              <w:rPr>
                <w:rFonts w:ascii="Calibri" w:eastAsia="Calibri" w:hAnsi="Calibri"/>
                <w:b/>
                <w:color w:val="31849B"/>
                <w:sz w:val="16"/>
                <w:szCs w:val="16"/>
              </w:rPr>
            </w:pPr>
          </w:p>
          <w:p w14:paraId="1F37D0E1" w14:textId="77777777" w:rsidR="00094793" w:rsidRPr="00094793" w:rsidRDefault="00094793" w:rsidP="00094793">
            <w:pPr>
              <w:rPr>
                <w:rFonts w:ascii="Calibri" w:eastAsia="Calibri" w:hAnsi="Calibri"/>
                <w:b/>
                <w:color w:val="31849B"/>
                <w:sz w:val="16"/>
                <w:szCs w:val="16"/>
              </w:rPr>
            </w:pPr>
          </w:p>
          <w:p w14:paraId="3B550C4C"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Cette disposition est acceptée et incorporée dans la disposition d’abrogation.</w:t>
            </w:r>
          </w:p>
          <w:p w14:paraId="48C5A12A" w14:textId="77777777" w:rsidR="00094793" w:rsidRPr="00094793" w:rsidRDefault="00094793" w:rsidP="00094793">
            <w:pPr>
              <w:rPr>
                <w:rFonts w:ascii="Calibri" w:eastAsia="Calibri" w:hAnsi="Calibri"/>
                <w:b/>
                <w:color w:val="31849B"/>
                <w:sz w:val="16"/>
                <w:szCs w:val="16"/>
              </w:rPr>
            </w:pPr>
          </w:p>
          <w:p w14:paraId="60C4B520" w14:textId="77777777" w:rsidR="00094793" w:rsidRPr="00094793" w:rsidRDefault="00094793" w:rsidP="00094793">
            <w:pPr>
              <w:rPr>
                <w:rFonts w:ascii="Calibri" w:eastAsia="Calibri" w:hAnsi="Calibri"/>
                <w:b/>
                <w:color w:val="31849B"/>
                <w:sz w:val="16"/>
                <w:szCs w:val="16"/>
              </w:rPr>
            </w:pPr>
          </w:p>
          <w:p w14:paraId="756589E7"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et incorporé dans les articles.</w:t>
            </w:r>
          </w:p>
          <w:p w14:paraId="536857BB" w14:textId="5279E21C" w:rsidR="00094793" w:rsidRDefault="00094793" w:rsidP="00094793">
            <w:pPr>
              <w:rPr>
                <w:rFonts w:ascii="Calibri" w:eastAsia="Calibri" w:hAnsi="Calibri"/>
                <w:b/>
                <w:color w:val="31849B"/>
                <w:sz w:val="16"/>
                <w:szCs w:val="16"/>
              </w:rPr>
            </w:pPr>
          </w:p>
          <w:p w14:paraId="28E43DFD" w14:textId="572AE960" w:rsidR="00852846" w:rsidRDefault="00852846" w:rsidP="00094793">
            <w:pPr>
              <w:rPr>
                <w:rFonts w:ascii="Calibri" w:eastAsia="Calibri" w:hAnsi="Calibri"/>
                <w:b/>
                <w:color w:val="31849B"/>
                <w:sz w:val="16"/>
                <w:szCs w:val="16"/>
              </w:rPr>
            </w:pPr>
          </w:p>
          <w:p w14:paraId="2447F93E" w14:textId="77777777" w:rsidR="00852846" w:rsidRPr="00094793" w:rsidRDefault="00852846" w:rsidP="00094793">
            <w:pPr>
              <w:rPr>
                <w:rFonts w:ascii="Calibri" w:eastAsia="Calibri" w:hAnsi="Calibri"/>
                <w:b/>
                <w:color w:val="31849B"/>
                <w:sz w:val="16"/>
                <w:szCs w:val="16"/>
              </w:rPr>
            </w:pPr>
          </w:p>
          <w:p w14:paraId="64FA81AA" w14:textId="77777777" w:rsidR="00094793" w:rsidRPr="00094793" w:rsidRDefault="00094793" w:rsidP="00094793">
            <w:pPr>
              <w:rPr>
                <w:rFonts w:ascii="Calibri" w:eastAsia="Calibri" w:hAnsi="Calibri"/>
                <w:b/>
                <w:color w:val="31849B"/>
                <w:sz w:val="16"/>
                <w:szCs w:val="16"/>
              </w:rPr>
            </w:pPr>
          </w:p>
          <w:p w14:paraId="794D43B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lastRenderedPageBreak/>
              <w:t>Ces pouvoirs de la CNMC pour résoudre les litiges sont déjà considérés comme garantis par la loi.</w:t>
            </w:r>
          </w:p>
          <w:p w14:paraId="242B2E47" w14:textId="77777777" w:rsidR="00094793" w:rsidRPr="00094793" w:rsidRDefault="00094793" w:rsidP="00094793">
            <w:pPr>
              <w:rPr>
                <w:rFonts w:ascii="Calibri" w:eastAsia="Calibri" w:hAnsi="Calibri"/>
                <w:b/>
                <w:color w:val="31849B"/>
                <w:sz w:val="16"/>
                <w:szCs w:val="16"/>
              </w:rPr>
            </w:pPr>
          </w:p>
          <w:p w14:paraId="279B243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Ceci est accepté et incorporé dans le RIAR.</w:t>
            </w:r>
          </w:p>
          <w:p w14:paraId="05C87A2B" w14:textId="77777777" w:rsidR="00094793" w:rsidRPr="00094793" w:rsidRDefault="00094793" w:rsidP="00094793">
            <w:pPr>
              <w:rPr>
                <w:rFonts w:ascii="Calibri" w:eastAsia="Calibri" w:hAnsi="Calibri"/>
                <w:b/>
                <w:color w:val="31849B"/>
                <w:sz w:val="16"/>
                <w:szCs w:val="16"/>
              </w:rPr>
            </w:pPr>
          </w:p>
          <w:p w14:paraId="77037B97" w14:textId="77777777" w:rsidR="00094793" w:rsidRPr="00094793" w:rsidRDefault="00094793" w:rsidP="00094793">
            <w:pPr>
              <w:rPr>
                <w:rFonts w:ascii="Calibri" w:eastAsia="Calibri" w:hAnsi="Calibri"/>
                <w:b/>
                <w:color w:val="31849B"/>
                <w:sz w:val="16"/>
                <w:szCs w:val="16"/>
              </w:rPr>
            </w:pPr>
          </w:p>
          <w:p w14:paraId="5BA943FE" w14:textId="77777777" w:rsidR="00094793" w:rsidRPr="00094793" w:rsidRDefault="00094793" w:rsidP="00094793">
            <w:pPr>
              <w:rPr>
                <w:rFonts w:ascii="Calibri" w:eastAsia="Calibri" w:hAnsi="Calibri"/>
                <w:b/>
                <w:color w:val="31849B"/>
                <w:sz w:val="16"/>
                <w:szCs w:val="16"/>
              </w:rPr>
            </w:pPr>
          </w:p>
          <w:p w14:paraId="07A25619"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Il s’agit d’une communication inter-administrative: il ne relève pas du présent décret.</w:t>
            </w:r>
          </w:p>
        </w:tc>
      </w:tr>
    </w:tbl>
    <w:p w14:paraId="55F46E26" w14:textId="77777777" w:rsidR="00EF3DB0" w:rsidRPr="005E74E6" w:rsidRDefault="00EF3DB0" w:rsidP="000A2718">
      <w:pPr>
        <w:spacing w:before="120" w:after="0" w:line="252" w:lineRule="auto"/>
        <w:rPr>
          <w:rFonts w:cstheme="minorHAnsi"/>
        </w:rPr>
      </w:pPr>
    </w:p>
    <w:sectPr w:rsidR="00EF3DB0" w:rsidRPr="005E74E6" w:rsidSect="005B7B24">
      <w:type w:val="continuous"/>
      <w:pgSz w:w="11906" w:h="16838" w:code="9"/>
      <w:pgMar w:top="992" w:right="1701" w:bottom="1418" w:left="1701" w:header="289" w:footer="633" w:gutter="0"/>
      <w:cols w:space="720" w:equalWidth="0">
        <w:col w:w="827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3CF4" w14:textId="77777777" w:rsidR="00B243B3" w:rsidRDefault="00B243B3">
      <w:pPr>
        <w:spacing w:after="0" w:line="240" w:lineRule="auto"/>
      </w:pPr>
      <w:r>
        <w:separator/>
      </w:r>
    </w:p>
  </w:endnote>
  <w:endnote w:type="continuationSeparator" w:id="0">
    <w:p w14:paraId="28AED70F" w14:textId="77777777" w:rsidR="00B243B3" w:rsidRDefault="00B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48F2" w14:textId="77777777" w:rsidR="00BE4635" w:rsidRDefault="00BE4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6302D" w14:textId="77777777" w:rsidR="00BE4635" w:rsidRDefault="00BE4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ADE6" w14:textId="7D39F878" w:rsidR="00BE4635" w:rsidRDefault="00BE4635" w:rsidP="005B7B24">
    <w:pPr>
      <w:pStyle w:val="Footer"/>
      <w:jc w:val="center"/>
      <w:rPr>
        <w:sz w:val="14"/>
      </w:rPr>
    </w:pPr>
    <w:r w:rsidRPr="009C573E">
      <w:rPr>
        <w:rFonts w:ascii="Arial" w:hAnsi="Arial" w:cs="Arial"/>
        <w:b/>
        <w:sz w:val="16"/>
      </w:rPr>
      <w:fldChar w:fldCharType="begin"/>
    </w:r>
    <w:r w:rsidRPr="009C573E">
      <w:rPr>
        <w:rFonts w:ascii="Arial" w:hAnsi="Arial" w:cs="Arial"/>
        <w:b/>
        <w:sz w:val="16"/>
      </w:rPr>
      <w:instrText>PAGE   \* MERGEFORMAT</w:instrText>
    </w:r>
    <w:r w:rsidRPr="009C573E">
      <w:rPr>
        <w:rFonts w:ascii="Arial" w:hAnsi="Arial" w:cs="Arial"/>
        <w:b/>
        <w:sz w:val="16"/>
      </w:rPr>
      <w:fldChar w:fldCharType="separate"/>
    </w:r>
    <w:r w:rsidR="00A73F73" w:rsidRPr="00A73F73">
      <w:rPr>
        <w:rFonts w:ascii="Arial" w:hAnsi="Arial" w:cs="Arial"/>
        <w:b/>
        <w:sz w:val="16"/>
      </w:rPr>
      <w:t>32</w:t>
    </w:r>
    <w:r w:rsidRPr="009C573E">
      <w:rPr>
        <w:rFonts w:ascii="Arial" w:hAnsi="Arial" w:cs="Arial"/>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7725"/>
      <w:gridCol w:w="2998"/>
    </w:tblGrid>
    <w:tr w:rsidR="00BE4635" w14:paraId="465DF507" w14:textId="77777777">
      <w:tc>
        <w:tcPr>
          <w:tcW w:w="7725" w:type="dxa"/>
          <w:vAlign w:val="bottom"/>
        </w:tcPr>
        <w:p w14:paraId="4A797B9C" w14:textId="77777777" w:rsidR="00BE4635" w:rsidRDefault="00BE4635" w:rsidP="00EF3DB0">
          <w:pPr>
            <w:pStyle w:val="FootnoteText"/>
            <w:tabs>
              <w:tab w:val="left" w:pos="1021"/>
              <w:tab w:val="left" w:pos="8080"/>
            </w:tabs>
            <w:rPr>
              <w:rFonts w:ascii="Gill Sans MT" w:hAnsi="Gill Sans MT" w:cs="Arial"/>
              <w:sz w:val="14"/>
            </w:rPr>
          </w:pPr>
        </w:p>
      </w:tc>
      <w:tc>
        <w:tcPr>
          <w:tcW w:w="2998" w:type="dxa"/>
        </w:tcPr>
        <w:p w14:paraId="3187EB63" w14:textId="77777777" w:rsidR="00BE4635" w:rsidRDefault="00BE4635">
          <w:pPr>
            <w:pStyle w:val="FootnoteText"/>
            <w:tabs>
              <w:tab w:val="left" w:pos="1915"/>
              <w:tab w:val="left" w:pos="8080"/>
            </w:tabs>
            <w:ind w:right="-42"/>
            <w:rPr>
              <w:rFonts w:ascii="Gill Sans MT" w:hAnsi="Gill Sans MT" w:cs="Arial"/>
              <w:sz w:val="14"/>
            </w:rPr>
          </w:pPr>
        </w:p>
      </w:tc>
    </w:tr>
  </w:tbl>
  <w:p w14:paraId="1D8DF300" w14:textId="77777777" w:rsidR="00BE4635" w:rsidRDefault="00BE4635">
    <w:pPr>
      <w:pStyle w:val="Footer"/>
    </w:pPr>
    <w:r>
      <w:rPr>
        <w:noProof/>
      </w:rPr>
      <mc:AlternateContent>
        <mc:Choice Requires="wps">
          <w:drawing>
            <wp:anchor distT="0" distB="0" distL="114300" distR="114300" simplePos="0" relativeHeight="251659264" behindDoc="0" locked="0" layoutInCell="0" allowOverlap="1" wp14:anchorId="730CACB6" wp14:editId="484AC2C5">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C5C5D" id="Rectangle 37" o:spid="_x0000_s1026" style="position:absolute;margin-left:375.7pt;margin-top:-17.1pt;width:11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217D" w14:textId="77777777" w:rsidR="00B243B3" w:rsidRDefault="00B243B3">
      <w:pPr>
        <w:spacing w:after="0" w:line="240" w:lineRule="auto"/>
      </w:pPr>
      <w:r>
        <w:separator/>
      </w:r>
    </w:p>
  </w:footnote>
  <w:footnote w:type="continuationSeparator" w:id="0">
    <w:p w14:paraId="616AC4D3" w14:textId="77777777" w:rsidR="00B243B3" w:rsidRDefault="00B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AAEB" w14:textId="77777777" w:rsidR="00BE4635" w:rsidRDefault="00BE46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8AA39" w14:textId="77777777" w:rsidR="00BE4635" w:rsidRDefault="00BE46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E14" w14:textId="5677190C" w:rsidR="00BE4635" w:rsidRDefault="00BE4635">
    <w:pPr>
      <w:pStyle w:val="Header"/>
      <w:tabs>
        <w:tab w:val="clear" w:pos="8504"/>
      </w:tabs>
      <w:ind w:right="-87"/>
      <w:jc w:val="right"/>
    </w:pPr>
    <w:r>
      <w:rPr>
        <w:noProof/>
      </w:rPr>
      <w:drawing>
        <wp:inline distT="0" distB="0" distL="0" distR="0" wp14:anchorId="405337FB" wp14:editId="3208D427">
          <wp:extent cx="838200" cy="876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9DFF" w14:textId="77777777" w:rsidR="00BE4635" w:rsidRDefault="00BE4635">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290E"/>
    <w:multiLevelType w:val="hybridMultilevel"/>
    <w:tmpl w:val="4E662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30B4C"/>
    <w:multiLevelType w:val="hybridMultilevel"/>
    <w:tmpl w:val="24E49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157FFB"/>
    <w:multiLevelType w:val="hybridMultilevel"/>
    <w:tmpl w:val="7480DF28"/>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9826D8C"/>
    <w:multiLevelType w:val="hybridMultilevel"/>
    <w:tmpl w:val="D0447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3D4352"/>
    <w:multiLevelType w:val="hybridMultilevel"/>
    <w:tmpl w:val="B90A2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1960B0"/>
    <w:multiLevelType w:val="hybridMultilevel"/>
    <w:tmpl w:val="293644BA"/>
    <w:lvl w:ilvl="0" w:tplc="0C0A0001">
      <w:start w:val="1"/>
      <w:numFmt w:val="bullet"/>
      <w:lvlText w:val=""/>
      <w:lvlJc w:val="left"/>
      <w:pPr>
        <w:ind w:left="582" w:hanging="360"/>
      </w:pPr>
      <w:rPr>
        <w:rFonts w:ascii="Symbol" w:hAnsi="Symbol" w:hint="default"/>
      </w:rPr>
    </w:lvl>
    <w:lvl w:ilvl="1" w:tplc="0C0A0003" w:tentative="1">
      <w:start w:val="1"/>
      <w:numFmt w:val="bullet"/>
      <w:lvlText w:val="o"/>
      <w:lvlJc w:val="left"/>
      <w:pPr>
        <w:ind w:left="1302" w:hanging="360"/>
      </w:pPr>
      <w:rPr>
        <w:rFonts w:ascii="Courier New" w:hAnsi="Courier New" w:cs="Courier New" w:hint="default"/>
      </w:rPr>
    </w:lvl>
    <w:lvl w:ilvl="2" w:tplc="0C0A0005" w:tentative="1">
      <w:start w:val="1"/>
      <w:numFmt w:val="bullet"/>
      <w:lvlText w:val=""/>
      <w:lvlJc w:val="left"/>
      <w:pPr>
        <w:ind w:left="2022" w:hanging="360"/>
      </w:pPr>
      <w:rPr>
        <w:rFonts w:ascii="Wingdings" w:hAnsi="Wingdings" w:hint="default"/>
      </w:rPr>
    </w:lvl>
    <w:lvl w:ilvl="3" w:tplc="0C0A0001" w:tentative="1">
      <w:start w:val="1"/>
      <w:numFmt w:val="bullet"/>
      <w:lvlText w:val=""/>
      <w:lvlJc w:val="left"/>
      <w:pPr>
        <w:ind w:left="2742" w:hanging="360"/>
      </w:pPr>
      <w:rPr>
        <w:rFonts w:ascii="Symbol" w:hAnsi="Symbol" w:hint="default"/>
      </w:rPr>
    </w:lvl>
    <w:lvl w:ilvl="4" w:tplc="0C0A0003" w:tentative="1">
      <w:start w:val="1"/>
      <w:numFmt w:val="bullet"/>
      <w:lvlText w:val="o"/>
      <w:lvlJc w:val="left"/>
      <w:pPr>
        <w:ind w:left="3462" w:hanging="360"/>
      </w:pPr>
      <w:rPr>
        <w:rFonts w:ascii="Courier New" w:hAnsi="Courier New" w:cs="Courier New" w:hint="default"/>
      </w:rPr>
    </w:lvl>
    <w:lvl w:ilvl="5" w:tplc="0C0A0005" w:tentative="1">
      <w:start w:val="1"/>
      <w:numFmt w:val="bullet"/>
      <w:lvlText w:val=""/>
      <w:lvlJc w:val="left"/>
      <w:pPr>
        <w:ind w:left="4182" w:hanging="360"/>
      </w:pPr>
      <w:rPr>
        <w:rFonts w:ascii="Wingdings" w:hAnsi="Wingdings" w:hint="default"/>
      </w:rPr>
    </w:lvl>
    <w:lvl w:ilvl="6" w:tplc="0C0A0001" w:tentative="1">
      <w:start w:val="1"/>
      <w:numFmt w:val="bullet"/>
      <w:lvlText w:val=""/>
      <w:lvlJc w:val="left"/>
      <w:pPr>
        <w:ind w:left="4902" w:hanging="360"/>
      </w:pPr>
      <w:rPr>
        <w:rFonts w:ascii="Symbol" w:hAnsi="Symbol" w:hint="default"/>
      </w:rPr>
    </w:lvl>
    <w:lvl w:ilvl="7" w:tplc="0C0A0003" w:tentative="1">
      <w:start w:val="1"/>
      <w:numFmt w:val="bullet"/>
      <w:lvlText w:val="o"/>
      <w:lvlJc w:val="left"/>
      <w:pPr>
        <w:ind w:left="5622" w:hanging="360"/>
      </w:pPr>
      <w:rPr>
        <w:rFonts w:ascii="Courier New" w:hAnsi="Courier New" w:cs="Courier New" w:hint="default"/>
      </w:rPr>
    </w:lvl>
    <w:lvl w:ilvl="8" w:tplc="0C0A0005" w:tentative="1">
      <w:start w:val="1"/>
      <w:numFmt w:val="bullet"/>
      <w:lvlText w:val=""/>
      <w:lvlJc w:val="left"/>
      <w:pPr>
        <w:ind w:left="6342" w:hanging="360"/>
      </w:pPr>
      <w:rPr>
        <w:rFonts w:ascii="Wingdings" w:hAnsi="Wingdings" w:hint="default"/>
      </w:rPr>
    </w:lvl>
  </w:abstractNum>
  <w:abstractNum w:abstractNumId="6" w15:restartNumberingAfterBreak="0">
    <w:nsid w:val="5C1B43D5"/>
    <w:multiLevelType w:val="hybridMultilevel"/>
    <w:tmpl w:val="379473F4"/>
    <w:lvl w:ilvl="0" w:tplc="FFFFFFFF">
      <w:start w:val="1"/>
      <w:numFmt w:val="lowerLetter"/>
      <w:lvlText w:val="%1)"/>
      <w:lvlJc w:val="left"/>
      <w:pPr>
        <w:ind w:left="360" w:hanging="360"/>
      </w:pPr>
      <w:rPr>
        <w:rFonts w:hint="default"/>
      </w:rPr>
    </w:lvl>
    <w:lvl w:ilvl="1" w:tplc="0C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825B8D"/>
    <w:multiLevelType w:val="hybridMultilevel"/>
    <w:tmpl w:val="136EC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680CAB"/>
    <w:multiLevelType w:val="hybridMultilevel"/>
    <w:tmpl w:val="C8E69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9F49DD"/>
    <w:multiLevelType w:val="hybridMultilevel"/>
    <w:tmpl w:val="B70CED76"/>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683A4FA7"/>
    <w:multiLevelType w:val="hybridMultilevel"/>
    <w:tmpl w:val="FA425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3432CD"/>
    <w:multiLevelType w:val="hybridMultilevel"/>
    <w:tmpl w:val="AEBAC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17717C"/>
    <w:multiLevelType w:val="hybridMultilevel"/>
    <w:tmpl w:val="0102E9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8E4CB5"/>
    <w:multiLevelType w:val="hybridMultilevel"/>
    <w:tmpl w:val="1F30CC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C753F5"/>
    <w:multiLevelType w:val="hybridMultilevel"/>
    <w:tmpl w:val="4A76E510"/>
    <w:lvl w:ilvl="0" w:tplc="3B4C5C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8514501">
    <w:abstractNumId w:val="9"/>
  </w:num>
  <w:num w:numId="2" w16cid:durableId="489374645">
    <w:abstractNumId w:val="4"/>
  </w:num>
  <w:num w:numId="3" w16cid:durableId="520700974">
    <w:abstractNumId w:val="13"/>
  </w:num>
  <w:num w:numId="4" w16cid:durableId="1320232601">
    <w:abstractNumId w:val="2"/>
  </w:num>
  <w:num w:numId="5" w16cid:durableId="635064949">
    <w:abstractNumId w:val="5"/>
  </w:num>
  <w:num w:numId="6" w16cid:durableId="1427463102">
    <w:abstractNumId w:val="1"/>
  </w:num>
  <w:num w:numId="7" w16cid:durableId="1442646596">
    <w:abstractNumId w:val="10"/>
  </w:num>
  <w:num w:numId="8" w16cid:durableId="943925385">
    <w:abstractNumId w:val="16"/>
  </w:num>
  <w:num w:numId="9" w16cid:durableId="1164973529">
    <w:abstractNumId w:val="12"/>
  </w:num>
  <w:num w:numId="10" w16cid:durableId="898594648">
    <w:abstractNumId w:val="14"/>
  </w:num>
  <w:num w:numId="11" w16cid:durableId="265230978">
    <w:abstractNumId w:val="11"/>
  </w:num>
  <w:num w:numId="12" w16cid:durableId="624697713">
    <w:abstractNumId w:val="8"/>
  </w:num>
  <w:num w:numId="13" w16cid:durableId="444038138">
    <w:abstractNumId w:val="7"/>
  </w:num>
  <w:num w:numId="14" w16cid:durableId="1929266316">
    <w:abstractNumId w:val="0"/>
  </w:num>
  <w:num w:numId="15" w16cid:durableId="2049527244">
    <w:abstractNumId w:val="3"/>
  </w:num>
  <w:num w:numId="16" w16cid:durableId="543254553">
    <w:abstractNumId w:val="15"/>
  </w:num>
  <w:num w:numId="17" w16cid:durableId="185232992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1D"/>
    <w:rsid w:val="000020F5"/>
    <w:rsid w:val="00017DBB"/>
    <w:rsid w:val="00021475"/>
    <w:rsid w:val="0003055A"/>
    <w:rsid w:val="00050AC6"/>
    <w:rsid w:val="00050ED2"/>
    <w:rsid w:val="00077C61"/>
    <w:rsid w:val="00086B0A"/>
    <w:rsid w:val="0009039B"/>
    <w:rsid w:val="00091094"/>
    <w:rsid w:val="00094793"/>
    <w:rsid w:val="00095CDC"/>
    <w:rsid w:val="00097B84"/>
    <w:rsid w:val="000A2718"/>
    <w:rsid w:val="000B3550"/>
    <w:rsid w:val="000B35A9"/>
    <w:rsid w:val="000B43D7"/>
    <w:rsid w:val="000B5242"/>
    <w:rsid w:val="000C01E8"/>
    <w:rsid w:val="000C2C86"/>
    <w:rsid w:val="000C421C"/>
    <w:rsid w:val="000D0FD0"/>
    <w:rsid w:val="000D564C"/>
    <w:rsid w:val="000D573B"/>
    <w:rsid w:val="000D614D"/>
    <w:rsid w:val="000E3B6B"/>
    <w:rsid w:val="000F4060"/>
    <w:rsid w:val="000F6AAE"/>
    <w:rsid w:val="00101AC8"/>
    <w:rsid w:val="00102B43"/>
    <w:rsid w:val="00103573"/>
    <w:rsid w:val="00115BA1"/>
    <w:rsid w:val="0011770E"/>
    <w:rsid w:val="00120C70"/>
    <w:rsid w:val="00122F55"/>
    <w:rsid w:val="00122FFF"/>
    <w:rsid w:val="00124388"/>
    <w:rsid w:val="00124955"/>
    <w:rsid w:val="001251FD"/>
    <w:rsid w:val="0013047D"/>
    <w:rsid w:val="001323BD"/>
    <w:rsid w:val="001360B9"/>
    <w:rsid w:val="001470B0"/>
    <w:rsid w:val="0015043B"/>
    <w:rsid w:val="001579FC"/>
    <w:rsid w:val="00162206"/>
    <w:rsid w:val="00173C90"/>
    <w:rsid w:val="00174FA9"/>
    <w:rsid w:val="001807EB"/>
    <w:rsid w:val="00183C5F"/>
    <w:rsid w:val="001840D5"/>
    <w:rsid w:val="00184355"/>
    <w:rsid w:val="00191122"/>
    <w:rsid w:val="001931A6"/>
    <w:rsid w:val="00194631"/>
    <w:rsid w:val="0019625B"/>
    <w:rsid w:val="00197422"/>
    <w:rsid w:val="001A1344"/>
    <w:rsid w:val="001A3535"/>
    <w:rsid w:val="001B1E5A"/>
    <w:rsid w:val="001B3EE4"/>
    <w:rsid w:val="001B647F"/>
    <w:rsid w:val="001C012A"/>
    <w:rsid w:val="001C19BB"/>
    <w:rsid w:val="001C3CC4"/>
    <w:rsid w:val="001C46C8"/>
    <w:rsid w:val="001D597C"/>
    <w:rsid w:val="001D7F18"/>
    <w:rsid w:val="001E02F5"/>
    <w:rsid w:val="001E470E"/>
    <w:rsid w:val="001E4E9B"/>
    <w:rsid w:val="001E7392"/>
    <w:rsid w:val="001F307D"/>
    <w:rsid w:val="001F4A67"/>
    <w:rsid w:val="001F6BF6"/>
    <w:rsid w:val="00205AEE"/>
    <w:rsid w:val="00207EAB"/>
    <w:rsid w:val="00214ED3"/>
    <w:rsid w:val="0021507F"/>
    <w:rsid w:val="00215B55"/>
    <w:rsid w:val="00220F59"/>
    <w:rsid w:val="002219C7"/>
    <w:rsid w:val="0022718C"/>
    <w:rsid w:val="00234132"/>
    <w:rsid w:val="0024485B"/>
    <w:rsid w:val="00256A43"/>
    <w:rsid w:val="00257BCC"/>
    <w:rsid w:val="00263366"/>
    <w:rsid w:val="00264AE7"/>
    <w:rsid w:val="00272644"/>
    <w:rsid w:val="00273D8C"/>
    <w:rsid w:val="00282E98"/>
    <w:rsid w:val="00285FFF"/>
    <w:rsid w:val="00286A20"/>
    <w:rsid w:val="00286D71"/>
    <w:rsid w:val="0029594A"/>
    <w:rsid w:val="00296D52"/>
    <w:rsid w:val="002A04C7"/>
    <w:rsid w:val="002A37F9"/>
    <w:rsid w:val="002A63FB"/>
    <w:rsid w:val="002A6C5D"/>
    <w:rsid w:val="002A7BA0"/>
    <w:rsid w:val="002B4522"/>
    <w:rsid w:val="002C16E0"/>
    <w:rsid w:val="002C5384"/>
    <w:rsid w:val="002D0AAB"/>
    <w:rsid w:val="002E5626"/>
    <w:rsid w:val="002F3D33"/>
    <w:rsid w:val="002F430F"/>
    <w:rsid w:val="002F59A6"/>
    <w:rsid w:val="002F7626"/>
    <w:rsid w:val="003066E7"/>
    <w:rsid w:val="0031075B"/>
    <w:rsid w:val="00311920"/>
    <w:rsid w:val="0031379C"/>
    <w:rsid w:val="00317C18"/>
    <w:rsid w:val="00320305"/>
    <w:rsid w:val="0033606B"/>
    <w:rsid w:val="00337002"/>
    <w:rsid w:val="00340284"/>
    <w:rsid w:val="00341402"/>
    <w:rsid w:val="00352C04"/>
    <w:rsid w:val="00354713"/>
    <w:rsid w:val="00367C5A"/>
    <w:rsid w:val="003731B9"/>
    <w:rsid w:val="00375DBE"/>
    <w:rsid w:val="0037628D"/>
    <w:rsid w:val="0037782F"/>
    <w:rsid w:val="00380CFF"/>
    <w:rsid w:val="003817AF"/>
    <w:rsid w:val="00382477"/>
    <w:rsid w:val="00385076"/>
    <w:rsid w:val="00391D18"/>
    <w:rsid w:val="003A29DB"/>
    <w:rsid w:val="003A61A4"/>
    <w:rsid w:val="003A7782"/>
    <w:rsid w:val="003B19DF"/>
    <w:rsid w:val="003B608E"/>
    <w:rsid w:val="003B631F"/>
    <w:rsid w:val="003D110A"/>
    <w:rsid w:val="003D4733"/>
    <w:rsid w:val="003E3596"/>
    <w:rsid w:val="004038A4"/>
    <w:rsid w:val="00403AF6"/>
    <w:rsid w:val="00404494"/>
    <w:rsid w:val="004051D0"/>
    <w:rsid w:val="00410DBE"/>
    <w:rsid w:val="00426C1D"/>
    <w:rsid w:val="004351C6"/>
    <w:rsid w:val="00441842"/>
    <w:rsid w:val="004422DF"/>
    <w:rsid w:val="00444875"/>
    <w:rsid w:val="00445BD4"/>
    <w:rsid w:val="0045703F"/>
    <w:rsid w:val="00464864"/>
    <w:rsid w:val="00466C35"/>
    <w:rsid w:val="0047126B"/>
    <w:rsid w:val="00472F00"/>
    <w:rsid w:val="004732F0"/>
    <w:rsid w:val="00475353"/>
    <w:rsid w:val="004842B5"/>
    <w:rsid w:val="00485413"/>
    <w:rsid w:val="00486FC7"/>
    <w:rsid w:val="0049109E"/>
    <w:rsid w:val="0049604A"/>
    <w:rsid w:val="004A250A"/>
    <w:rsid w:val="004B6CD6"/>
    <w:rsid w:val="004D5CCC"/>
    <w:rsid w:val="004D7D88"/>
    <w:rsid w:val="004E2BE2"/>
    <w:rsid w:val="004F34F7"/>
    <w:rsid w:val="004F3D80"/>
    <w:rsid w:val="004F4D3C"/>
    <w:rsid w:val="004F5238"/>
    <w:rsid w:val="004F61AB"/>
    <w:rsid w:val="004F6743"/>
    <w:rsid w:val="005045A5"/>
    <w:rsid w:val="0051068C"/>
    <w:rsid w:val="00514654"/>
    <w:rsid w:val="0052301B"/>
    <w:rsid w:val="00523A77"/>
    <w:rsid w:val="00530819"/>
    <w:rsid w:val="00536056"/>
    <w:rsid w:val="00543EF3"/>
    <w:rsid w:val="0054760F"/>
    <w:rsid w:val="0055297B"/>
    <w:rsid w:val="00557218"/>
    <w:rsid w:val="005626B9"/>
    <w:rsid w:val="00562748"/>
    <w:rsid w:val="00562B7C"/>
    <w:rsid w:val="00565C6F"/>
    <w:rsid w:val="00566ED9"/>
    <w:rsid w:val="00573BA2"/>
    <w:rsid w:val="00574F85"/>
    <w:rsid w:val="005779CF"/>
    <w:rsid w:val="005810DE"/>
    <w:rsid w:val="00581FC4"/>
    <w:rsid w:val="00587630"/>
    <w:rsid w:val="00587663"/>
    <w:rsid w:val="00591A22"/>
    <w:rsid w:val="005B3C21"/>
    <w:rsid w:val="005B7B24"/>
    <w:rsid w:val="005C1847"/>
    <w:rsid w:val="005C2CCB"/>
    <w:rsid w:val="005C7C25"/>
    <w:rsid w:val="005D1159"/>
    <w:rsid w:val="005D246C"/>
    <w:rsid w:val="005D24AD"/>
    <w:rsid w:val="005D39DE"/>
    <w:rsid w:val="005D524C"/>
    <w:rsid w:val="005D67C3"/>
    <w:rsid w:val="005D7E38"/>
    <w:rsid w:val="005E2249"/>
    <w:rsid w:val="005E74E6"/>
    <w:rsid w:val="005F03C8"/>
    <w:rsid w:val="005F3842"/>
    <w:rsid w:val="005F43F3"/>
    <w:rsid w:val="006027FC"/>
    <w:rsid w:val="0060548C"/>
    <w:rsid w:val="0061419D"/>
    <w:rsid w:val="006167FD"/>
    <w:rsid w:val="006211F1"/>
    <w:rsid w:val="006279DD"/>
    <w:rsid w:val="006414C9"/>
    <w:rsid w:val="006467C9"/>
    <w:rsid w:val="00647013"/>
    <w:rsid w:val="00665230"/>
    <w:rsid w:val="006764AB"/>
    <w:rsid w:val="0068307E"/>
    <w:rsid w:val="00683A50"/>
    <w:rsid w:val="006863A4"/>
    <w:rsid w:val="0069121D"/>
    <w:rsid w:val="00692B20"/>
    <w:rsid w:val="006962CB"/>
    <w:rsid w:val="00697B39"/>
    <w:rsid w:val="006A2AFB"/>
    <w:rsid w:val="006A3392"/>
    <w:rsid w:val="006B175A"/>
    <w:rsid w:val="006B2075"/>
    <w:rsid w:val="006B2A6A"/>
    <w:rsid w:val="006B5BB6"/>
    <w:rsid w:val="006B5E82"/>
    <w:rsid w:val="006B7F99"/>
    <w:rsid w:val="006C45A7"/>
    <w:rsid w:val="006C79E5"/>
    <w:rsid w:val="006D6F06"/>
    <w:rsid w:val="006E3050"/>
    <w:rsid w:val="006E376E"/>
    <w:rsid w:val="006E3CBC"/>
    <w:rsid w:val="006E4BDB"/>
    <w:rsid w:val="006F69F6"/>
    <w:rsid w:val="00717791"/>
    <w:rsid w:val="00722C1B"/>
    <w:rsid w:val="00725692"/>
    <w:rsid w:val="00726BE2"/>
    <w:rsid w:val="00731ABB"/>
    <w:rsid w:val="007351E4"/>
    <w:rsid w:val="0073618E"/>
    <w:rsid w:val="00736E38"/>
    <w:rsid w:val="00747967"/>
    <w:rsid w:val="00760B14"/>
    <w:rsid w:val="00764CD5"/>
    <w:rsid w:val="00767BAB"/>
    <w:rsid w:val="0077673D"/>
    <w:rsid w:val="0078252C"/>
    <w:rsid w:val="007851F2"/>
    <w:rsid w:val="0079468F"/>
    <w:rsid w:val="0079530D"/>
    <w:rsid w:val="00796F20"/>
    <w:rsid w:val="007A288A"/>
    <w:rsid w:val="007A63A2"/>
    <w:rsid w:val="007A6797"/>
    <w:rsid w:val="007A7E7D"/>
    <w:rsid w:val="007B11D5"/>
    <w:rsid w:val="007B14ED"/>
    <w:rsid w:val="007B3DD4"/>
    <w:rsid w:val="007B50BD"/>
    <w:rsid w:val="007C103E"/>
    <w:rsid w:val="007D4C46"/>
    <w:rsid w:val="007E0899"/>
    <w:rsid w:val="007E3BC6"/>
    <w:rsid w:val="007F0073"/>
    <w:rsid w:val="007F40C1"/>
    <w:rsid w:val="007F498A"/>
    <w:rsid w:val="00800311"/>
    <w:rsid w:val="00800D7E"/>
    <w:rsid w:val="00804894"/>
    <w:rsid w:val="00817224"/>
    <w:rsid w:val="00823B32"/>
    <w:rsid w:val="008259ED"/>
    <w:rsid w:val="00833B44"/>
    <w:rsid w:val="00841928"/>
    <w:rsid w:val="008420EC"/>
    <w:rsid w:val="00847154"/>
    <w:rsid w:val="008471F6"/>
    <w:rsid w:val="0085092A"/>
    <w:rsid w:val="008522C1"/>
    <w:rsid w:val="00852846"/>
    <w:rsid w:val="00853133"/>
    <w:rsid w:val="00853587"/>
    <w:rsid w:val="00856824"/>
    <w:rsid w:val="00862DE5"/>
    <w:rsid w:val="00865AF6"/>
    <w:rsid w:val="00866E99"/>
    <w:rsid w:val="00867088"/>
    <w:rsid w:val="00867785"/>
    <w:rsid w:val="00882FAB"/>
    <w:rsid w:val="00885E0A"/>
    <w:rsid w:val="0088779E"/>
    <w:rsid w:val="00892E54"/>
    <w:rsid w:val="008930A6"/>
    <w:rsid w:val="008941A1"/>
    <w:rsid w:val="008962B3"/>
    <w:rsid w:val="00897538"/>
    <w:rsid w:val="008A18A9"/>
    <w:rsid w:val="008A1ADF"/>
    <w:rsid w:val="008A2C81"/>
    <w:rsid w:val="008A4EDA"/>
    <w:rsid w:val="008A6743"/>
    <w:rsid w:val="008B22CE"/>
    <w:rsid w:val="008B411C"/>
    <w:rsid w:val="008B6978"/>
    <w:rsid w:val="008C6520"/>
    <w:rsid w:val="008D0C56"/>
    <w:rsid w:val="008D136D"/>
    <w:rsid w:val="008E0339"/>
    <w:rsid w:val="008E6957"/>
    <w:rsid w:val="008E7330"/>
    <w:rsid w:val="008F2EB2"/>
    <w:rsid w:val="008F367D"/>
    <w:rsid w:val="009173A7"/>
    <w:rsid w:val="00920CE4"/>
    <w:rsid w:val="00922C32"/>
    <w:rsid w:val="0092478B"/>
    <w:rsid w:val="00925F1E"/>
    <w:rsid w:val="00933E3E"/>
    <w:rsid w:val="009343E7"/>
    <w:rsid w:val="00937ADB"/>
    <w:rsid w:val="00937CBE"/>
    <w:rsid w:val="00956C37"/>
    <w:rsid w:val="009710A6"/>
    <w:rsid w:val="009720E8"/>
    <w:rsid w:val="009879D0"/>
    <w:rsid w:val="00987CB5"/>
    <w:rsid w:val="00992CAC"/>
    <w:rsid w:val="00994B57"/>
    <w:rsid w:val="00997F68"/>
    <w:rsid w:val="009A17A9"/>
    <w:rsid w:val="009A1BAE"/>
    <w:rsid w:val="009A286F"/>
    <w:rsid w:val="009A2CFB"/>
    <w:rsid w:val="009A4A06"/>
    <w:rsid w:val="009A68D6"/>
    <w:rsid w:val="009B157B"/>
    <w:rsid w:val="009B4F5E"/>
    <w:rsid w:val="009C1B4D"/>
    <w:rsid w:val="009C1B8A"/>
    <w:rsid w:val="009D12DA"/>
    <w:rsid w:val="009D37F1"/>
    <w:rsid w:val="009D61F7"/>
    <w:rsid w:val="009E0839"/>
    <w:rsid w:val="009E29C8"/>
    <w:rsid w:val="009E6AC1"/>
    <w:rsid w:val="009F7CC0"/>
    <w:rsid w:val="00A00656"/>
    <w:rsid w:val="00A00F22"/>
    <w:rsid w:val="00A02121"/>
    <w:rsid w:val="00A04EB1"/>
    <w:rsid w:val="00A06322"/>
    <w:rsid w:val="00A11A49"/>
    <w:rsid w:val="00A16F06"/>
    <w:rsid w:val="00A3156C"/>
    <w:rsid w:val="00A4553D"/>
    <w:rsid w:val="00A509FB"/>
    <w:rsid w:val="00A54EDD"/>
    <w:rsid w:val="00A5648A"/>
    <w:rsid w:val="00A62E2A"/>
    <w:rsid w:val="00A63B20"/>
    <w:rsid w:val="00A72F3C"/>
    <w:rsid w:val="00A73F73"/>
    <w:rsid w:val="00A76666"/>
    <w:rsid w:val="00A83932"/>
    <w:rsid w:val="00A86AB8"/>
    <w:rsid w:val="00A96AA5"/>
    <w:rsid w:val="00AA2B63"/>
    <w:rsid w:val="00AA6006"/>
    <w:rsid w:val="00AB0181"/>
    <w:rsid w:val="00AB2E98"/>
    <w:rsid w:val="00AC4ABE"/>
    <w:rsid w:val="00AD7B5C"/>
    <w:rsid w:val="00AE2882"/>
    <w:rsid w:val="00B01E1D"/>
    <w:rsid w:val="00B0399F"/>
    <w:rsid w:val="00B119D2"/>
    <w:rsid w:val="00B12E49"/>
    <w:rsid w:val="00B243B3"/>
    <w:rsid w:val="00B24A93"/>
    <w:rsid w:val="00B425CC"/>
    <w:rsid w:val="00B42D64"/>
    <w:rsid w:val="00B42DEC"/>
    <w:rsid w:val="00B44A1C"/>
    <w:rsid w:val="00B47F84"/>
    <w:rsid w:val="00B524BF"/>
    <w:rsid w:val="00B539F5"/>
    <w:rsid w:val="00B57AA2"/>
    <w:rsid w:val="00B61502"/>
    <w:rsid w:val="00B65B1C"/>
    <w:rsid w:val="00B709B4"/>
    <w:rsid w:val="00B71AFF"/>
    <w:rsid w:val="00B804D2"/>
    <w:rsid w:val="00B817AF"/>
    <w:rsid w:val="00B87A34"/>
    <w:rsid w:val="00B92370"/>
    <w:rsid w:val="00BA651F"/>
    <w:rsid w:val="00BA6F4D"/>
    <w:rsid w:val="00BB1989"/>
    <w:rsid w:val="00BB3817"/>
    <w:rsid w:val="00BB3F15"/>
    <w:rsid w:val="00BC2E93"/>
    <w:rsid w:val="00BC4F5B"/>
    <w:rsid w:val="00BC6B27"/>
    <w:rsid w:val="00BD0D80"/>
    <w:rsid w:val="00BD2443"/>
    <w:rsid w:val="00BE3D1D"/>
    <w:rsid w:val="00BE4635"/>
    <w:rsid w:val="00BE47B2"/>
    <w:rsid w:val="00BE7617"/>
    <w:rsid w:val="00BF10E6"/>
    <w:rsid w:val="00BF2ADB"/>
    <w:rsid w:val="00BF56AD"/>
    <w:rsid w:val="00BF62CC"/>
    <w:rsid w:val="00BF6E74"/>
    <w:rsid w:val="00BF770F"/>
    <w:rsid w:val="00C02353"/>
    <w:rsid w:val="00C04719"/>
    <w:rsid w:val="00C07A91"/>
    <w:rsid w:val="00C130C9"/>
    <w:rsid w:val="00C2310A"/>
    <w:rsid w:val="00C27CDA"/>
    <w:rsid w:val="00C31E1C"/>
    <w:rsid w:val="00C32571"/>
    <w:rsid w:val="00C35F53"/>
    <w:rsid w:val="00C405E8"/>
    <w:rsid w:val="00C451C6"/>
    <w:rsid w:val="00C47D67"/>
    <w:rsid w:val="00C62572"/>
    <w:rsid w:val="00C655ED"/>
    <w:rsid w:val="00C66D37"/>
    <w:rsid w:val="00C70083"/>
    <w:rsid w:val="00C706BE"/>
    <w:rsid w:val="00C72571"/>
    <w:rsid w:val="00C84BD8"/>
    <w:rsid w:val="00C85D8E"/>
    <w:rsid w:val="00C86B1A"/>
    <w:rsid w:val="00C91111"/>
    <w:rsid w:val="00C917CD"/>
    <w:rsid w:val="00C91FAA"/>
    <w:rsid w:val="00C94315"/>
    <w:rsid w:val="00C96647"/>
    <w:rsid w:val="00CA4AF4"/>
    <w:rsid w:val="00CB0325"/>
    <w:rsid w:val="00CB0B5F"/>
    <w:rsid w:val="00CB2526"/>
    <w:rsid w:val="00CB27D4"/>
    <w:rsid w:val="00CC0150"/>
    <w:rsid w:val="00CC4711"/>
    <w:rsid w:val="00CC761D"/>
    <w:rsid w:val="00CD215A"/>
    <w:rsid w:val="00CD4094"/>
    <w:rsid w:val="00CD40DA"/>
    <w:rsid w:val="00CD53C9"/>
    <w:rsid w:val="00CE0DFE"/>
    <w:rsid w:val="00CE3704"/>
    <w:rsid w:val="00CE5165"/>
    <w:rsid w:val="00CE7887"/>
    <w:rsid w:val="00CF1A79"/>
    <w:rsid w:val="00CF2D78"/>
    <w:rsid w:val="00D1077E"/>
    <w:rsid w:val="00D10B1F"/>
    <w:rsid w:val="00D10B6A"/>
    <w:rsid w:val="00D137D0"/>
    <w:rsid w:val="00D26E10"/>
    <w:rsid w:val="00D2747D"/>
    <w:rsid w:val="00D2793C"/>
    <w:rsid w:val="00D27956"/>
    <w:rsid w:val="00D335C8"/>
    <w:rsid w:val="00D33A11"/>
    <w:rsid w:val="00D36734"/>
    <w:rsid w:val="00D369EC"/>
    <w:rsid w:val="00D407C2"/>
    <w:rsid w:val="00D4608A"/>
    <w:rsid w:val="00D46870"/>
    <w:rsid w:val="00D55393"/>
    <w:rsid w:val="00D60D0B"/>
    <w:rsid w:val="00D66725"/>
    <w:rsid w:val="00D741F0"/>
    <w:rsid w:val="00D75E83"/>
    <w:rsid w:val="00D761D7"/>
    <w:rsid w:val="00D8371E"/>
    <w:rsid w:val="00D83A5B"/>
    <w:rsid w:val="00D9603B"/>
    <w:rsid w:val="00DA259B"/>
    <w:rsid w:val="00DA463C"/>
    <w:rsid w:val="00DB04AD"/>
    <w:rsid w:val="00DB3B99"/>
    <w:rsid w:val="00DC217E"/>
    <w:rsid w:val="00DD05EF"/>
    <w:rsid w:val="00DD1EFC"/>
    <w:rsid w:val="00DD49BE"/>
    <w:rsid w:val="00DE1AE9"/>
    <w:rsid w:val="00DE47F2"/>
    <w:rsid w:val="00DF358D"/>
    <w:rsid w:val="00DF35E3"/>
    <w:rsid w:val="00E05C75"/>
    <w:rsid w:val="00E06790"/>
    <w:rsid w:val="00E12FED"/>
    <w:rsid w:val="00E133F2"/>
    <w:rsid w:val="00E15649"/>
    <w:rsid w:val="00E15AC2"/>
    <w:rsid w:val="00E21C2B"/>
    <w:rsid w:val="00E3029B"/>
    <w:rsid w:val="00E3484E"/>
    <w:rsid w:val="00E36474"/>
    <w:rsid w:val="00E44330"/>
    <w:rsid w:val="00E45165"/>
    <w:rsid w:val="00E537DA"/>
    <w:rsid w:val="00E53AC5"/>
    <w:rsid w:val="00E55F7E"/>
    <w:rsid w:val="00E81281"/>
    <w:rsid w:val="00E834D0"/>
    <w:rsid w:val="00E9029F"/>
    <w:rsid w:val="00E95FB3"/>
    <w:rsid w:val="00EA4F00"/>
    <w:rsid w:val="00EA69EE"/>
    <w:rsid w:val="00EB0257"/>
    <w:rsid w:val="00EB236F"/>
    <w:rsid w:val="00EC4D7F"/>
    <w:rsid w:val="00EC7B59"/>
    <w:rsid w:val="00ED007A"/>
    <w:rsid w:val="00ED0781"/>
    <w:rsid w:val="00ED1244"/>
    <w:rsid w:val="00ED283D"/>
    <w:rsid w:val="00ED5D9F"/>
    <w:rsid w:val="00EE14F2"/>
    <w:rsid w:val="00EE160D"/>
    <w:rsid w:val="00EE2127"/>
    <w:rsid w:val="00EF3DB0"/>
    <w:rsid w:val="00EF6CD5"/>
    <w:rsid w:val="00EF7FA0"/>
    <w:rsid w:val="00F02FDD"/>
    <w:rsid w:val="00F152C8"/>
    <w:rsid w:val="00F155A8"/>
    <w:rsid w:val="00F17BCD"/>
    <w:rsid w:val="00F20C19"/>
    <w:rsid w:val="00F2138F"/>
    <w:rsid w:val="00F239AD"/>
    <w:rsid w:val="00F31DD4"/>
    <w:rsid w:val="00F33CA5"/>
    <w:rsid w:val="00F374CA"/>
    <w:rsid w:val="00F4387F"/>
    <w:rsid w:val="00F47C70"/>
    <w:rsid w:val="00F51531"/>
    <w:rsid w:val="00F546DA"/>
    <w:rsid w:val="00F54F06"/>
    <w:rsid w:val="00F55088"/>
    <w:rsid w:val="00F572F8"/>
    <w:rsid w:val="00F60569"/>
    <w:rsid w:val="00F62488"/>
    <w:rsid w:val="00F651ED"/>
    <w:rsid w:val="00F705C0"/>
    <w:rsid w:val="00F73CD4"/>
    <w:rsid w:val="00F74478"/>
    <w:rsid w:val="00F90846"/>
    <w:rsid w:val="00FA144D"/>
    <w:rsid w:val="00FA157F"/>
    <w:rsid w:val="00FA1E30"/>
    <w:rsid w:val="00FA365B"/>
    <w:rsid w:val="00FA6734"/>
    <w:rsid w:val="00FB1AAD"/>
    <w:rsid w:val="00FB2FDE"/>
    <w:rsid w:val="00FD0801"/>
    <w:rsid w:val="00FE18E7"/>
    <w:rsid w:val="00FE3D72"/>
    <w:rsid w:val="00FE40A3"/>
    <w:rsid w:val="00FE6D5B"/>
    <w:rsid w:val="00FF3512"/>
    <w:rsid w:val="00FF4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F6A7E"/>
  <w15:docId w15:val="{A3E6F1C6-9CE9-4A9F-B5E7-F1028360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D2"/>
  </w:style>
  <w:style w:type="paragraph" w:styleId="Heading3">
    <w:name w:val="heading 3"/>
    <w:basedOn w:val="Normal"/>
    <w:next w:val="Normal"/>
    <w:link w:val="Heading3Char"/>
    <w:uiPriority w:val="9"/>
    <w:semiHidden/>
    <w:unhideWhenUsed/>
    <w:qFormat/>
    <w:rsid w:val="006B2A6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761D"/>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HeaderChar">
    <w:name w:val="Header Char"/>
    <w:basedOn w:val="DefaultParagraphFont"/>
    <w:link w:val="Header"/>
    <w:rsid w:val="00CC761D"/>
    <w:rPr>
      <w:rFonts w:ascii="Times New Roman" w:eastAsia="Times New Roman" w:hAnsi="Times New Roman" w:cs="Times New Roman"/>
      <w:sz w:val="20"/>
      <w:szCs w:val="20"/>
      <w:lang w:val="fr-FR" w:eastAsia="es-ES"/>
    </w:rPr>
  </w:style>
  <w:style w:type="paragraph" w:styleId="Footer">
    <w:name w:val="footer"/>
    <w:basedOn w:val="Normal"/>
    <w:link w:val="FooterChar"/>
    <w:uiPriority w:val="99"/>
    <w:rsid w:val="00CC761D"/>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FooterChar">
    <w:name w:val="Footer Char"/>
    <w:basedOn w:val="DefaultParagraphFont"/>
    <w:link w:val="Footer"/>
    <w:uiPriority w:val="99"/>
    <w:rsid w:val="00CC761D"/>
    <w:rPr>
      <w:rFonts w:ascii="Times New Roman" w:eastAsia="Times New Roman" w:hAnsi="Times New Roman" w:cs="Times New Roman"/>
      <w:sz w:val="20"/>
      <w:szCs w:val="20"/>
      <w:lang w:val="fr-FR" w:eastAsia="es-ES"/>
    </w:rPr>
  </w:style>
  <w:style w:type="paragraph" w:styleId="FootnoteText">
    <w:name w:val="footnote text"/>
    <w:basedOn w:val="Normal"/>
    <w:link w:val="FootnoteTextChar"/>
    <w:semiHidden/>
    <w:rsid w:val="00CC761D"/>
    <w:pPr>
      <w:spacing w:after="0" w:line="240" w:lineRule="auto"/>
    </w:pPr>
    <w:rPr>
      <w:rFonts w:ascii="Times New Roman" w:eastAsia="Times New Roman" w:hAnsi="Times New Roman" w:cs="Times New Roman"/>
      <w:sz w:val="20"/>
      <w:szCs w:val="20"/>
      <w:lang w:eastAsia="es-ES"/>
    </w:rPr>
  </w:style>
  <w:style w:type="character" w:customStyle="1" w:styleId="FootnoteTextChar">
    <w:name w:val="Footnote Text Char"/>
    <w:basedOn w:val="DefaultParagraphFont"/>
    <w:link w:val="FootnoteText"/>
    <w:semiHidden/>
    <w:rsid w:val="00CC761D"/>
    <w:rPr>
      <w:rFonts w:ascii="Times New Roman" w:eastAsia="Times New Roman" w:hAnsi="Times New Roman" w:cs="Times New Roman"/>
      <w:sz w:val="20"/>
      <w:szCs w:val="20"/>
      <w:lang w:val="fr-FR" w:eastAsia="es-ES"/>
    </w:rPr>
  </w:style>
  <w:style w:type="character" w:styleId="PageNumber">
    <w:name w:val="page number"/>
    <w:basedOn w:val="DefaultParagraphFont"/>
    <w:rsid w:val="00CC761D"/>
  </w:style>
  <w:style w:type="paragraph" w:customStyle="1" w:styleId="Formatolibre">
    <w:name w:val="Formato libre"/>
    <w:rsid w:val="00CC761D"/>
    <w:pPr>
      <w:spacing w:after="0" w:line="336" w:lineRule="auto"/>
    </w:pPr>
    <w:rPr>
      <w:rFonts w:ascii="Bodoni SvtyTwo OS ITC TT-Book" w:eastAsia="ヒラギノ角ゴ Pro W3" w:hAnsi="Bodoni SvtyTwo OS ITC TT-Book" w:cs="Times New Roman"/>
      <w:color w:val="000000"/>
      <w:sz w:val="24"/>
      <w:szCs w:val="20"/>
    </w:rPr>
  </w:style>
  <w:style w:type="paragraph" w:customStyle="1" w:styleId="parrafo">
    <w:name w:val="parrafo"/>
    <w:basedOn w:val="Normal"/>
    <w:qFormat/>
    <w:rsid w:val="00272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A72F3C"/>
    <w:pPr>
      <w:ind w:left="720"/>
      <w:contextualSpacing/>
    </w:pPr>
  </w:style>
  <w:style w:type="paragraph" w:styleId="BalloonText">
    <w:name w:val="Balloon Text"/>
    <w:basedOn w:val="Normal"/>
    <w:link w:val="BalloonTextChar"/>
    <w:uiPriority w:val="99"/>
    <w:semiHidden/>
    <w:unhideWhenUsed/>
    <w:rsid w:val="00050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C6"/>
    <w:rPr>
      <w:rFonts w:ascii="Segoe UI" w:hAnsi="Segoe UI" w:cs="Segoe UI"/>
      <w:sz w:val="18"/>
      <w:szCs w:val="18"/>
    </w:rPr>
  </w:style>
  <w:style w:type="character" w:styleId="CommentReference">
    <w:name w:val="annotation reference"/>
    <w:basedOn w:val="DefaultParagraphFont"/>
    <w:uiPriority w:val="99"/>
    <w:semiHidden/>
    <w:unhideWhenUsed/>
    <w:rsid w:val="00DB3B99"/>
    <w:rPr>
      <w:sz w:val="16"/>
      <w:szCs w:val="16"/>
    </w:rPr>
  </w:style>
  <w:style w:type="paragraph" w:styleId="CommentText">
    <w:name w:val="annotation text"/>
    <w:basedOn w:val="Normal"/>
    <w:link w:val="CommentTextChar"/>
    <w:uiPriority w:val="99"/>
    <w:semiHidden/>
    <w:unhideWhenUsed/>
    <w:rsid w:val="00DB3B99"/>
    <w:pPr>
      <w:spacing w:line="240" w:lineRule="auto"/>
    </w:pPr>
    <w:rPr>
      <w:sz w:val="20"/>
      <w:szCs w:val="20"/>
    </w:rPr>
  </w:style>
  <w:style w:type="character" w:customStyle="1" w:styleId="CommentTextChar">
    <w:name w:val="Comment Text Char"/>
    <w:basedOn w:val="DefaultParagraphFont"/>
    <w:link w:val="CommentText"/>
    <w:uiPriority w:val="99"/>
    <w:semiHidden/>
    <w:rsid w:val="00DB3B99"/>
    <w:rPr>
      <w:sz w:val="20"/>
      <w:szCs w:val="20"/>
    </w:rPr>
  </w:style>
  <w:style w:type="paragraph" w:styleId="CommentSubject">
    <w:name w:val="annotation subject"/>
    <w:basedOn w:val="CommentText"/>
    <w:next w:val="CommentText"/>
    <w:link w:val="CommentSubjectChar"/>
    <w:uiPriority w:val="99"/>
    <w:semiHidden/>
    <w:unhideWhenUsed/>
    <w:rsid w:val="00DB3B99"/>
    <w:rPr>
      <w:b/>
      <w:bCs/>
    </w:rPr>
  </w:style>
  <w:style w:type="character" w:customStyle="1" w:styleId="CommentSubjectChar">
    <w:name w:val="Comment Subject Char"/>
    <w:basedOn w:val="CommentTextChar"/>
    <w:link w:val="CommentSubject"/>
    <w:uiPriority w:val="99"/>
    <w:semiHidden/>
    <w:rsid w:val="00DB3B99"/>
    <w:rPr>
      <w:b/>
      <w:bCs/>
      <w:sz w:val="20"/>
      <w:szCs w:val="20"/>
    </w:rPr>
  </w:style>
  <w:style w:type="table" w:styleId="TableGrid">
    <w:name w:val="Table Grid"/>
    <w:basedOn w:val="TableNormal"/>
    <w:uiPriority w:val="59"/>
    <w:rsid w:val="00B5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88779E"/>
    <w:pPr>
      <w:spacing w:after="200" w:line="252" w:lineRule="auto"/>
      <w:ind w:left="720"/>
    </w:pPr>
    <w:rPr>
      <w:rFonts w:ascii="Cambria" w:eastAsia="Times New Roman" w:hAnsi="Cambria" w:cs="Times New Roman"/>
      <w:lang w:eastAsia="es-ES_tradnl"/>
    </w:rPr>
  </w:style>
  <w:style w:type="paragraph" w:styleId="Revision">
    <w:name w:val="Revision"/>
    <w:hidden/>
    <w:uiPriority w:val="99"/>
    <w:semiHidden/>
    <w:rsid w:val="00987CB5"/>
    <w:pPr>
      <w:spacing w:after="0" w:line="240" w:lineRule="auto"/>
    </w:pPr>
  </w:style>
  <w:style w:type="character" w:styleId="Hyperlink">
    <w:name w:val="Hyperlink"/>
    <w:basedOn w:val="DefaultParagraphFont"/>
    <w:uiPriority w:val="99"/>
    <w:unhideWhenUsed/>
    <w:rsid w:val="00F20C19"/>
    <w:rPr>
      <w:color w:val="0563C1" w:themeColor="hyperlink"/>
      <w:u w:val="single"/>
    </w:rPr>
  </w:style>
  <w:style w:type="character" w:customStyle="1" w:styleId="Heading3Char">
    <w:name w:val="Heading 3 Char"/>
    <w:basedOn w:val="DefaultParagraphFont"/>
    <w:link w:val="Heading3"/>
    <w:uiPriority w:val="9"/>
    <w:semiHidden/>
    <w:rsid w:val="006B2A6A"/>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086B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188">
      <w:bodyDiv w:val="1"/>
      <w:marLeft w:val="0"/>
      <w:marRight w:val="0"/>
      <w:marTop w:val="0"/>
      <w:marBottom w:val="0"/>
      <w:divBdr>
        <w:top w:val="none" w:sz="0" w:space="0" w:color="auto"/>
        <w:left w:val="none" w:sz="0" w:space="0" w:color="auto"/>
        <w:bottom w:val="none" w:sz="0" w:space="0" w:color="auto"/>
        <w:right w:val="none" w:sz="0" w:space="0" w:color="auto"/>
      </w:divBdr>
    </w:div>
    <w:div w:id="60173944">
      <w:bodyDiv w:val="1"/>
      <w:marLeft w:val="0"/>
      <w:marRight w:val="0"/>
      <w:marTop w:val="0"/>
      <w:marBottom w:val="0"/>
      <w:divBdr>
        <w:top w:val="none" w:sz="0" w:space="0" w:color="auto"/>
        <w:left w:val="none" w:sz="0" w:space="0" w:color="auto"/>
        <w:bottom w:val="none" w:sz="0" w:space="0" w:color="auto"/>
        <w:right w:val="none" w:sz="0" w:space="0" w:color="auto"/>
      </w:divBdr>
    </w:div>
    <w:div w:id="67505905">
      <w:bodyDiv w:val="1"/>
      <w:marLeft w:val="0"/>
      <w:marRight w:val="0"/>
      <w:marTop w:val="0"/>
      <w:marBottom w:val="0"/>
      <w:divBdr>
        <w:top w:val="none" w:sz="0" w:space="0" w:color="auto"/>
        <w:left w:val="none" w:sz="0" w:space="0" w:color="auto"/>
        <w:bottom w:val="none" w:sz="0" w:space="0" w:color="auto"/>
        <w:right w:val="none" w:sz="0" w:space="0" w:color="auto"/>
      </w:divBdr>
    </w:div>
    <w:div w:id="376392164">
      <w:bodyDiv w:val="1"/>
      <w:marLeft w:val="0"/>
      <w:marRight w:val="0"/>
      <w:marTop w:val="0"/>
      <w:marBottom w:val="0"/>
      <w:divBdr>
        <w:top w:val="none" w:sz="0" w:space="0" w:color="auto"/>
        <w:left w:val="none" w:sz="0" w:space="0" w:color="auto"/>
        <w:bottom w:val="none" w:sz="0" w:space="0" w:color="auto"/>
        <w:right w:val="none" w:sz="0" w:space="0" w:color="auto"/>
      </w:divBdr>
    </w:div>
    <w:div w:id="545412935">
      <w:bodyDiv w:val="1"/>
      <w:marLeft w:val="0"/>
      <w:marRight w:val="0"/>
      <w:marTop w:val="0"/>
      <w:marBottom w:val="0"/>
      <w:divBdr>
        <w:top w:val="none" w:sz="0" w:space="0" w:color="auto"/>
        <w:left w:val="none" w:sz="0" w:space="0" w:color="auto"/>
        <w:bottom w:val="none" w:sz="0" w:space="0" w:color="auto"/>
        <w:right w:val="none" w:sz="0" w:space="0" w:color="auto"/>
      </w:divBdr>
    </w:div>
    <w:div w:id="638458206">
      <w:bodyDiv w:val="1"/>
      <w:marLeft w:val="0"/>
      <w:marRight w:val="0"/>
      <w:marTop w:val="0"/>
      <w:marBottom w:val="0"/>
      <w:divBdr>
        <w:top w:val="none" w:sz="0" w:space="0" w:color="auto"/>
        <w:left w:val="none" w:sz="0" w:space="0" w:color="auto"/>
        <w:bottom w:val="none" w:sz="0" w:space="0" w:color="auto"/>
        <w:right w:val="none" w:sz="0" w:space="0" w:color="auto"/>
      </w:divBdr>
    </w:div>
    <w:div w:id="646740004">
      <w:bodyDiv w:val="1"/>
      <w:marLeft w:val="0"/>
      <w:marRight w:val="0"/>
      <w:marTop w:val="0"/>
      <w:marBottom w:val="0"/>
      <w:divBdr>
        <w:top w:val="none" w:sz="0" w:space="0" w:color="auto"/>
        <w:left w:val="none" w:sz="0" w:space="0" w:color="auto"/>
        <w:bottom w:val="none" w:sz="0" w:space="0" w:color="auto"/>
        <w:right w:val="none" w:sz="0" w:space="0" w:color="auto"/>
      </w:divBdr>
    </w:div>
    <w:div w:id="685406331">
      <w:bodyDiv w:val="1"/>
      <w:marLeft w:val="0"/>
      <w:marRight w:val="0"/>
      <w:marTop w:val="0"/>
      <w:marBottom w:val="0"/>
      <w:divBdr>
        <w:top w:val="none" w:sz="0" w:space="0" w:color="auto"/>
        <w:left w:val="none" w:sz="0" w:space="0" w:color="auto"/>
        <w:bottom w:val="none" w:sz="0" w:space="0" w:color="auto"/>
        <w:right w:val="none" w:sz="0" w:space="0" w:color="auto"/>
      </w:divBdr>
    </w:div>
    <w:div w:id="790632054">
      <w:bodyDiv w:val="1"/>
      <w:marLeft w:val="0"/>
      <w:marRight w:val="0"/>
      <w:marTop w:val="0"/>
      <w:marBottom w:val="0"/>
      <w:divBdr>
        <w:top w:val="none" w:sz="0" w:space="0" w:color="auto"/>
        <w:left w:val="none" w:sz="0" w:space="0" w:color="auto"/>
        <w:bottom w:val="none" w:sz="0" w:space="0" w:color="auto"/>
        <w:right w:val="none" w:sz="0" w:space="0" w:color="auto"/>
      </w:divBdr>
    </w:div>
    <w:div w:id="951932703">
      <w:bodyDiv w:val="1"/>
      <w:marLeft w:val="0"/>
      <w:marRight w:val="0"/>
      <w:marTop w:val="0"/>
      <w:marBottom w:val="0"/>
      <w:divBdr>
        <w:top w:val="none" w:sz="0" w:space="0" w:color="auto"/>
        <w:left w:val="none" w:sz="0" w:space="0" w:color="auto"/>
        <w:bottom w:val="none" w:sz="0" w:space="0" w:color="auto"/>
        <w:right w:val="none" w:sz="0" w:space="0" w:color="auto"/>
      </w:divBdr>
    </w:div>
    <w:div w:id="1076903642">
      <w:bodyDiv w:val="1"/>
      <w:marLeft w:val="0"/>
      <w:marRight w:val="0"/>
      <w:marTop w:val="0"/>
      <w:marBottom w:val="0"/>
      <w:divBdr>
        <w:top w:val="none" w:sz="0" w:space="0" w:color="auto"/>
        <w:left w:val="none" w:sz="0" w:space="0" w:color="auto"/>
        <w:bottom w:val="none" w:sz="0" w:space="0" w:color="auto"/>
        <w:right w:val="none" w:sz="0" w:space="0" w:color="auto"/>
      </w:divBdr>
    </w:div>
    <w:div w:id="1194928770">
      <w:bodyDiv w:val="1"/>
      <w:marLeft w:val="0"/>
      <w:marRight w:val="0"/>
      <w:marTop w:val="0"/>
      <w:marBottom w:val="0"/>
      <w:divBdr>
        <w:top w:val="none" w:sz="0" w:space="0" w:color="auto"/>
        <w:left w:val="none" w:sz="0" w:space="0" w:color="auto"/>
        <w:bottom w:val="none" w:sz="0" w:space="0" w:color="auto"/>
        <w:right w:val="none" w:sz="0" w:space="0" w:color="auto"/>
      </w:divBdr>
    </w:div>
    <w:div w:id="1607345961">
      <w:bodyDiv w:val="1"/>
      <w:marLeft w:val="0"/>
      <w:marRight w:val="0"/>
      <w:marTop w:val="0"/>
      <w:marBottom w:val="0"/>
      <w:divBdr>
        <w:top w:val="none" w:sz="0" w:space="0" w:color="auto"/>
        <w:left w:val="none" w:sz="0" w:space="0" w:color="auto"/>
        <w:bottom w:val="none" w:sz="0" w:space="0" w:color="auto"/>
        <w:right w:val="none" w:sz="0" w:space="0" w:color="auto"/>
      </w:divBdr>
    </w:div>
    <w:div w:id="1677463631">
      <w:bodyDiv w:val="1"/>
      <w:marLeft w:val="0"/>
      <w:marRight w:val="0"/>
      <w:marTop w:val="0"/>
      <w:marBottom w:val="0"/>
      <w:divBdr>
        <w:top w:val="none" w:sz="0" w:space="0" w:color="auto"/>
        <w:left w:val="none" w:sz="0" w:space="0" w:color="auto"/>
        <w:bottom w:val="none" w:sz="0" w:space="0" w:color="auto"/>
        <w:right w:val="none" w:sz="0" w:space="0" w:color="auto"/>
      </w:divBdr>
    </w:div>
    <w:div w:id="1708023734">
      <w:bodyDiv w:val="1"/>
      <w:marLeft w:val="0"/>
      <w:marRight w:val="0"/>
      <w:marTop w:val="0"/>
      <w:marBottom w:val="0"/>
      <w:divBdr>
        <w:top w:val="none" w:sz="0" w:space="0" w:color="auto"/>
        <w:left w:val="none" w:sz="0" w:space="0" w:color="auto"/>
        <w:bottom w:val="none" w:sz="0" w:space="0" w:color="auto"/>
        <w:right w:val="none" w:sz="0" w:space="0" w:color="auto"/>
      </w:divBdr>
    </w:div>
    <w:div w:id="1814057605">
      <w:bodyDiv w:val="1"/>
      <w:marLeft w:val="0"/>
      <w:marRight w:val="0"/>
      <w:marTop w:val="0"/>
      <w:marBottom w:val="0"/>
      <w:divBdr>
        <w:top w:val="none" w:sz="0" w:space="0" w:color="auto"/>
        <w:left w:val="none" w:sz="0" w:space="0" w:color="auto"/>
        <w:bottom w:val="none" w:sz="0" w:space="0" w:color="auto"/>
        <w:right w:val="none" w:sz="0" w:space="0" w:color="auto"/>
      </w:divBdr>
    </w:div>
    <w:div w:id="2121603118">
      <w:bodyDiv w:val="1"/>
      <w:marLeft w:val="0"/>
      <w:marRight w:val="0"/>
      <w:marTop w:val="0"/>
      <w:marBottom w:val="0"/>
      <w:divBdr>
        <w:top w:val="none" w:sz="0" w:space="0" w:color="auto"/>
        <w:left w:val="none" w:sz="0" w:space="0" w:color="auto"/>
        <w:bottom w:val="none" w:sz="0" w:space="0" w:color="auto"/>
        <w:right w:val="none" w:sz="0" w:space="0" w:color="auto"/>
      </w:divBdr>
      <w:divsChild>
        <w:div w:id="934940296">
          <w:marLeft w:val="0"/>
          <w:marRight w:val="0"/>
          <w:marTop w:val="480"/>
          <w:marBottom w:val="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91327-33CA-4B87-8895-24CBB77E24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BB513DE-B13F-42D3-9BB7-C7A2360C8B4D}">
  <ds:schemaRefs>
    <ds:schemaRef ds:uri="http://schemas.openxmlformats.org/officeDocument/2006/bibliography"/>
  </ds:schemaRefs>
</ds:datastoreItem>
</file>

<file path=customXml/itemProps3.xml><?xml version="1.0" encoding="utf-8"?>
<ds:datastoreItem xmlns:ds="http://schemas.openxmlformats.org/officeDocument/2006/customXml" ds:itemID="{1038F009-46DB-4581-AACF-D4E9C481E457}">
  <ds:schemaRefs>
    <ds:schemaRef ds:uri="http://schemas.microsoft.com/sharepoint/v3/contenttype/forms"/>
  </ds:schemaRefs>
</ds:datastoreItem>
</file>

<file path=customXml/itemProps4.xml><?xml version="1.0" encoding="utf-8"?>
<ds:datastoreItem xmlns:ds="http://schemas.openxmlformats.org/officeDocument/2006/customXml" ds:itemID="{01E643FC-6B7A-4BCF-B504-333AAD06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32</Pages>
  <Words>11003</Words>
  <Characters>62718</Characters>
  <Application>Microsoft Office Word</Application>
  <DocSecurity>0</DocSecurity>
  <Lines>522</Lines>
  <Paragraphs>147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Economía, Industria y Competitividad</Company>
  <LinksUpToDate>false</LinksUpToDate>
  <CharactersWithSpaces>73574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Reyes Granados, Marta</dc:creator>
  <cp:lastModifiedBy>Dimitris Dimitriadis</cp:lastModifiedBy>
  <cp:revision>8</cp:revision>
  <cp:lastPrinted>2020-03-06T07:52:00Z</cp:lastPrinted>
  <dcterms:created xsi:type="dcterms:W3CDTF">2022-07-01T08:12:00Z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