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JOURNAL OFFICIEL FÉDÉRAL</w:t>
      </w:r>
    </w:p>
    <w:p w:rsidR="00F10F73" w:rsidRPr="00EB5BAD" w:rsidRDefault="00F10F73" w:rsidP="00EB60F8">
      <w:pPr>
        <w:pStyle w:val="03RepOesterr"/>
      </w:pPr>
      <w:r>
        <w:t xml:space="preserve">DE LA RÉPUBLIQUE D’AUTRICHE</w:t>
      </w:r>
    </w:p>
    <w:p w:rsidR="00F10F73" w:rsidRPr="00EB5BAD" w:rsidRDefault="00F10F73" w:rsidP="00EB60F8">
      <w:pPr>
        <w:pStyle w:val="04AusgabeDaten"/>
      </w:pPr>
      <w:r>
        <w:t xml:space="preserve">Année 2020</w:t>
      </w:r>
      <w:r>
        <w:tab/>
      </w:r>
      <w:r>
        <w:t xml:space="preserve">Publié le 18 février 2020</w:t>
      </w:r>
      <w:r>
        <w:tab/>
      </w:r>
      <w:r>
        <w:t xml:space="preserve">Partie II</w:t>
      </w:r>
    </w:p>
    <w:p w:rsidR="00F10F73" w:rsidRPr="00EB5BAD" w:rsidRDefault="00F10F73" w:rsidP="00EB60F8">
      <w:pPr>
        <w:pStyle w:val="05Kurztitel"/>
      </w:pPr>
      <w:r>
        <w:t xml:space="preserve">30e décret :</w:t>
      </w:r>
      <w:r>
        <w:tab/>
      </w:r>
      <w:r>
        <w:t xml:space="preserve">Sécurité de l’approvisionnement en médicament</w:t>
      </w:r>
    </w:p>
    <w:p w:rsidR="00F10F73" w:rsidRPr="00EB5BAD" w:rsidRDefault="00F10F73" w:rsidP="00EB60F8">
      <w:pPr>
        <w:pStyle w:val="11Titel"/>
      </w:pPr>
      <w:r>
        <w:t xml:space="preserve">30e décret de la ministre fédérale du travail, des affaires sociales, de la santé et de la protection des consommateurs sur la sécurité de l’approvisionnement en médicament</w:t>
      </w:r>
    </w:p>
    <w:p w:rsidR="00F10F73" w:rsidRPr="00EB5BAD" w:rsidRDefault="00F10F73" w:rsidP="00EB60F8">
      <w:pPr>
        <w:pStyle w:val="12PromKlEinlSatz"/>
      </w:pPr>
      <w:r>
        <w:t xml:space="preserve">En vertu de l’article 57a, paragraphe 2 de la loi sur les médicaments publiée au Journal officiel de la République d’Autriche nº 185/1983, modifiée en dernier lieu par la loi fédérale publiée au Journal officiel de la République d’Autriche I n° 104/2019 et modifiée par la loi sur les ministères fédéraux de 2020, le Journal officiel de la République d’Autriche I n° 8/2020, il est décrété ce qui suit :</w:t>
      </w:r>
    </w:p>
    <w:p w:rsidR="00F10F73" w:rsidRPr="00EB5BAD" w:rsidRDefault="00F10F73" w:rsidP="00EB60F8">
      <w:pPr>
        <w:pStyle w:val="51Abs"/>
      </w:pPr>
      <w:r>
        <w:rPr>
          <w:rStyle w:val="991GldSymbol"/>
        </w:rPr>
        <w:t xml:space="preserve">Article premier</w:t>
      </w:r>
      <w:r>
        <w:t xml:space="preserve"> </w:t>
      </w:r>
      <w:r>
        <w:t xml:space="preserve">(1) Le titulaire de l’autorisation notifie immédiatement à l’Office fédéral de la santé publique toute restriction à la capacité de distribution d’un médicament sous ordonnance en Autriche.</w:t>
      </w:r>
      <w:r>
        <w:t xml:space="preserve"> </w:t>
      </w:r>
      <w:r>
        <w:t xml:space="preserve">Une restriction de la capacité de distribution est définie comme la non-disponibilité d’un médicament sous ordonnance qui devrait durer plus de deux semaines ou comme une disponibilité insuffisante d’un médicament sur ordonnance qui devrait durer plus de quatre semaines afin de répondre aux besoins des patients en Autriche.</w:t>
      </w:r>
    </w:p>
    <w:p w:rsidR="00F10F73" w:rsidRPr="00EB5BAD" w:rsidRDefault="00F10F73" w:rsidP="00EB60F8">
      <w:pPr>
        <w:pStyle w:val="51Abs"/>
      </w:pPr>
      <w:r>
        <w:t xml:space="preserve">(2) Conformément aux exigences de l’ordonnance de l’Office fédéral de la santé publique, la notification visée au paragraphe 1 doit être effectuée par transmission électronique des demandes et des notifications (Ordonnance sur la soumission électronique 2011 - EEVO).</w:t>
      </w:r>
    </w:p>
    <w:p w:rsidR="00F10F73" w:rsidRPr="00EB5BAD" w:rsidRDefault="00F10F73" w:rsidP="00EB60F8">
      <w:pPr>
        <w:pStyle w:val="51Abs"/>
      </w:pPr>
      <w:r>
        <w:t xml:space="preserve">(3) Après avoir vérifié la notification visée au paragraphe 1, l’Office fédéral de la santé publique doit publier de façon accessible à tous les médicaments déclarés sur une liste figurant sur sa page d’accueil, au plus tôt le jour où la restriction de la distribution s’applique.</w:t>
      </w:r>
    </w:p>
    <w:p w:rsidR="00F10F73" w:rsidRPr="00EB5BAD" w:rsidRDefault="00F10F73" w:rsidP="00EB60F8">
      <w:pPr>
        <w:pStyle w:val="51Abs"/>
      </w:pPr>
      <w:r>
        <w:t xml:space="preserve">(4) La vérification de la notification par le titulaire de l’autorisation de mise sur le marché de la restriction de distribution du médicament concerné porte en particulier sur le nombre de patients concernés, la couverture du marché, les chiffres moyens des ventes, les besoins et les stocks calculés et les médicaments de substitution potentiels disponibles.</w:t>
      </w:r>
    </w:p>
    <w:p w:rsidR="00F10F73" w:rsidRPr="00EB5BAD" w:rsidRDefault="00F10F73" w:rsidP="00EB60F8">
      <w:pPr>
        <w:pStyle w:val="51Abs"/>
      </w:pPr>
      <w:r>
        <w:t xml:space="preserve">(5) L’Office fédéral de la santé publique vérifie régulièrement la mise à jour de la liste visée à l’article 3.</w:t>
      </w:r>
    </w:p>
    <w:p w:rsidR="00F10F73" w:rsidRPr="00EB5BAD" w:rsidRDefault="00F10F73" w:rsidP="00EB60F8">
      <w:pPr>
        <w:pStyle w:val="51Abs"/>
      </w:pPr>
      <w:r>
        <w:rPr>
          <w:rStyle w:val="991GldSymbol"/>
        </w:rPr>
        <w:t xml:space="preserve">Article 2</w:t>
      </w:r>
      <w:r>
        <w:t xml:space="preserve"> </w:t>
      </w:r>
      <w:r>
        <w:t xml:space="preserve">(1) Si la restriction de la capacité de distribution d’un médicament sous ordonnance en Autriche cesse de s’appliquer, le titulaire de l’autorisation doit en informer l’Office fédéral de la santé publique.</w:t>
      </w:r>
      <w:r>
        <w:t xml:space="preserve"> </w:t>
      </w:r>
      <w:r>
        <w:t xml:space="preserve">L’article premier, paragraphe 2, s’applique par analogie.</w:t>
      </w:r>
    </w:p>
    <w:p w:rsidR="00F10F73" w:rsidRPr="00EB5BAD" w:rsidRDefault="00F10F73" w:rsidP="00EB60F8">
      <w:pPr>
        <w:pStyle w:val="51Abs"/>
      </w:pPr>
      <w:r>
        <w:t xml:space="preserve">(2) Après vérification et s’il n’y a plus de restriction de distribution, l’Office fédéral de la santé publique doit immédiatement supprimer le médicament concerné de la liste, conformément à l’article premier, paragraphe 3.</w:t>
      </w:r>
    </w:p>
    <w:p w:rsidR="00F10F73" w:rsidRPr="00EB5BAD" w:rsidRDefault="00F10F73" w:rsidP="00EB60F8">
      <w:pPr>
        <w:pStyle w:val="51Abs"/>
      </w:pPr>
      <w:r>
        <w:t xml:space="preserve">(3) Si le titulaire de l’autorisation ne remplit pas les obligations qui lui incombent en vertu de l’article 1, l’Office fédéral de la santé publique peut, après vérification, procéder à une suppression d’office.</w:t>
      </w:r>
    </w:p>
    <w:p w:rsidR="00F10F73" w:rsidRPr="00EB5BAD" w:rsidRDefault="00F10F73" w:rsidP="00EB60F8">
      <w:pPr>
        <w:pStyle w:val="51Abs"/>
      </w:pPr>
      <w:r>
        <w:rPr>
          <w:rStyle w:val="991GldSymbol"/>
        </w:rPr>
        <w:t xml:space="preserve">Article 3</w:t>
      </w:r>
      <w:r>
        <w:t xml:space="preserve"> </w:t>
      </w:r>
      <w:r>
        <w:t xml:space="preserve">(1) Si l’Office fédéral de la santé publique constate que le titulaire de l’autorisation ne s’acquitte pas de ses obligations conformément à l’article premier, paragraphe 1, en tout ou en partie, l’Office fédéral de la santé publique doit, après avoir vérifié qu’il y ait une restriction de distribution, publier de façon accessible à tous le médicament concerné dans la liste conformément à l’article premier, paragraphe 3.</w:t>
      </w:r>
    </w:p>
    <w:p w:rsidR="00F10F73" w:rsidRPr="00EB5BAD" w:rsidRDefault="00F10F73" w:rsidP="00EB60F8">
      <w:pPr>
        <w:pStyle w:val="51Abs"/>
      </w:pPr>
      <w:r>
        <w:t xml:space="preserve">(3) S’il n’y a plus de restriction de distribution conformément au paragraphe 1, le paragraphe 2 s’applique mutatis mutandis.</w:t>
      </w:r>
    </w:p>
    <w:p w:rsidR="00F10F73" w:rsidRPr="00EB5BAD" w:rsidRDefault="00F10F73" w:rsidP="00EB60F8">
      <w:pPr>
        <w:pStyle w:val="51Abs"/>
      </w:pPr>
      <w:r>
        <w:rPr>
          <w:rStyle w:val="991GldSymbol"/>
        </w:rPr>
        <w:t xml:space="preserve">Article 4</w:t>
      </w:r>
      <w:r>
        <w:t xml:space="preserve"> </w:t>
      </w:r>
      <w:r>
        <w:t xml:space="preserve">(1) Si l’Office fédéral de la santé publique constate que le médicament sur ordonnance ne répond pas aux besoins des patients en Autriche, même si aucune restriction de distribution n'a été notifiée par le titulaire de l’autorisation, l’Office fédéral de la santé publique doit, le cas échéant et après vérification, publier de façon accessible à tous le médicament concerné dans la liste conformément à l’article premier, paragraphe 3.</w:t>
      </w:r>
    </w:p>
    <w:p w:rsidR="00F10F73" w:rsidRPr="00EB5BAD" w:rsidRDefault="00F10F73" w:rsidP="00EB60F8">
      <w:pPr>
        <w:pStyle w:val="51Abs"/>
      </w:pPr>
      <w:r>
        <w:t xml:space="preserve">(2) Dans le cas où une autre restriction n’est plus présente en vertu de l’article 1, l’Office fédéral de la santé publique procède, après vérification, à une suppression d’office du médicament concerné de la liste, conformément à l’article 1er, paragraphe 3.</w:t>
      </w:r>
    </w:p>
    <w:p w:rsidR="00F10F73" w:rsidRPr="00EB5BAD" w:rsidRDefault="00F10F73" w:rsidP="00EB60F8">
      <w:pPr>
        <w:pStyle w:val="51Abs"/>
      </w:pPr>
      <w:r>
        <w:rPr>
          <w:rStyle w:val="991GldSymbol"/>
        </w:rPr>
        <w:t xml:space="preserve">Article 5</w:t>
      </w:r>
      <w:r>
        <w:t xml:space="preserve"> </w:t>
      </w:r>
      <w:r>
        <w:t xml:space="preserve">(1) Pour des raisons de protection de la santé publique, l’exportation vers une autre partie contractante de l’Espace économique européen de médicaments sous ordonnance publiés dans la liste de l’Office fédéral de la santé publique conformément à l’article premier, paragraphe 3 est interdite.</w:t>
      </w:r>
    </w:p>
    <w:p w:rsidR="00F10F73" w:rsidRPr="00EB5BAD" w:rsidRDefault="00F10F73" w:rsidP="00EB60F8">
      <w:pPr>
        <w:pStyle w:val="51Abs"/>
      </w:pPr>
      <w:r>
        <w:t xml:space="preserve">(2) À la demande du titulaire de l’autorisation, l’Office fédéral de la santé publique rend une décision sur l’interdiction d’exportation visée au paragraphe 1.</w:t>
      </w:r>
    </w:p>
    <w:p w:rsidR="00F10F73" w:rsidRPr="00EB5BAD" w:rsidRDefault="00F10F73" w:rsidP="00EB60F8">
      <w:pPr>
        <w:pStyle w:val="51Abs"/>
      </w:pPr>
      <w:r>
        <w:rPr>
          <w:rStyle w:val="991GldSymbol"/>
        </w:rPr>
        <w:t xml:space="preserve">Article 6</w:t>
      </w:r>
      <w:r>
        <w:t xml:space="preserve"> </w:t>
      </w:r>
      <w:r>
        <w:t xml:space="preserve">La présente ordonnance a été soumise à une procédure d’information au sens de la directive (UE) 2015/1535 du Parlement européen et du Conseil du 9 septembre 2015 prévoyant une procédure d’information dans le domaine des réglementations techniques et des règles relatives aux services de la société de l’information, JO L 241 du 17.9.2015, p. 1.</w:t>
      </w:r>
    </w:p>
    <w:p w:rsidR="00F10F73" w:rsidRPr="00EB5BAD" w:rsidRDefault="00F10F73" w:rsidP="00EB60F8">
      <w:pPr>
        <w:pStyle w:val="51Abs"/>
      </w:pPr>
      <w:r>
        <w:rPr>
          <w:rStyle w:val="991GldSymbol"/>
        </w:rPr>
        <w:t xml:space="preserve">Article 7</w:t>
      </w:r>
      <w:r>
        <w:t xml:space="preserve"> </w:t>
      </w:r>
      <w:r>
        <w:t xml:space="preserve">Le présent décret prend effet le 1er avril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Publié le 18 février 2020 – n°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sur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Publié le 18 février 2020 – n°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sur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sur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fr-FR"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fr-FR"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fr-FR"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fr-FR"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fr-FR"/>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fr-FR"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fr-FR"/>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fr-FR"/>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fr-FR"/>
    </w:rPr>
  </w:style>
  <w:style w:type="paragraph" w:customStyle="1" w:styleId="PDU1">
    <w:name w:val="PD_U1"/>
    <w:basedOn w:val="00LegStandard"/>
    <w:next w:val="Standard"/>
    <w:rsid w:val="00F10F73"/>
    <w:pPr>
      <w:tabs>
        <w:tab w:val="center" w:pos="2126"/>
        <w:tab w:val="center" w:pos="6379"/>
      </w:tabs>
      <w:spacing w:before="440"/>
    </w:pPr>
    <w:rPr>
      <w:b/>
      <w:lang w:val="fr-FR"/>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fr-FR"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fr-FR"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fr-FR"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fr-FR"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fr-FR"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fr-FR"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fr-FR"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fr-FR"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fr-FR" w:eastAsia="de-AT"/>
    </w:rPr>
  </w:style>
  <w:style w:type="paragraph" w:customStyle="1" w:styleId="58Schlussteile0Abs">
    <w:name w:val="58_Schlussteil_e0_Abs"/>
    <w:basedOn w:val="00LegStandard"/>
    <w:next w:val="51Abs"/>
    <w:rsid w:val="00F10F73"/>
    <w:pPr>
      <w:spacing w:before="40"/>
    </w:pPr>
    <w:rPr>
      <w:lang w:val="fr-FR"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fr-FR"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fr-FR"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fr-FR"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fr-FR"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fr-FR"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fr-FR"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fr-FR"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fr-FR"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fr-FR"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fr-FR"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fr-FR"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fr-FR"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fr-FR"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fr-FR"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fr-FR"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fr-FR"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