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C644D" w14:textId="6DEC18A9" w:rsidR="00427E61" w:rsidRPr="002F0EE3" w:rsidRDefault="00427E61" w:rsidP="007407D4">
      <w:pPr>
        <w:rPr>
          <w:rFonts w:ascii="Courier New" w:hAnsi="Courier New" w:cs="Courier New"/>
          <w:sz w:val="40"/>
          <w:szCs w:val="40"/>
        </w:rPr>
      </w:pPr>
      <w:bookmarkStart w:id="0" w:name="_GoBack"/>
      <w:r w:rsidRPr="002F0EE3">
        <w:rPr>
          <w:rFonts w:ascii="Courier New" w:hAnsi="Courier New" w:cs="Courier New"/>
          <w:sz w:val="20"/>
        </w:rPr>
        <w:t>1. ---</w:t>
      </w:r>
      <w:r w:rsidR="00016A28" w:rsidRPr="002F0EE3">
        <w:rPr>
          <w:rFonts w:ascii="Courier New" w:hAnsi="Courier New" w:cs="Courier New"/>
          <w:sz w:val="20"/>
        </w:rPr>
        <w:t>-</w:t>
      </w:r>
      <w:r w:rsidRPr="002F0EE3">
        <w:rPr>
          <w:rFonts w:ascii="Courier New" w:hAnsi="Courier New" w:cs="Courier New"/>
          <w:sz w:val="20"/>
        </w:rPr>
        <w:t xml:space="preserve">--IND- 2019 0522 UK- ES- ------ </w:t>
      </w:r>
      <w:r w:rsidRPr="002F0EE3">
        <w:rPr>
          <w:rFonts w:ascii="Courier New" w:hAnsi="Courier New" w:cs="Courier New"/>
          <w:color w:val="000000"/>
          <w:sz w:val="20"/>
        </w:rPr>
        <w:t>20201030</w:t>
      </w:r>
      <w:r w:rsidRPr="002F0EE3">
        <w:rPr>
          <w:rFonts w:ascii="Courier New" w:hAnsi="Courier New" w:cs="Courier New"/>
          <w:sz w:val="20"/>
        </w:rPr>
        <w:t xml:space="preserve"> --- --- FINAL</w:t>
      </w:r>
    </w:p>
    <w:p w14:paraId="284B5FB4" w14:textId="29E761B7" w:rsidR="007407D4" w:rsidRPr="002F0EE3" w:rsidRDefault="0082729B" w:rsidP="007407D4">
      <w:pPr>
        <w:rPr>
          <w:sz w:val="40"/>
          <w:szCs w:val="40"/>
        </w:rPr>
      </w:pPr>
      <w:r w:rsidRPr="002F0EE3">
        <w:rPr>
          <w:sz w:val="40"/>
        </w:rPr>
        <w:t>CD 534</w:t>
      </w:r>
    </w:p>
    <w:p w14:paraId="4F1334CA" w14:textId="77777777" w:rsidR="007407D4" w:rsidRPr="002F0EE3" w:rsidRDefault="0082729B" w:rsidP="007407D4">
      <w:pPr>
        <w:rPr>
          <w:sz w:val="40"/>
          <w:szCs w:val="40"/>
        </w:rPr>
      </w:pPr>
      <w:r w:rsidRPr="002F0EE3">
        <w:rPr>
          <w:sz w:val="40"/>
        </w:rPr>
        <w:t>Tapas de depósitos y sumideros para servicios y drenaje de carreteras</w:t>
      </w:r>
    </w:p>
    <w:p w14:paraId="3C1791A2" w14:textId="2EDD064C" w:rsidR="00231586" w:rsidRPr="002F0EE3" w:rsidRDefault="0082729B" w:rsidP="007407D4">
      <w:r w:rsidRPr="002F0EE3">
        <w:t>(antiguo HA 104/09, IAN 196/17, IAN 197/17)</w:t>
      </w:r>
    </w:p>
    <w:p w14:paraId="6F3AB689" w14:textId="77777777" w:rsidR="00231586" w:rsidRPr="002F0EE3" w:rsidRDefault="0082729B" w:rsidP="007407D4">
      <w:pPr>
        <w:rPr>
          <w:b/>
          <w:bCs/>
        </w:rPr>
      </w:pPr>
      <w:r w:rsidRPr="002F0EE3">
        <w:rPr>
          <w:b/>
        </w:rPr>
        <w:t>Resumen</w:t>
      </w:r>
    </w:p>
    <w:p w14:paraId="3A7998EF" w14:textId="77777777" w:rsidR="00231586" w:rsidRPr="002F0EE3" w:rsidRDefault="0082729B" w:rsidP="007407D4">
      <w:r w:rsidRPr="002F0EE3">
        <w:t>El presente documento contiene requisitos aplicables a las instalaciones de tapas de depósitos y sumideros en autopistas y carreteras principales generales.</w:t>
      </w:r>
    </w:p>
    <w:p w14:paraId="70474E13" w14:textId="77777777" w:rsidR="007407D4" w:rsidRPr="002F0EE3" w:rsidRDefault="007407D4" w:rsidP="007407D4"/>
    <w:p w14:paraId="7A8B1F24" w14:textId="77777777" w:rsidR="007407D4" w:rsidRPr="002F0EE3" w:rsidRDefault="007407D4" w:rsidP="007407D4"/>
    <w:p w14:paraId="4636AC2D" w14:textId="77777777" w:rsidR="007407D4" w:rsidRPr="002F0EE3" w:rsidRDefault="007407D4" w:rsidP="007407D4"/>
    <w:p w14:paraId="3A781D2E" w14:textId="77777777" w:rsidR="007407D4" w:rsidRPr="002F0EE3" w:rsidRDefault="007407D4" w:rsidP="007407D4"/>
    <w:p w14:paraId="2D043797" w14:textId="77777777" w:rsidR="007407D4" w:rsidRPr="002F0EE3" w:rsidRDefault="007407D4" w:rsidP="007407D4"/>
    <w:p w14:paraId="15D57972" w14:textId="77777777" w:rsidR="007407D4" w:rsidRPr="002F0EE3" w:rsidRDefault="007407D4" w:rsidP="007407D4"/>
    <w:p w14:paraId="65ECE9B4" w14:textId="77777777" w:rsidR="00231586" w:rsidRPr="002F0EE3" w:rsidRDefault="0082729B" w:rsidP="007407D4">
      <w:pPr>
        <w:rPr>
          <w:b/>
          <w:bCs/>
        </w:rPr>
      </w:pPr>
      <w:r w:rsidRPr="002F0EE3">
        <w:rPr>
          <w:b/>
        </w:rPr>
        <w:t>Aplicación por parte de organizaciones de supervisión</w:t>
      </w:r>
    </w:p>
    <w:p w14:paraId="4CCE9946" w14:textId="77777777" w:rsidR="00231586" w:rsidRPr="002F0EE3" w:rsidRDefault="0082729B" w:rsidP="007407D4">
      <w:r w:rsidRPr="002F0EE3">
        <w:t>Todos los requisitos específicos para organizaciones de supervisión que sean alternativos o complementarios a los que se señalan en el presente documento se indican en el mismo en forma de anexos de aplicación nacional.</w:t>
      </w:r>
    </w:p>
    <w:p w14:paraId="2CDAE813" w14:textId="77777777" w:rsidR="00231586" w:rsidRPr="002F0EE3" w:rsidRDefault="0082729B" w:rsidP="007407D4">
      <w:pPr>
        <w:rPr>
          <w:b/>
          <w:bCs/>
        </w:rPr>
      </w:pPr>
      <w:r w:rsidRPr="002F0EE3">
        <w:rPr>
          <w:b/>
        </w:rPr>
        <w:t>Comentarios y consultas</w:t>
      </w:r>
    </w:p>
    <w:p w14:paraId="39A0B8DF" w14:textId="0D6380EE" w:rsidR="007407D4" w:rsidRPr="002F0EE3" w:rsidRDefault="0082729B" w:rsidP="007407D4">
      <w:r w:rsidRPr="002F0EE3">
        <w:t>Se anima a los usuarios del presente documento a plantear dudas y dejar comentarios sobre el contenido y la utilización de este documento al equipo especializado de Highways England. La dirección de correo electrónico para las dudas y los comentarios es: Standards_Enquiries@highwaysengland.co.uk</w:t>
      </w:r>
    </w:p>
    <w:p w14:paraId="2F3AD62C" w14:textId="65E10E2A" w:rsidR="00231586" w:rsidRPr="002F0EE3" w:rsidRDefault="0082729B" w:rsidP="007407D4">
      <w:pPr>
        <w:rPr>
          <w:b/>
          <w:bCs/>
        </w:rPr>
      </w:pPr>
      <w:r w:rsidRPr="002F0EE3">
        <w:rPr>
          <w:b/>
        </w:rPr>
        <w:t>Este es un documento controlado.</w:t>
      </w:r>
    </w:p>
    <w:p w14:paraId="7F373597" w14:textId="28759770" w:rsidR="00231586" w:rsidRPr="002F0EE3" w:rsidRDefault="0082729B" w:rsidP="007407D4">
      <w:pPr>
        <w:pageBreakBefore/>
        <w:rPr>
          <w:b/>
          <w:bCs/>
        </w:rPr>
      </w:pPr>
      <w:r w:rsidRPr="002F0EE3">
        <w:rPr>
          <w:b/>
        </w:rPr>
        <w:lastRenderedPageBreak/>
        <w:t>Preámbulo</w:t>
      </w:r>
    </w:p>
    <w:p w14:paraId="040FD95F" w14:textId="77777777" w:rsidR="00231586" w:rsidRPr="002F0EE3" w:rsidRDefault="0082729B" w:rsidP="007407D4">
      <w:pPr>
        <w:rPr>
          <w:b/>
          <w:bCs/>
        </w:rPr>
      </w:pPr>
      <w:r w:rsidRPr="002F0EE3">
        <w:rPr>
          <w:b/>
        </w:rPr>
        <w:t>Información sobre la publicación</w:t>
      </w:r>
    </w:p>
    <w:p w14:paraId="6F12BA32" w14:textId="77777777" w:rsidR="00231586" w:rsidRPr="002F0EE3" w:rsidRDefault="0082729B" w:rsidP="007407D4">
      <w:r w:rsidRPr="002F0EE3">
        <w:t>Este documento ha sido publicado por Highways England.</w:t>
      </w:r>
    </w:p>
    <w:p w14:paraId="3C7E0235" w14:textId="77777777" w:rsidR="00231586" w:rsidRPr="002F0EE3" w:rsidRDefault="0082729B" w:rsidP="007407D4">
      <w:r w:rsidRPr="002F0EE3">
        <w:t>Este documento sustituye a HA 104/09, IAN 196/17 y a IAN 197/17, que quedan sin efecto.</w:t>
      </w:r>
    </w:p>
    <w:p w14:paraId="4927706A" w14:textId="77777777" w:rsidR="00231586" w:rsidRPr="002F0EE3" w:rsidRDefault="0082729B" w:rsidP="007407D4">
      <w:pPr>
        <w:rPr>
          <w:b/>
          <w:bCs/>
        </w:rPr>
      </w:pPr>
      <w:r w:rsidRPr="002F0EE3">
        <w:rPr>
          <w:b/>
        </w:rPr>
        <w:t>Consideraciones contractuales y legales</w:t>
      </w:r>
    </w:p>
    <w:p w14:paraId="09105F17" w14:textId="77777777" w:rsidR="00231586" w:rsidRPr="002F0EE3" w:rsidRDefault="0082729B" w:rsidP="007407D4">
      <w:r w:rsidRPr="002F0EE3">
        <w:t>Este documento forma parte de la especificación de obra. No pretende incluir todas las disposiciones necesarias de un contrato. Es responsabilidad de los usuarios aplicar toda la documentación adecuada correspondiente a su contrato.</w:t>
      </w:r>
    </w:p>
    <w:p w14:paraId="541C9AE5" w14:textId="1663D0E0" w:rsidR="00231586" w:rsidRPr="002F0EE3" w:rsidRDefault="0082729B" w:rsidP="007407D4">
      <w:pPr>
        <w:pageBreakBefore/>
        <w:rPr>
          <w:b/>
          <w:bCs/>
        </w:rPr>
      </w:pPr>
      <w:r w:rsidRPr="002F0EE3">
        <w:rPr>
          <w:b/>
        </w:rPr>
        <w:t>Introducción</w:t>
      </w:r>
    </w:p>
    <w:p w14:paraId="686F1D1A" w14:textId="77777777" w:rsidR="00231586" w:rsidRPr="002F0EE3" w:rsidRDefault="0082729B" w:rsidP="007407D4">
      <w:pPr>
        <w:rPr>
          <w:b/>
          <w:bCs/>
        </w:rPr>
      </w:pPr>
      <w:r w:rsidRPr="002F0EE3">
        <w:rPr>
          <w:b/>
        </w:rPr>
        <w:t>Antecedentes</w:t>
      </w:r>
    </w:p>
    <w:p w14:paraId="09BC6D74" w14:textId="77777777" w:rsidR="00231586" w:rsidRPr="002F0EE3" w:rsidRDefault="0082729B" w:rsidP="007407D4">
      <w:r w:rsidRPr="002F0EE3">
        <w:t>El presente documento establece los requisitos aplicables a las tapas de depósitos y sumideros en autopistas y carreteras principales generales. Este documento puede leerse junto con el Código de prácticas RSTA ADEPT para la instalación y renovación de sistemas de herraje [Ref. 3.I].</w:t>
      </w:r>
    </w:p>
    <w:p w14:paraId="1CBFAA0C" w14:textId="77777777" w:rsidR="00231586" w:rsidRPr="002F0EE3" w:rsidRDefault="0082729B" w:rsidP="007407D4">
      <w:r w:rsidRPr="002F0EE3">
        <w:t>Para reducir los riesgos tanto para los usuarios de la carretera como para el personal de mantenimiento, ya no se permiten tapas para los depósitos en las calzadas de nueva construcción y se debe evaluar la necesidad de las ya existentes. Al eliminar o reducir el número de tapas de depósitos en las calzadas, se reduce la necesidad de realizar cortes de carriles y de gestionar el tráfico al realizar tareas de inspección y mantenimiento rutinarias.</w:t>
      </w:r>
    </w:p>
    <w:p w14:paraId="7FEB5CF5" w14:textId="77777777" w:rsidR="00231586" w:rsidRPr="002F0EE3" w:rsidRDefault="0082729B" w:rsidP="007407D4">
      <w:r w:rsidRPr="002F0EE3">
        <w:t>El fallo prematuro de las instalaciones de tapas de depósitos y sumideros, así como el fallo del propio depósito y de la superficie del pavimento circundante, puede presentar un riesgo tanto para los operarios de mantenimiento como para los usuarios de la carretera.</w:t>
      </w:r>
    </w:p>
    <w:p w14:paraId="035A119A" w14:textId="77777777" w:rsidR="00231586" w:rsidRPr="002F0EE3" w:rsidRDefault="0082729B" w:rsidP="007407D4">
      <w:pPr>
        <w:rPr>
          <w:b/>
          <w:bCs/>
        </w:rPr>
      </w:pPr>
      <w:r w:rsidRPr="002F0EE3">
        <w:rPr>
          <w:b/>
        </w:rPr>
        <w:t>Premisas adoptadas al preparar este documento</w:t>
      </w:r>
    </w:p>
    <w:p w14:paraId="3161F852" w14:textId="77777777" w:rsidR="00231586" w:rsidRPr="002F0EE3" w:rsidRDefault="0082729B" w:rsidP="007407D4">
      <w:r w:rsidRPr="002F0EE3">
        <w:t>En este documento se aplican las premisas adoptadas en GG 101 [Ref 4.N].</w:t>
      </w:r>
    </w:p>
    <w:p w14:paraId="16801E2F" w14:textId="77777777" w:rsidR="00231586" w:rsidRPr="002F0EE3" w:rsidRDefault="0082729B" w:rsidP="007407D4">
      <w:pPr>
        <w:rPr>
          <w:b/>
          <w:bCs/>
        </w:rPr>
      </w:pPr>
      <w:r w:rsidRPr="002F0EE3">
        <w:rPr>
          <w:b/>
        </w:rPr>
        <w:t>Reconocimiento mutuo</w:t>
      </w:r>
    </w:p>
    <w:p w14:paraId="4C12B3FC" w14:textId="77777777" w:rsidR="00231586" w:rsidRPr="002F0EE3" w:rsidRDefault="0082729B" w:rsidP="007407D4">
      <w:r w:rsidRPr="002F0EE3">
        <w:t>Cuando en este documento exista un requisito de cumplimiento con alguna parte de una «norma británica» u otra especificación técnica, dicho requisito podrá satisfacerse si se cumple el documento GG 101 [Ref. 4.N].</w:t>
      </w:r>
    </w:p>
    <w:p w14:paraId="048FAC42" w14:textId="0E50E9D6" w:rsidR="00231586" w:rsidRPr="002F0EE3" w:rsidRDefault="0082729B" w:rsidP="007407D4">
      <w:pPr>
        <w:pageBreakBefore/>
        <w:rPr>
          <w:b/>
          <w:bCs/>
        </w:rPr>
      </w:pPr>
      <w:r w:rsidRPr="002F0EE3">
        <w:rPr>
          <w:b/>
        </w:rPr>
        <w:t>Abreviaturas</w:t>
      </w:r>
    </w:p>
    <w:tbl>
      <w:tblPr>
        <w:tblStyle w:val="TableGrid"/>
        <w:tblW w:w="5000" w:type="pct"/>
        <w:tblLayout w:type="fixed"/>
        <w:tblCellMar>
          <w:left w:w="43" w:type="dxa"/>
          <w:right w:w="43" w:type="dxa"/>
        </w:tblCellMar>
        <w:tblLook w:val="04A0" w:firstRow="1" w:lastRow="0" w:firstColumn="1" w:lastColumn="0" w:noHBand="0" w:noVBand="1"/>
      </w:tblPr>
      <w:tblGrid>
        <w:gridCol w:w="2245"/>
        <w:gridCol w:w="6771"/>
      </w:tblGrid>
      <w:tr w:rsidR="007407D4" w:rsidRPr="002F0EE3" w14:paraId="246BE772" w14:textId="77777777" w:rsidTr="007407D4">
        <w:tc>
          <w:tcPr>
            <w:tcW w:w="1245" w:type="pct"/>
          </w:tcPr>
          <w:p w14:paraId="78C18596" w14:textId="44F51203" w:rsidR="007407D4" w:rsidRPr="002F0EE3" w:rsidRDefault="007407D4" w:rsidP="007407D4">
            <w:pPr>
              <w:spacing w:before="20" w:after="20"/>
              <w:rPr>
                <w:b/>
                <w:bCs/>
              </w:rPr>
            </w:pPr>
            <w:r w:rsidRPr="002F0EE3">
              <w:rPr>
                <w:b/>
              </w:rPr>
              <w:t>Abreviatura</w:t>
            </w:r>
          </w:p>
        </w:tc>
        <w:tc>
          <w:tcPr>
            <w:tcW w:w="3755" w:type="pct"/>
          </w:tcPr>
          <w:p w14:paraId="332EC5ED" w14:textId="3B154E3D" w:rsidR="007407D4" w:rsidRPr="002F0EE3" w:rsidRDefault="007407D4" w:rsidP="007407D4">
            <w:pPr>
              <w:spacing w:before="20" w:after="20"/>
              <w:rPr>
                <w:b/>
                <w:bCs/>
              </w:rPr>
            </w:pPr>
            <w:r w:rsidRPr="002F0EE3">
              <w:rPr>
                <w:b/>
              </w:rPr>
              <w:t>Definición</w:t>
            </w:r>
          </w:p>
        </w:tc>
      </w:tr>
      <w:tr w:rsidR="007407D4" w:rsidRPr="002F0EE3" w14:paraId="1B00B10A" w14:textId="77777777" w:rsidTr="007407D4">
        <w:tc>
          <w:tcPr>
            <w:tcW w:w="1245" w:type="pct"/>
          </w:tcPr>
          <w:p w14:paraId="6030AE15" w14:textId="3B674AC9" w:rsidR="007407D4" w:rsidRPr="002F0EE3" w:rsidRDefault="007407D4" w:rsidP="007407D4">
            <w:pPr>
              <w:spacing w:before="20" w:after="20"/>
            </w:pPr>
            <w:r w:rsidRPr="002F0EE3">
              <w:t>AADT</w:t>
            </w:r>
          </w:p>
        </w:tc>
        <w:tc>
          <w:tcPr>
            <w:tcW w:w="3755" w:type="pct"/>
          </w:tcPr>
          <w:p w14:paraId="46934667" w14:textId="77777777" w:rsidR="007407D4" w:rsidRPr="002F0EE3" w:rsidRDefault="007407D4" w:rsidP="007407D4">
            <w:pPr>
              <w:spacing w:before="20" w:after="20"/>
            </w:pPr>
            <w:r w:rsidRPr="002F0EE3">
              <w:t>Tráfico diario medio anual</w:t>
            </w:r>
          </w:p>
        </w:tc>
      </w:tr>
      <w:tr w:rsidR="007407D4" w:rsidRPr="002F0EE3" w14:paraId="7E045F0E" w14:textId="77777777" w:rsidTr="007407D4">
        <w:tc>
          <w:tcPr>
            <w:tcW w:w="1245" w:type="pct"/>
          </w:tcPr>
          <w:p w14:paraId="04949B63" w14:textId="04ACC595" w:rsidR="007407D4" w:rsidRPr="002F0EE3" w:rsidRDefault="007407D4" w:rsidP="007407D4">
            <w:pPr>
              <w:spacing w:before="20" w:after="20"/>
            </w:pPr>
            <w:r w:rsidRPr="002F0EE3">
              <w:t>DfS</w:t>
            </w:r>
          </w:p>
        </w:tc>
        <w:tc>
          <w:tcPr>
            <w:tcW w:w="3755" w:type="pct"/>
          </w:tcPr>
          <w:p w14:paraId="5419D4C5" w14:textId="77777777" w:rsidR="007407D4" w:rsidRPr="002F0EE3" w:rsidRDefault="007407D4" w:rsidP="007407D4">
            <w:pPr>
              <w:spacing w:before="20" w:after="20"/>
            </w:pPr>
            <w:r w:rsidRPr="002F0EE3">
              <w:t>Desviación de la norma</w:t>
            </w:r>
          </w:p>
        </w:tc>
      </w:tr>
      <w:tr w:rsidR="007407D4" w:rsidRPr="002F0EE3" w14:paraId="495A40DF" w14:textId="77777777" w:rsidTr="007407D4">
        <w:tc>
          <w:tcPr>
            <w:tcW w:w="1245" w:type="pct"/>
          </w:tcPr>
          <w:p w14:paraId="08BFA5F5" w14:textId="7324A052" w:rsidR="007407D4" w:rsidRPr="002F0EE3" w:rsidRDefault="007407D4" w:rsidP="007407D4">
            <w:pPr>
              <w:spacing w:before="20" w:after="20"/>
            </w:pPr>
            <w:r w:rsidRPr="002F0EE3">
              <w:t>DSR</w:t>
            </w:r>
          </w:p>
        </w:tc>
        <w:tc>
          <w:tcPr>
            <w:tcW w:w="3755" w:type="pct"/>
          </w:tcPr>
          <w:p w14:paraId="3B4E63DF" w14:textId="77777777" w:rsidR="007407D4" w:rsidRPr="002F0EE3" w:rsidRDefault="007407D4" w:rsidP="007407D4">
            <w:pPr>
              <w:spacing w:before="20" w:after="20"/>
            </w:pPr>
            <w:r w:rsidRPr="002F0EE3">
              <w:t>Registro de estrategia de diseño</w:t>
            </w:r>
          </w:p>
        </w:tc>
      </w:tr>
      <w:tr w:rsidR="007407D4" w:rsidRPr="002F0EE3" w14:paraId="2D59B472" w14:textId="77777777" w:rsidTr="007407D4">
        <w:tc>
          <w:tcPr>
            <w:tcW w:w="1245" w:type="pct"/>
          </w:tcPr>
          <w:p w14:paraId="26778334" w14:textId="5F2756A9" w:rsidR="007407D4" w:rsidRPr="002F0EE3" w:rsidRDefault="007407D4" w:rsidP="007407D4">
            <w:pPr>
              <w:spacing w:before="20" w:after="20"/>
            </w:pPr>
            <w:r w:rsidRPr="002F0EE3">
              <w:t>LGV</w:t>
            </w:r>
          </w:p>
        </w:tc>
        <w:tc>
          <w:tcPr>
            <w:tcW w:w="3755" w:type="pct"/>
          </w:tcPr>
          <w:p w14:paraId="51F133B6" w14:textId="77777777" w:rsidR="007407D4" w:rsidRPr="002F0EE3" w:rsidRDefault="007407D4" w:rsidP="007407D4">
            <w:pPr>
              <w:spacing w:before="20" w:after="20"/>
            </w:pPr>
            <w:r w:rsidRPr="002F0EE3">
              <w:t>Vehículo grande de transporte de mercancías</w:t>
            </w:r>
          </w:p>
        </w:tc>
      </w:tr>
      <w:tr w:rsidR="007407D4" w:rsidRPr="002F0EE3" w14:paraId="2CF44AE2" w14:textId="77777777" w:rsidTr="007407D4">
        <w:tc>
          <w:tcPr>
            <w:tcW w:w="1245" w:type="pct"/>
          </w:tcPr>
          <w:p w14:paraId="656C3F65" w14:textId="03346864" w:rsidR="007407D4" w:rsidRPr="002F0EE3" w:rsidRDefault="007407D4" w:rsidP="007407D4">
            <w:pPr>
              <w:spacing w:before="20" w:after="20"/>
            </w:pPr>
            <w:r w:rsidRPr="002F0EE3">
              <w:t>NMU</w:t>
            </w:r>
          </w:p>
        </w:tc>
        <w:tc>
          <w:tcPr>
            <w:tcW w:w="3755" w:type="pct"/>
          </w:tcPr>
          <w:p w14:paraId="04C8F88F" w14:textId="77777777" w:rsidR="007407D4" w:rsidRPr="002F0EE3" w:rsidRDefault="007407D4" w:rsidP="007407D4">
            <w:pPr>
              <w:spacing w:before="20" w:after="20"/>
            </w:pPr>
            <w:r w:rsidRPr="002F0EE3">
              <w:t>Usuario no motorizado</w:t>
            </w:r>
          </w:p>
        </w:tc>
      </w:tr>
      <w:tr w:rsidR="007407D4" w:rsidRPr="002F0EE3" w14:paraId="751B81F9" w14:textId="77777777" w:rsidTr="007407D4">
        <w:tc>
          <w:tcPr>
            <w:tcW w:w="1245" w:type="pct"/>
          </w:tcPr>
          <w:p w14:paraId="32E99E23" w14:textId="0C957363" w:rsidR="007407D4" w:rsidRPr="002F0EE3" w:rsidRDefault="007407D4" w:rsidP="007407D4">
            <w:pPr>
              <w:spacing w:before="20" w:after="20"/>
            </w:pPr>
            <w:r w:rsidRPr="002F0EE3">
              <w:t>OO</w:t>
            </w:r>
          </w:p>
        </w:tc>
        <w:tc>
          <w:tcPr>
            <w:tcW w:w="3755" w:type="pct"/>
          </w:tcPr>
          <w:p w14:paraId="47647CFB" w14:textId="77777777" w:rsidR="007407D4" w:rsidRPr="002F0EE3" w:rsidRDefault="007407D4" w:rsidP="007407D4">
            <w:pPr>
              <w:spacing w:before="20" w:after="20"/>
            </w:pPr>
            <w:r w:rsidRPr="002F0EE3">
              <w:t>Organización de supervisión</w:t>
            </w:r>
          </w:p>
        </w:tc>
      </w:tr>
      <w:tr w:rsidR="007407D4" w:rsidRPr="002F0EE3" w14:paraId="35D917E1" w14:textId="77777777" w:rsidTr="007407D4">
        <w:tc>
          <w:tcPr>
            <w:tcW w:w="1245" w:type="pct"/>
          </w:tcPr>
          <w:p w14:paraId="3B5610AA" w14:textId="5C785324" w:rsidR="007407D4" w:rsidRPr="002F0EE3" w:rsidRDefault="007407D4" w:rsidP="007407D4">
            <w:pPr>
              <w:spacing w:before="20" w:after="20"/>
            </w:pPr>
            <w:r w:rsidRPr="002F0EE3">
              <w:t>SCRG</w:t>
            </w:r>
          </w:p>
        </w:tc>
        <w:tc>
          <w:tcPr>
            <w:tcW w:w="3755" w:type="pct"/>
          </w:tcPr>
          <w:p w14:paraId="6FCA101D" w14:textId="77777777" w:rsidR="007407D4" w:rsidRPr="002F0EE3" w:rsidRDefault="007407D4" w:rsidP="007407D4">
            <w:pPr>
              <w:spacing w:before="20" w:after="20"/>
            </w:pPr>
            <w:r w:rsidRPr="002F0EE3">
              <w:t>Grupo de revisión de control de seguridad</w:t>
            </w:r>
          </w:p>
        </w:tc>
      </w:tr>
      <w:tr w:rsidR="007407D4" w:rsidRPr="002F0EE3" w14:paraId="71800573" w14:textId="77777777" w:rsidTr="007407D4">
        <w:tc>
          <w:tcPr>
            <w:tcW w:w="1245" w:type="pct"/>
          </w:tcPr>
          <w:p w14:paraId="6475E994" w14:textId="0F1A6310" w:rsidR="007407D4" w:rsidRPr="002F0EE3" w:rsidRDefault="007407D4" w:rsidP="007407D4">
            <w:pPr>
              <w:spacing w:before="20" w:after="20"/>
            </w:pPr>
            <w:r w:rsidRPr="002F0EE3">
              <w:t>PSRV</w:t>
            </w:r>
          </w:p>
        </w:tc>
        <w:tc>
          <w:tcPr>
            <w:tcW w:w="3755" w:type="pct"/>
          </w:tcPr>
          <w:p w14:paraId="1A8EC09D" w14:textId="77777777" w:rsidR="007407D4" w:rsidRPr="002F0EE3" w:rsidRDefault="007407D4" w:rsidP="007407D4">
            <w:pPr>
              <w:spacing w:before="20" w:after="20"/>
            </w:pPr>
            <w:r w:rsidRPr="002F0EE3">
              <w:t>Valor de resistencia al deslizamiento en superficies pulidas o coeficiente de pulimiento acelerado</w:t>
            </w:r>
          </w:p>
        </w:tc>
      </w:tr>
      <w:tr w:rsidR="007407D4" w:rsidRPr="002F0EE3" w14:paraId="08E235C4" w14:textId="77777777" w:rsidTr="007407D4">
        <w:tc>
          <w:tcPr>
            <w:tcW w:w="1245" w:type="pct"/>
          </w:tcPr>
          <w:p w14:paraId="575DF261" w14:textId="025722F3" w:rsidR="007407D4" w:rsidRPr="002F0EE3" w:rsidRDefault="007407D4" w:rsidP="007407D4">
            <w:pPr>
              <w:spacing w:before="20" w:after="20"/>
            </w:pPr>
            <w:r w:rsidRPr="002F0EE3">
              <w:t>USRV</w:t>
            </w:r>
          </w:p>
        </w:tc>
        <w:tc>
          <w:tcPr>
            <w:tcW w:w="3755" w:type="pct"/>
          </w:tcPr>
          <w:p w14:paraId="4A2858C4" w14:textId="77777777" w:rsidR="007407D4" w:rsidRPr="002F0EE3" w:rsidRDefault="007407D4" w:rsidP="007407D4">
            <w:pPr>
              <w:spacing w:before="20" w:after="20"/>
            </w:pPr>
            <w:r w:rsidRPr="002F0EE3">
              <w:t>Valor de resistencia al deslizamiento en superficies sin pulir</w:t>
            </w:r>
          </w:p>
        </w:tc>
      </w:tr>
    </w:tbl>
    <w:p w14:paraId="2CE158F9" w14:textId="77777777" w:rsidR="00231586" w:rsidRPr="002F0EE3" w:rsidRDefault="0082729B" w:rsidP="007407D4">
      <w:pPr>
        <w:pageBreakBefore/>
        <w:rPr>
          <w:b/>
          <w:bCs/>
        </w:rPr>
      </w:pPr>
      <w:r w:rsidRPr="002F0EE3">
        <w:rPr>
          <w:b/>
        </w:rPr>
        <w:t>Términos y definiciones</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7407D4" w:rsidRPr="002F0EE3" w14:paraId="13789A08" w14:textId="77777777" w:rsidTr="007407D4">
        <w:tc>
          <w:tcPr>
            <w:tcW w:w="1345" w:type="pct"/>
          </w:tcPr>
          <w:p w14:paraId="692DA1AB" w14:textId="2D6592C7" w:rsidR="007407D4" w:rsidRPr="002F0EE3" w:rsidRDefault="007407D4" w:rsidP="007407D4">
            <w:pPr>
              <w:spacing w:before="20" w:after="20"/>
              <w:rPr>
                <w:b/>
                <w:bCs/>
              </w:rPr>
            </w:pPr>
            <w:r w:rsidRPr="002F0EE3">
              <w:rPr>
                <w:b/>
              </w:rPr>
              <w:t>Término</w:t>
            </w:r>
          </w:p>
        </w:tc>
        <w:tc>
          <w:tcPr>
            <w:tcW w:w="3655" w:type="pct"/>
          </w:tcPr>
          <w:p w14:paraId="16A001FA" w14:textId="0D45A549" w:rsidR="007407D4" w:rsidRPr="002F0EE3" w:rsidRDefault="007407D4" w:rsidP="007407D4">
            <w:pPr>
              <w:spacing w:before="20" w:after="20"/>
              <w:rPr>
                <w:b/>
                <w:bCs/>
              </w:rPr>
            </w:pPr>
            <w:r w:rsidRPr="002F0EE3">
              <w:rPr>
                <w:b/>
              </w:rPr>
              <w:t>Definición</w:t>
            </w:r>
          </w:p>
        </w:tc>
      </w:tr>
      <w:tr w:rsidR="007407D4" w:rsidRPr="002F0EE3" w14:paraId="22774F10" w14:textId="77777777" w:rsidTr="007407D4">
        <w:tc>
          <w:tcPr>
            <w:tcW w:w="1345" w:type="pct"/>
          </w:tcPr>
          <w:p w14:paraId="70FE1A72" w14:textId="43E2996B" w:rsidR="007407D4" w:rsidRPr="002F0EE3" w:rsidRDefault="007407D4" w:rsidP="007407D4">
            <w:pPr>
              <w:spacing w:before="20" w:after="20"/>
            </w:pPr>
            <w:r w:rsidRPr="002F0EE3">
              <w:t>Material de fundación</w:t>
            </w:r>
          </w:p>
        </w:tc>
        <w:tc>
          <w:tcPr>
            <w:tcW w:w="3655" w:type="pct"/>
          </w:tcPr>
          <w:p w14:paraId="5F4984C4" w14:textId="77777777" w:rsidR="007407D4" w:rsidRPr="002F0EE3" w:rsidRDefault="007407D4" w:rsidP="007407D4">
            <w:pPr>
              <w:spacing w:before="20" w:after="20"/>
            </w:pPr>
            <w:r w:rsidRPr="002F0EE3">
              <w:t>Mortero unido por cemento u otros materiales sintéticos.</w:t>
            </w:r>
          </w:p>
        </w:tc>
      </w:tr>
      <w:tr w:rsidR="007407D4" w:rsidRPr="002F0EE3" w14:paraId="1B18F0E0" w14:textId="77777777" w:rsidTr="007407D4">
        <w:tc>
          <w:tcPr>
            <w:tcW w:w="1345" w:type="pct"/>
          </w:tcPr>
          <w:p w14:paraId="5620D5F4" w14:textId="672464AD" w:rsidR="007407D4" w:rsidRPr="002F0EE3" w:rsidRDefault="007407D4" w:rsidP="007407D4">
            <w:pPr>
              <w:spacing w:before="20" w:after="20"/>
            </w:pPr>
            <w:r w:rsidRPr="002F0EE3">
              <w:t>Calzada</w:t>
            </w:r>
          </w:p>
        </w:tc>
        <w:tc>
          <w:tcPr>
            <w:tcW w:w="3655" w:type="pct"/>
          </w:tcPr>
          <w:p w14:paraId="44BCD3DF" w14:textId="77777777" w:rsidR="007407D4" w:rsidRPr="002F0EE3" w:rsidRDefault="007407D4" w:rsidP="007407D4">
            <w:pPr>
              <w:spacing w:before="20" w:after="20"/>
            </w:pPr>
            <w:r w:rsidRPr="002F0EE3">
              <w:t>Área de la superficie de la carretera que comprende los carriles de circulación, tanto temporales como permanentes, el arcén y los pasos centrales de emergencia.</w:t>
            </w:r>
          </w:p>
        </w:tc>
      </w:tr>
      <w:tr w:rsidR="007407D4" w:rsidRPr="002F0EE3" w14:paraId="4F932471" w14:textId="77777777" w:rsidTr="007407D4">
        <w:tc>
          <w:tcPr>
            <w:tcW w:w="1345" w:type="pct"/>
          </w:tcPr>
          <w:p w14:paraId="26DD7334" w14:textId="7A3733A2" w:rsidR="007407D4" w:rsidRPr="002F0EE3" w:rsidRDefault="007407D4" w:rsidP="007407D4">
            <w:pPr>
              <w:spacing w:before="20" w:after="20"/>
            </w:pPr>
            <w:r w:rsidRPr="002F0EE3">
              <w:t>Tapa del depósito</w:t>
            </w:r>
          </w:p>
        </w:tc>
        <w:tc>
          <w:tcPr>
            <w:tcW w:w="3655" w:type="pct"/>
          </w:tcPr>
          <w:p w14:paraId="189963B7" w14:textId="77777777" w:rsidR="007407D4" w:rsidRPr="002F0EE3" w:rsidRDefault="007407D4" w:rsidP="007407D4">
            <w:pPr>
              <w:spacing w:before="20" w:after="20"/>
            </w:pPr>
            <w:r w:rsidRPr="002F0EE3">
              <w:t>Cubierta extraíble y colocada en un marco como acceso al depósito desde la superficie.</w:t>
            </w:r>
          </w:p>
        </w:tc>
      </w:tr>
      <w:tr w:rsidR="007407D4" w:rsidRPr="002F0EE3" w14:paraId="07937AE3" w14:textId="77777777" w:rsidTr="007407D4">
        <w:tc>
          <w:tcPr>
            <w:tcW w:w="1345" w:type="pct"/>
          </w:tcPr>
          <w:p w14:paraId="5AE9EF65" w14:textId="32C4D88C" w:rsidR="007407D4" w:rsidRPr="002F0EE3" w:rsidRDefault="007407D4" w:rsidP="007407D4">
            <w:pPr>
              <w:spacing w:before="20" w:after="20"/>
            </w:pPr>
            <w:r w:rsidRPr="002F0EE3">
              <w:t>Instalación fallida</w:t>
            </w:r>
          </w:p>
        </w:tc>
        <w:tc>
          <w:tcPr>
            <w:tcW w:w="3655" w:type="pct"/>
          </w:tcPr>
          <w:p w14:paraId="5B91E88E" w14:textId="77777777" w:rsidR="007407D4" w:rsidRPr="002F0EE3" w:rsidRDefault="007407D4" w:rsidP="007407D4">
            <w:pPr>
              <w:spacing w:before="20" w:after="20"/>
            </w:pPr>
            <w:r w:rsidRPr="002F0EE3">
              <w:t>Fallo estructural o aflojamiento de la cubierta, el marco o la estructura de soporte del depósito subyacente.</w:t>
            </w:r>
          </w:p>
        </w:tc>
      </w:tr>
      <w:tr w:rsidR="007407D4" w:rsidRPr="002F0EE3" w14:paraId="27B771FA" w14:textId="77777777" w:rsidTr="007407D4">
        <w:tc>
          <w:tcPr>
            <w:tcW w:w="1345" w:type="pct"/>
          </w:tcPr>
          <w:p w14:paraId="3FDE0E23" w14:textId="44B42EBA" w:rsidR="007407D4" w:rsidRPr="002F0EE3" w:rsidRDefault="007407D4" w:rsidP="007407D4">
            <w:pPr>
              <w:spacing w:before="20" w:after="20"/>
            </w:pPr>
            <w:r w:rsidRPr="002F0EE3">
              <w:t>Tapa del sumidero</w:t>
            </w:r>
          </w:p>
        </w:tc>
        <w:tc>
          <w:tcPr>
            <w:tcW w:w="3655" w:type="pct"/>
          </w:tcPr>
          <w:p w14:paraId="44D12CFB" w14:textId="77777777" w:rsidR="007407D4" w:rsidRPr="002F0EE3" w:rsidRDefault="007407D4" w:rsidP="007407D4">
            <w:pPr>
              <w:spacing w:before="20" w:after="20"/>
            </w:pPr>
            <w:r w:rsidRPr="002F0EE3">
              <w:t>Conjunto de rejilla extraíble en un marco que dirige el agua hacia el sumidero.</w:t>
            </w:r>
          </w:p>
        </w:tc>
      </w:tr>
      <w:tr w:rsidR="007407D4" w:rsidRPr="002F0EE3" w14:paraId="5664C7E1" w14:textId="77777777" w:rsidTr="007407D4">
        <w:tc>
          <w:tcPr>
            <w:tcW w:w="1345" w:type="pct"/>
          </w:tcPr>
          <w:p w14:paraId="439C40AA" w14:textId="4F71746E" w:rsidR="007407D4" w:rsidRPr="002F0EE3" w:rsidRDefault="007407D4" w:rsidP="007407D4">
            <w:pPr>
              <w:spacing w:before="20" w:after="20"/>
            </w:pPr>
            <w:r w:rsidRPr="002F0EE3">
              <w:t>Profundidad del dique</w:t>
            </w:r>
          </w:p>
        </w:tc>
        <w:tc>
          <w:tcPr>
            <w:tcW w:w="3655" w:type="pct"/>
          </w:tcPr>
          <w:p w14:paraId="5C69801D" w14:textId="77777777" w:rsidR="007407D4" w:rsidRPr="002F0EE3" w:rsidRDefault="007407D4" w:rsidP="007407D4">
            <w:pPr>
              <w:spacing w:before="20" w:after="20"/>
            </w:pPr>
            <w:r w:rsidRPr="002F0EE3">
              <w:t>Distancia desde la parte superior de la cubierta hasta la parte superior del dique fijo.</w:t>
            </w:r>
          </w:p>
        </w:tc>
      </w:tr>
    </w:tbl>
    <w:p w14:paraId="5D06DD7F" w14:textId="271D6A3F" w:rsidR="00231586" w:rsidRPr="002F0EE3" w:rsidRDefault="0082729B" w:rsidP="007407D4">
      <w:pPr>
        <w:pageBreakBefore/>
        <w:rPr>
          <w:b/>
          <w:bCs/>
        </w:rPr>
      </w:pPr>
      <w:r w:rsidRPr="002F0EE3">
        <w:rPr>
          <w:b/>
        </w:rPr>
        <w:t>1. Ámbito de aplicación</w:t>
      </w:r>
    </w:p>
    <w:p w14:paraId="6B6C34DD" w14:textId="77777777" w:rsidR="00231586" w:rsidRPr="002F0EE3" w:rsidRDefault="0082729B" w:rsidP="007407D4">
      <w:pPr>
        <w:rPr>
          <w:b/>
          <w:bCs/>
        </w:rPr>
      </w:pPr>
      <w:r w:rsidRPr="002F0EE3">
        <w:rPr>
          <w:b/>
        </w:rPr>
        <w:t>Aspectos contemplados</w:t>
      </w:r>
    </w:p>
    <w:p w14:paraId="3134F96C" w14:textId="77777777" w:rsidR="00231586" w:rsidRPr="002F0EE3" w:rsidRDefault="0082729B" w:rsidP="007407D4">
      <w:r w:rsidRPr="002F0EE3">
        <w:t>1.1 Los requisitos incluidos en este documento se aplicarán a las instalaciones de tapas de depósitos y sumideros en autopistas y carreteras principales generales.</w:t>
      </w:r>
    </w:p>
    <w:p w14:paraId="585176E1" w14:textId="77777777" w:rsidR="00231586" w:rsidRPr="002F0EE3" w:rsidRDefault="0082729B" w:rsidP="007407D4">
      <w:r w:rsidRPr="002F0EE3">
        <w:t>1.2 No se permitirán las tapas de depósitos en las calzadas, incluidos los arcenes, carriles de parada de emergencia y pasos centrales de emergencia de autopistas y carreteras principales generales.</w:t>
      </w:r>
    </w:p>
    <w:p w14:paraId="484A7CFD" w14:textId="77777777" w:rsidR="00231586" w:rsidRPr="002F0EE3" w:rsidRDefault="0082729B" w:rsidP="007407D4">
      <w:r w:rsidRPr="002F0EE3">
        <w:t>1.3 Cuando los depósitos existentes (antiguos) estén ubicados en los carriles de circulación, se usará el árbol de decisiones, que aparece en la Figura 1 del anexo B, para resolver la presencia de dicho depósito en el carril de circulación.</w:t>
      </w:r>
    </w:p>
    <w:p w14:paraId="6CA9DB49" w14:textId="77777777" w:rsidR="00231586" w:rsidRPr="002F0EE3" w:rsidRDefault="0082729B" w:rsidP="007407D4">
      <w:pPr>
        <w:rPr>
          <w:b/>
          <w:bCs/>
        </w:rPr>
      </w:pPr>
      <w:r w:rsidRPr="002F0EE3">
        <w:rPr>
          <w:b/>
        </w:rPr>
        <w:t>Aplicación</w:t>
      </w:r>
    </w:p>
    <w:p w14:paraId="4B4E7681" w14:textId="77777777" w:rsidR="00231586" w:rsidRPr="002F0EE3" w:rsidRDefault="0082729B" w:rsidP="007407D4">
      <w:r w:rsidRPr="002F0EE3">
        <w:t>1.4 Este documento se aplicará de inmediato en todos los proyectos que impliquen el uso de tapas de sumideros y depósitos para el drenaje de carreteras en las autopistas y carreteras principales generales de la organización de supervisión, de conformidad con los requisitos de aplicación de GG 101 [Ref. 4.N].</w:t>
      </w:r>
    </w:p>
    <w:p w14:paraId="1C251DCA" w14:textId="77777777" w:rsidR="00231586" w:rsidRPr="002F0EE3" w:rsidRDefault="0082729B" w:rsidP="007407D4">
      <w:pPr>
        <w:rPr>
          <w:b/>
          <w:bCs/>
        </w:rPr>
      </w:pPr>
      <w:r w:rsidRPr="002F0EE3">
        <w:rPr>
          <w:b/>
        </w:rPr>
        <w:t>Salud y seguridad</w:t>
      </w:r>
    </w:p>
    <w:p w14:paraId="56F48993" w14:textId="77777777" w:rsidR="00231586" w:rsidRPr="002F0EE3" w:rsidRDefault="0082729B" w:rsidP="007407D4">
      <w:r w:rsidRPr="002F0EE3">
        <w:t>1.5 Las medidas para mitigar el riesgo de seguridad seguirán la jerarquía «ERIC» (por sus siglas en inglés): eliminar, reducir, aislar y controlar cada riesgo de seguridad identificado.</w:t>
      </w:r>
    </w:p>
    <w:p w14:paraId="7E4EB945" w14:textId="77777777" w:rsidR="00231586" w:rsidRPr="002F0EE3" w:rsidRDefault="0082729B" w:rsidP="007407D4">
      <w:pPr>
        <w:rPr>
          <w:b/>
          <w:bCs/>
        </w:rPr>
      </w:pPr>
      <w:r w:rsidRPr="002F0EE3">
        <w:rPr>
          <w:b/>
        </w:rPr>
        <w:t>Utilización de GG 101</w:t>
      </w:r>
    </w:p>
    <w:p w14:paraId="2D268959" w14:textId="77777777" w:rsidR="00231586" w:rsidRPr="002F0EE3" w:rsidRDefault="0082729B" w:rsidP="007407D4">
      <w:r w:rsidRPr="002F0EE3">
        <w:t>1.6 Para las actividades cubiertas por este documento se seguirán los requisitos incluidos en GG 101 [Ref. 4.N].</w:t>
      </w:r>
    </w:p>
    <w:p w14:paraId="3A6FE9C8" w14:textId="4CF80FE7" w:rsidR="00231586" w:rsidRPr="002F0EE3" w:rsidRDefault="0082729B" w:rsidP="007407D4">
      <w:pPr>
        <w:pageBreakBefore/>
        <w:rPr>
          <w:b/>
          <w:bCs/>
        </w:rPr>
      </w:pPr>
      <w:r w:rsidRPr="002F0EE3">
        <w:rPr>
          <w:b/>
        </w:rPr>
        <w:t>2. Diseño para tapas de depósitos y sumideros</w:t>
      </w:r>
    </w:p>
    <w:p w14:paraId="72687E50" w14:textId="77777777" w:rsidR="00231586" w:rsidRPr="002F0EE3" w:rsidRDefault="0082729B" w:rsidP="00CA30E5">
      <w:pPr>
        <w:keepNext/>
        <w:keepLines/>
        <w:rPr>
          <w:b/>
          <w:bCs/>
        </w:rPr>
      </w:pPr>
      <w:r w:rsidRPr="002F0EE3">
        <w:rPr>
          <w:b/>
        </w:rPr>
        <w:t>Generalidades</w:t>
      </w:r>
    </w:p>
    <w:p w14:paraId="2DC2A90B" w14:textId="77777777" w:rsidR="00231586" w:rsidRPr="002F0EE3" w:rsidRDefault="0082729B" w:rsidP="007407D4">
      <w:r w:rsidRPr="002F0EE3">
        <w:t>2.1 No se instalarán nuevas tapas de depósitos en calzadas, incluidos los arcenes, carriles de parada de emergencia y pasos centrales de emergencia de autopistas y carreteras principales generales.</w:t>
      </w:r>
    </w:p>
    <w:p w14:paraId="1FDBC6B7" w14:textId="77777777" w:rsidR="00231586" w:rsidRPr="002F0EE3" w:rsidRDefault="0082729B" w:rsidP="007407D4">
      <w:r w:rsidRPr="002F0EE3">
        <w:t>2.2 Las tapas de depósitos y sumideros serán conformes a BS EN 124 [Ref. 3.N] y a los requisitos de este documento.</w:t>
      </w:r>
    </w:p>
    <w:p w14:paraId="4D632B67" w14:textId="77777777" w:rsidR="00231586" w:rsidRPr="002F0EE3" w:rsidRDefault="0082729B" w:rsidP="007407D4">
      <w:r w:rsidRPr="002F0EE3">
        <w:t>2.3 Las tapas de depósitos con una abertura libre de más de 1 m serán conformes a BS 9124 [Ref. 11.N] y a los requisitos de este documento.</w:t>
      </w:r>
    </w:p>
    <w:p w14:paraId="7084EED9" w14:textId="77777777" w:rsidR="00231586" w:rsidRPr="002F0EE3" w:rsidRDefault="0082729B" w:rsidP="007407D4">
      <w:r w:rsidRPr="002F0EE3">
        <w:t>2.4 La clasificación mínima para todas las tapas de depósitos y sumideros instaladas en áreas de autopistas y carreteras principales generales muy transitadas, directa o indirectamente, serán de grado D400 de acuerdo con BS EN 124 [Ref. 3.N].</w:t>
      </w:r>
    </w:p>
    <w:p w14:paraId="36CBF245" w14:textId="77777777" w:rsidR="00231586" w:rsidRPr="002F0EE3" w:rsidRDefault="0082729B" w:rsidP="007407D4">
      <w:r w:rsidRPr="002F0EE3">
        <w:t>2.5 Cuando el AADT de un LGV para una calzada exceda los 1500 en ambas direcciones, las tapas de depósito serán de grado E600.</w:t>
      </w:r>
    </w:p>
    <w:p w14:paraId="491A0939" w14:textId="77777777" w:rsidR="00231586" w:rsidRPr="002F0EE3" w:rsidRDefault="0082729B" w:rsidP="007407D4">
      <w:r w:rsidRPr="002F0EE3">
        <w:t>2.6 Las tapas de depósitos tendrán un valor mínimo de resistencia al deslizamiento en superficies pulidas (PSRV) que dependerá del riesgo específico de su ubicación, de acuerdo con la tabla 2.6.</w:t>
      </w:r>
    </w:p>
    <w:p w14:paraId="06E0A67A" w14:textId="77777777" w:rsidR="00231586" w:rsidRPr="002F0EE3" w:rsidRDefault="0082729B" w:rsidP="00CA30E5">
      <w:pPr>
        <w:keepNext/>
        <w:keepLines/>
        <w:rPr>
          <w:b/>
          <w:bCs/>
        </w:rPr>
      </w:pPr>
      <w:r w:rsidRPr="002F0EE3">
        <w:rPr>
          <w:b/>
        </w:rPr>
        <w:t xml:space="preserve">Tabla 2.6 PSRV mínimo </w:t>
      </w:r>
    </w:p>
    <w:tbl>
      <w:tblPr>
        <w:tblStyle w:val="TableGrid"/>
        <w:tblW w:w="5000" w:type="pct"/>
        <w:tblLayout w:type="fixed"/>
        <w:tblCellMar>
          <w:left w:w="43" w:type="dxa"/>
          <w:right w:w="43" w:type="dxa"/>
        </w:tblCellMar>
        <w:tblLook w:val="04A0" w:firstRow="1" w:lastRow="0" w:firstColumn="1" w:lastColumn="0" w:noHBand="0" w:noVBand="1"/>
      </w:tblPr>
      <w:tblGrid>
        <w:gridCol w:w="3005"/>
        <w:gridCol w:w="3005"/>
        <w:gridCol w:w="3006"/>
      </w:tblGrid>
      <w:tr w:rsidR="00CA30E5" w:rsidRPr="002F0EE3" w14:paraId="1F230E17" w14:textId="77777777" w:rsidTr="00CA30E5">
        <w:tc>
          <w:tcPr>
            <w:tcW w:w="1666" w:type="pct"/>
            <w:tcBorders>
              <w:bottom w:val="single" w:sz="12" w:space="0" w:color="auto"/>
            </w:tcBorders>
          </w:tcPr>
          <w:p w14:paraId="374CC10D" w14:textId="77777777" w:rsidR="00CA30E5" w:rsidRPr="002F0EE3" w:rsidRDefault="00CA30E5" w:rsidP="00CA30E5">
            <w:pPr>
              <w:keepNext/>
              <w:keepLines/>
              <w:spacing w:before="20" w:after="20"/>
              <w:rPr>
                <w:b/>
                <w:bCs/>
              </w:rPr>
            </w:pPr>
          </w:p>
        </w:tc>
        <w:tc>
          <w:tcPr>
            <w:tcW w:w="1666" w:type="pct"/>
            <w:tcBorders>
              <w:bottom w:val="single" w:sz="12" w:space="0" w:color="auto"/>
            </w:tcBorders>
          </w:tcPr>
          <w:p w14:paraId="1696E1EC" w14:textId="0BE0478F" w:rsidR="00CA30E5" w:rsidRPr="002F0EE3" w:rsidRDefault="00CA30E5" w:rsidP="00CA30E5">
            <w:pPr>
              <w:keepNext/>
              <w:keepLines/>
              <w:spacing w:before="20" w:after="20"/>
              <w:rPr>
                <w:b/>
                <w:bCs/>
              </w:rPr>
            </w:pPr>
            <w:r w:rsidRPr="002F0EE3">
              <w:rPr>
                <w:b/>
              </w:rPr>
              <w:t>Ensayo de péndulo</w:t>
            </w:r>
          </w:p>
        </w:tc>
        <w:tc>
          <w:tcPr>
            <w:tcW w:w="1667" w:type="pct"/>
            <w:tcBorders>
              <w:bottom w:val="single" w:sz="12" w:space="0" w:color="auto"/>
            </w:tcBorders>
          </w:tcPr>
          <w:p w14:paraId="3565D82D" w14:textId="3625E010" w:rsidR="00CA30E5" w:rsidRPr="002F0EE3" w:rsidRDefault="00CA30E5" w:rsidP="00CA30E5">
            <w:pPr>
              <w:keepNext/>
              <w:keepLines/>
              <w:spacing w:before="20" w:after="20"/>
              <w:rPr>
                <w:b/>
                <w:bCs/>
              </w:rPr>
            </w:pPr>
            <w:r w:rsidRPr="002F0EE3">
              <w:rPr>
                <w:b/>
              </w:rPr>
              <w:t>Ensayo WRc</w:t>
            </w:r>
          </w:p>
        </w:tc>
      </w:tr>
      <w:tr w:rsidR="00CA30E5" w:rsidRPr="002F0EE3" w14:paraId="484CA69B" w14:textId="77777777" w:rsidTr="00CA30E5">
        <w:tc>
          <w:tcPr>
            <w:tcW w:w="1666" w:type="pct"/>
            <w:tcBorders>
              <w:top w:val="single" w:sz="12" w:space="0" w:color="auto"/>
            </w:tcBorders>
          </w:tcPr>
          <w:p w14:paraId="4EB6A46C" w14:textId="77777777" w:rsidR="00CA30E5" w:rsidRPr="002F0EE3" w:rsidRDefault="00CA30E5" w:rsidP="00CA30E5">
            <w:pPr>
              <w:spacing w:before="20" w:after="20"/>
              <w:rPr>
                <w:b/>
                <w:bCs/>
              </w:rPr>
            </w:pPr>
            <w:r w:rsidRPr="002F0EE3">
              <w:rPr>
                <w:b/>
              </w:rPr>
              <w:t>Riesgo bajo</w:t>
            </w:r>
          </w:p>
        </w:tc>
        <w:tc>
          <w:tcPr>
            <w:tcW w:w="1666" w:type="pct"/>
            <w:tcBorders>
              <w:top w:val="single" w:sz="12" w:space="0" w:color="auto"/>
            </w:tcBorders>
          </w:tcPr>
          <w:p w14:paraId="4FCEA35E" w14:textId="77777777" w:rsidR="00CA30E5" w:rsidRPr="002F0EE3" w:rsidRDefault="00CA30E5" w:rsidP="00CA30E5">
            <w:pPr>
              <w:spacing w:before="20" w:after="20"/>
            </w:pPr>
            <w:r w:rsidRPr="002F0EE3">
              <w:t>&gt;45</w:t>
            </w:r>
          </w:p>
        </w:tc>
        <w:tc>
          <w:tcPr>
            <w:tcW w:w="1667" w:type="pct"/>
            <w:tcBorders>
              <w:top w:val="single" w:sz="12" w:space="0" w:color="auto"/>
            </w:tcBorders>
          </w:tcPr>
          <w:p w14:paraId="455E28B6" w14:textId="77777777" w:rsidR="00CA30E5" w:rsidRPr="002F0EE3" w:rsidRDefault="00CA30E5" w:rsidP="00CA30E5">
            <w:pPr>
              <w:spacing w:before="20" w:after="20"/>
            </w:pPr>
            <w:r w:rsidRPr="002F0EE3">
              <w:t>&gt;0,62 kN</w:t>
            </w:r>
          </w:p>
        </w:tc>
      </w:tr>
      <w:tr w:rsidR="00CA30E5" w:rsidRPr="002F0EE3" w14:paraId="607466E3" w14:textId="77777777" w:rsidTr="00CA30E5">
        <w:tc>
          <w:tcPr>
            <w:tcW w:w="1666" w:type="pct"/>
          </w:tcPr>
          <w:p w14:paraId="784DDC13" w14:textId="4DDF5ECD" w:rsidR="00CA30E5" w:rsidRPr="002F0EE3" w:rsidRDefault="00CA30E5" w:rsidP="00CA30E5">
            <w:pPr>
              <w:spacing w:before="20" w:after="20"/>
              <w:rPr>
                <w:b/>
                <w:bCs/>
              </w:rPr>
            </w:pPr>
            <w:r w:rsidRPr="002F0EE3">
              <w:rPr>
                <w:b/>
              </w:rPr>
              <w:t>Riesgo alto</w:t>
            </w:r>
          </w:p>
        </w:tc>
        <w:tc>
          <w:tcPr>
            <w:tcW w:w="1666" w:type="pct"/>
          </w:tcPr>
          <w:p w14:paraId="5E00AA81" w14:textId="0D44C25B" w:rsidR="00CA30E5" w:rsidRPr="002F0EE3" w:rsidRDefault="00CA30E5" w:rsidP="00CA30E5">
            <w:pPr>
              <w:spacing w:before="20" w:after="20"/>
            </w:pPr>
            <w:r w:rsidRPr="002F0EE3">
              <w:t>&gt;60</w:t>
            </w:r>
          </w:p>
        </w:tc>
        <w:tc>
          <w:tcPr>
            <w:tcW w:w="1667" w:type="pct"/>
          </w:tcPr>
          <w:p w14:paraId="5A99FC64" w14:textId="21E0D568" w:rsidR="00CA30E5" w:rsidRPr="002F0EE3" w:rsidRDefault="00CA30E5" w:rsidP="00CA30E5">
            <w:pPr>
              <w:spacing w:before="20" w:after="20"/>
            </w:pPr>
            <w:r w:rsidRPr="002F0EE3">
              <w:t>&gt;0,83 kN</w:t>
            </w:r>
          </w:p>
        </w:tc>
      </w:tr>
    </w:tbl>
    <w:p w14:paraId="4775C557" w14:textId="77777777" w:rsidR="00CA30E5" w:rsidRPr="002F0EE3" w:rsidRDefault="00CA30E5" w:rsidP="007407D4">
      <w:pPr>
        <w:rPr>
          <w:i/>
          <w:iCs/>
        </w:rPr>
      </w:pPr>
    </w:p>
    <w:p w14:paraId="44311305" w14:textId="77777777" w:rsidR="00231586" w:rsidRPr="002F0EE3" w:rsidRDefault="0082729B" w:rsidP="007407D4">
      <w:pPr>
        <w:rPr>
          <w:i/>
          <w:iCs/>
        </w:rPr>
      </w:pPr>
      <w:r w:rsidRPr="002F0EE3">
        <w:rPr>
          <w:i/>
        </w:rPr>
        <w:t>NOTA 1: Los lugares de bajo riesgo son aquellos transitados predominantemente por usuarios no motorizados (NMU), como las aceras; y los lugares de riesgo alto son aquellos transitados predominantemente por vehículos.</w:t>
      </w:r>
    </w:p>
    <w:p w14:paraId="29B38FDE" w14:textId="77777777" w:rsidR="00231586" w:rsidRPr="002F0EE3" w:rsidRDefault="0082729B" w:rsidP="007407D4">
      <w:pPr>
        <w:rPr>
          <w:i/>
          <w:iCs/>
        </w:rPr>
      </w:pPr>
      <w:r w:rsidRPr="002F0EE3">
        <w:rPr>
          <w:i/>
        </w:rPr>
        <w:t>NOTA 2: El riesgo de deslizamiento se define en HD 28 2015 MCHW serie NG800 [Ref. 7.N].</w:t>
      </w:r>
    </w:p>
    <w:p w14:paraId="68A30473" w14:textId="77777777" w:rsidR="00231586" w:rsidRPr="002F0EE3" w:rsidRDefault="0082729B" w:rsidP="007407D4">
      <w:pPr>
        <w:rPr>
          <w:i/>
          <w:iCs/>
        </w:rPr>
      </w:pPr>
      <w:r w:rsidRPr="002F0EE3">
        <w:rPr>
          <w:i/>
        </w:rPr>
        <w:t>NOTA 3: El método de ensayo de péndulo para determinar la resistencia al deslizamiento de la superficie del pavimento será conforme a BS EN 13036-4 2011 [Ref. 9.N].</w:t>
      </w:r>
    </w:p>
    <w:p w14:paraId="50EE9096" w14:textId="77777777" w:rsidR="00231586" w:rsidRPr="002F0EE3" w:rsidRDefault="0082729B" w:rsidP="007407D4">
      <w:pPr>
        <w:rPr>
          <w:i/>
          <w:iCs/>
        </w:rPr>
      </w:pPr>
      <w:r w:rsidRPr="002F0EE3">
        <w:rPr>
          <w:i/>
        </w:rPr>
        <w:t>NOTA 4: Cuando la resistencia al deslizamiento de la superficie del pavimento se mida de acuerdo con el método de resistencia al deslizamiento UC 12974 [Ref. 1.I] de WRc, el valor vendrá determinado por una comparación de los valores de resistencia al deslizamiento de los materiales de superficie probados utilizando el método de péndulo y el método de rueda fija de WRc cuando se inserta en la ecuación del anexo A.</w:t>
      </w:r>
    </w:p>
    <w:p w14:paraId="6B2D980A" w14:textId="77777777" w:rsidR="00231586" w:rsidRPr="002F0EE3" w:rsidRDefault="0082729B" w:rsidP="007407D4">
      <w:pPr>
        <w:rPr>
          <w:i/>
          <w:iCs/>
        </w:rPr>
      </w:pPr>
      <w:r w:rsidRPr="002F0EE3">
        <w:rPr>
          <w:i/>
        </w:rPr>
        <w:t>NOTA 5: El anexo A contiene una breve descripción de los ensayos realizados para establecer una comparación entre los dos métodos y una ecuación para determinar el PSRV comparativo.</w:t>
      </w:r>
    </w:p>
    <w:p w14:paraId="4F2EB7C2" w14:textId="77777777" w:rsidR="00231586" w:rsidRPr="002F0EE3" w:rsidRDefault="0082729B" w:rsidP="007407D4">
      <w:r w:rsidRPr="002F0EE3">
        <w:t>2.7 El valor de resistencia al deslizamiento en superficies sin pulir (USRV) no representa la condición del servicio y no deberá utilizarse en la evaluación del riesgo de deslizamiento.</w:t>
      </w:r>
    </w:p>
    <w:p w14:paraId="4E4C7EB1" w14:textId="77777777" w:rsidR="00231586" w:rsidRPr="002F0EE3" w:rsidRDefault="0082729B" w:rsidP="00CA30E5">
      <w:pPr>
        <w:keepNext/>
        <w:keepLines/>
        <w:rPr>
          <w:b/>
          <w:bCs/>
        </w:rPr>
      </w:pPr>
      <w:r w:rsidRPr="002F0EE3">
        <w:rPr>
          <w:b/>
        </w:rPr>
        <w:t>Tapas de depósito</w:t>
      </w:r>
    </w:p>
    <w:p w14:paraId="67A537BF" w14:textId="77777777" w:rsidR="00231586" w:rsidRPr="002F0EE3" w:rsidRDefault="0082729B" w:rsidP="00CA30E5">
      <w:pPr>
        <w:keepNext/>
        <w:keepLines/>
      </w:pPr>
      <w:r w:rsidRPr="002F0EE3">
        <w:t>2.8 Una tapa de depósito que permita el acceso cumplirá los siguientes requisitos mínimos de abertura libre:</w:t>
      </w:r>
    </w:p>
    <w:p w14:paraId="4858865C" w14:textId="77777777" w:rsidR="00231586" w:rsidRPr="002F0EE3" w:rsidRDefault="0082729B" w:rsidP="007407D4">
      <w:pPr>
        <w:pStyle w:val="ListParagraph"/>
        <w:numPr>
          <w:ilvl w:val="0"/>
          <w:numId w:val="2"/>
        </w:numPr>
      </w:pPr>
      <w:r w:rsidRPr="002F0EE3">
        <w:t>la abertura libre mínima para un marco con una abertura rectangular no podrá ser inferior a 600 mm con una diagonal de no menos de 700 mm;</w:t>
      </w:r>
    </w:p>
    <w:p w14:paraId="07274773" w14:textId="77777777" w:rsidR="00231586" w:rsidRPr="002F0EE3" w:rsidRDefault="0082729B" w:rsidP="007407D4">
      <w:pPr>
        <w:pStyle w:val="ListParagraph"/>
        <w:numPr>
          <w:ilvl w:val="0"/>
          <w:numId w:val="2"/>
        </w:numPr>
      </w:pPr>
      <w:r w:rsidRPr="002F0EE3">
        <w:t>la abertura libre mínima para un marco con una abertura circular será una medida diametral de no menos de 700 mm.</w:t>
      </w:r>
    </w:p>
    <w:p w14:paraId="08ECB9F5" w14:textId="77777777" w:rsidR="00231586" w:rsidRPr="002F0EE3" w:rsidRDefault="0082729B" w:rsidP="007407D4">
      <w:pPr>
        <w:rPr>
          <w:i/>
          <w:iCs/>
        </w:rPr>
      </w:pPr>
      <w:r w:rsidRPr="002F0EE3">
        <w:rPr>
          <w:i/>
        </w:rPr>
        <w:t>NOTA: Las dimensiones mínimas de la cubierta para casos en que no se requiera acceso de personal se indican en BS EN 752 [Ref. 1.N].</w:t>
      </w:r>
    </w:p>
    <w:p w14:paraId="7CA6A1CD" w14:textId="77777777" w:rsidR="00231586" w:rsidRPr="002F0EE3" w:rsidRDefault="0082729B" w:rsidP="007407D4">
      <w:r w:rsidRPr="002F0EE3">
        <w:t>2.9 El marco de una tapa de depósito tendrá una profundidad mínima de 150 mm para instalaciones en autopistas y carreteras principales generales.</w:t>
      </w:r>
    </w:p>
    <w:p w14:paraId="1F9A1F59" w14:textId="0C206F5A" w:rsidR="00231586" w:rsidRPr="002F0EE3" w:rsidRDefault="0082729B" w:rsidP="007407D4">
      <w:r w:rsidRPr="002F0EE3">
        <w:t>2.10 La profundidad del encastramiento de la tapa del depósito en el marco no podrá ser inferior a 50 mm, o a 80 mm si el diseño se basa en la profundidad de encastramiento por razones de seguridad.</w:t>
      </w:r>
    </w:p>
    <w:p w14:paraId="76B16621" w14:textId="77777777" w:rsidR="00231586" w:rsidRPr="002F0EE3" w:rsidRDefault="0082729B" w:rsidP="007407D4">
      <w:r w:rsidRPr="002F0EE3">
        <w:t>2.11 Los tipos de enganches flojos, distintos de los especificados en MCHW serie 500 [Ref. 5.N], deberán tener una sección transversal mínima de 140 mm2.</w:t>
      </w:r>
    </w:p>
    <w:p w14:paraId="0EA8072A" w14:textId="77777777" w:rsidR="00231586" w:rsidRPr="002F0EE3" w:rsidRDefault="0082729B" w:rsidP="00CA30E5">
      <w:pPr>
        <w:keepNext/>
        <w:keepLines/>
        <w:rPr>
          <w:b/>
          <w:bCs/>
        </w:rPr>
      </w:pPr>
      <w:r w:rsidRPr="002F0EE3">
        <w:rPr>
          <w:b/>
        </w:rPr>
        <w:t>Tapas de sumideros</w:t>
      </w:r>
    </w:p>
    <w:p w14:paraId="5F277D72" w14:textId="77777777" w:rsidR="00231586" w:rsidRPr="002F0EE3" w:rsidRDefault="0082729B" w:rsidP="007407D4">
      <w:r w:rsidRPr="002F0EE3">
        <w:t>2.12 Las tapas para sumideros (marco y rejilla) deberán ser de grado D400 de acuerdo con BS EN 124 [Ref. 3.N].</w:t>
      </w:r>
    </w:p>
    <w:p w14:paraId="0904582F" w14:textId="77777777" w:rsidR="00231586" w:rsidRPr="002F0EE3" w:rsidRDefault="0082729B" w:rsidP="007407D4">
      <w:r w:rsidRPr="002F0EE3">
        <w:t>2.12.1 Las rejillas con bisagras podrán tener bisagras en los bordillos o bisagras laterales apropiadas a la dirección del tráfico.</w:t>
      </w:r>
    </w:p>
    <w:p w14:paraId="06B7A76B" w14:textId="77777777" w:rsidR="00231586" w:rsidRPr="002F0EE3" w:rsidRDefault="0082729B" w:rsidP="007407D4">
      <w:r w:rsidRPr="002F0EE3">
        <w:t>2.12.2 Las rejillas y los marcos de los sumideros con bordillo facilitarán la entrada de agua por el lado de los bordillos, y tendrán un acceso que, si cuenta con bisagras, se abrirá del lado contrario a la calzada, esto es, hacia el bordillo.</w:t>
      </w:r>
    </w:p>
    <w:p w14:paraId="4E9E6B05" w14:textId="77777777" w:rsidR="00231586" w:rsidRPr="002F0EE3" w:rsidRDefault="0082729B" w:rsidP="007407D4">
      <w:r w:rsidRPr="002F0EE3">
        <w:t>2.12.3 La profundidad del dique, en su caso, deberá ser de 115 mm (tipo 1) o de 165 mm (tipo 2), según lo definido en BS 7903 [Ref. 2.N].</w:t>
      </w:r>
    </w:p>
    <w:p w14:paraId="2E7C6CAB" w14:textId="77777777" w:rsidR="00231586" w:rsidRPr="002F0EE3" w:rsidRDefault="0082729B" w:rsidP="007407D4">
      <w:r w:rsidRPr="002F0EE3">
        <w:t>2.12.4 Las rejillas y marcos de sumideros con bordillo tendrán un perfil de tipo HB (borde achaflanado) de acuerdo con BS 7263-1 [Ref. 8.N] a menos que se especifique lo contrario.</w:t>
      </w:r>
    </w:p>
    <w:p w14:paraId="7661AB64" w14:textId="77777777" w:rsidR="00231586" w:rsidRPr="002F0EE3" w:rsidRDefault="0082729B" w:rsidP="007407D4">
      <w:r w:rsidRPr="002F0EE3">
        <w:t>2.13 Las dimensiones críticas de las rejillas y marcos de sumideros con bordillo serán conformes a BS 7903 [Ref. 2.N].</w:t>
      </w:r>
    </w:p>
    <w:p w14:paraId="1BF92247" w14:textId="77777777" w:rsidR="00231586" w:rsidRPr="002F0EE3" w:rsidRDefault="0082729B" w:rsidP="007407D4">
      <w:r w:rsidRPr="002F0EE3">
        <w:t>2.14 Los anchos nominales de las rejillas y las áreas mínimas del canal de agua serán conformes a BS EN 124 [Ref. 3.N] y BS 7903 [Ref. 2.N].</w:t>
      </w:r>
    </w:p>
    <w:p w14:paraId="3FA4B684" w14:textId="77777777" w:rsidR="00231586" w:rsidRPr="002F0EE3" w:rsidRDefault="0082729B" w:rsidP="007407D4">
      <w:r w:rsidRPr="002F0EE3">
        <w:t>2.14.1 El área mínima del canal deberá ser de 900 cm2.</w:t>
      </w:r>
    </w:p>
    <w:p w14:paraId="2CFAACB0" w14:textId="77777777" w:rsidR="00231586" w:rsidRPr="002F0EE3" w:rsidRDefault="0082729B" w:rsidP="007407D4">
      <w:r w:rsidRPr="002F0EE3">
        <w:t>2.14.2 Entre la cara del bordillo del marco y una línea paralela situada a 50 mm de distancia la superficie mínima del canal será de 45 cm2.</w:t>
      </w:r>
    </w:p>
    <w:p w14:paraId="27BFA166" w14:textId="77777777" w:rsidR="00231586" w:rsidRPr="002F0EE3" w:rsidRDefault="0082729B" w:rsidP="007407D4">
      <w:r w:rsidRPr="002F0EE3">
        <w:t>2.14.3 Entre la cara del bordillo del marco y una línea paralela situada a 90 mm de distancia la superficie mínima del canal será de 65 cm2.</w:t>
      </w:r>
    </w:p>
    <w:p w14:paraId="7D9F8823" w14:textId="77777777" w:rsidR="00231586" w:rsidRPr="002F0EE3" w:rsidRDefault="0082729B" w:rsidP="007407D4">
      <w:r w:rsidRPr="002F0EE3">
        <w:t>2.15 El marco de la tapa del sumidero tendrá una profundidad mínima de 100 mm.</w:t>
      </w:r>
    </w:p>
    <w:p w14:paraId="6C36AEDB" w14:textId="77777777" w:rsidR="00231586" w:rsidRPr="002F0EE3" w:rsidRDefault="0082729B" w:rsidP="00CA30E5">
      <w:pPr>
        <w:keepNext/>
        <w:keepLines/>
      </w:pPr>
      <w:r w:rsidRPr="002F0EE3">
        <w:t>2.16 Las cubiertas y los marcos de los sumideros con bordillo tendrán:</w:t>
      </w:r>
    </w:p>
    <w:p w14:paraId="08DF096A" w14:textId="77777777" w:rsidR="00231586" w:rsidRPr="002F0EE3" w:rsidRDefault="0082729B" w:rsidP="007407D4">
      <w:pPr>
        <w:pStyle w:val="ListParagraph"/>
        <w:numPr>
          <w:ilvl w:val="0"/>
          <w:numId w:val="4"/>
        </w:numPr>
      </w:pPr>
      <w:r w:rsidRPr="002F0EE3">
        <w:t>una barra de retención de metal, de sección transversal mínima de 35 mm x 25 mm para su uso durante la construcción;</w:t>
      </w:r>
    </w:p>
    <w:p w14:paraId="6F78D2BD" w14:textId="77777777" w:rsidR="00231586" w:rsidRPr="002F0EE3" w:rsidRDefault="0082729B" w:rsidP="007407D4">
      <w:pPr>
        <w:pStyle w:val="ListParagraph"/>
        <w:numPr>
          <w:ilvl w:val="0"/>
          <w:numId w:val="4"/>
        </w:numPr>
      </w:pPr>
      <w:r w:rsidRPr="002F0EE3">
        <w:t>una cubierta con una ranura o un mecanismo de cierre;</w:t>
      </w:r>
    </w:p>
    <w:p w14:paraId="09399573" w14:textId="77777777" w:rsidR="00231586" w:rsidRPr="002F0EE3" w:rsidRDefault="0082729B" w:rsidP="007407D4">
      <w:pPr>
        <w:pStyle w:val="ListParagraph"/>
        <w:numPr>
          <w:ilvl w:val="0"/>
          <w:numId w:val="4"/>
        </w:numPr>
      </w:pPr>
      <w:r w:rsidRPr="002F0EE3">
        <w:t>una unidad de apertura con una abertura libre rectangular mínima de 400 mm x 250 mm;</w:t>
      </w:r>
    </w:p>
    <w:p w14:paraId="012708C4" w14:textId="77777777" w:rsidR="00231586" w:rsidRPr="002F0EE3" w:rsidRDefault="0082729B" w:rsidP="007407D4">
      <w:pPr>
        <w:pStyle w:val="ListParagraph"/>
        <w:numPr>
          <w:ilvl w:val="0"/>
          <w:numId w:val="4"/>
        </w:numPr>
      </w:pPr>
      <w:r w:rsidRPr="002F0EE3">
        <w:t>un mecanismo de cierre donde se pueda levantar fácilmente una cubierta sin el uso de la llave o herramienta;</w:t>
      </w:r>
    </w:p>
    <w:p w14:paraId="5187EC38" w14:textId="77777777" w:rsidR="00231586" w:rsidRPr="002F0EE3" w:rsidRDefault="0082729B" w:rsidP="007407D4">
      <w:pPr>
        <w:pStyle w:val="ListParagraph"/>
        <w:numPr>
          <w:ilvl w:val="0"/>
          <w:numId w:val="4"/>
        </w:numPr>
      </w:pPr>
      <w:r w:rsidRPr="002F0EE3">
        <w:t>bisagras que, en su caso, estarán en el borde trasero de la cubierta, según se ve desde la carretera;</w:t>
      </w:r>
    </w:p>
    <w:p w14:paraId="667DEFD8" w14:textId="77777777" w:rsidR="00231586" w:rsidRPr="002F0EE3" w:rsidRDefault="0082729B" w:rsidP="007407D4">
      <w:pPr>
        <w:pStyle w:val="ListParagraph"/>
        <w:numPr>
          <w:ilvl w:val="0"/>
          <w:numId w:val="4"/>
        </w:numPr>
      </w:pPr>
      <w:r w:rsidRPr="002F0EE3">
        <w:t>un patrón de rejilla conforme a BS EN 124 [Ref. 3.N] que se drene por sí mismo;</w:t>
      </w:r>
    </w:p>
    <w:p w14:paraId="08670C10" w14:textId="77777777" w:rsidR="00231586" w:rsidRPr="002F0EE3" w:rsidRDefault="0082729B" w:rsidP="007407D4">
      <w:pPr>
        <w:pStyle w:val="ListParagraph"/>
        <w:numPr>
          <w:ilvl w:val="0"/>
          <w:numId w:val="4"/>
        </w:numPr>
      </w:pPr>
      <w:r w:rsidRPr="002F0EE3">
        <w:t>una rejilla con barras horizontales de un mínimo de 12 mm galvanizadas de acuerdo con BS EN ISO 1461 [Ref. 10.N] o un mínimo de dos aletas verticales totalmente fundidas que actúen como una trampa de residuos a través del orificio abierto de la unidad.</w:t>
      </w:r>
    </w:p>
    <w:p w14:paraId="4BC6E3CF" w14:textId="77777777" w:rsidR="00231586" w:rsidRPr="002F0EE3" w:rsidRDefault="0082729B" w:rsidP="00CA30E5">
      <w:pPr>
        <w:pageBreakBefore/>
        <w:rPr>
          <w:b/>
          <w:bCs/>
        </w:rPr>
      </w:pPr>
      <w:r w:rsidRPr="002F0EE3">
        <w:rPr>
          <w:b/>
        </w:rPr>
        <w:t>3. Gestionar situaciones en que las tapas de depósitos existentes estén ubicadas en la calzada</w:t>
      </w:r>
    </w:p>
    <w:p w14:paraId="281E4E3F" w14:textId="77777777" w:rsidR="00231586" w:rsidRPr="002F0EE3" w:rsidRDefault="0082729B" w:rsidP="00CA30E5">
      <w:pPr>
        <w:keepNext/>
        <w:keepLines/>
        <w:rPr>
          <w:b/>
          <w:bCs/>
        </w:rPr>
      </w:pPr>
      <w:r w:rsidRPr="002F0EE3">
        <w:rPr>
          <w:b/>
        </w:rPr>
        <w:t>Tapas de depósitos que pasan a estar en la calzada</w:t>
      </w:r>
    </w:p>
    <w:p w14:paraId="2DAC9CC2" w14:textId="77777777" w:rsidR="00231586" w:rsidRPr="002F0EE3" w:rsidRDefault="0082729B" w:rsidP="00CA30E5">
      <w:pPr>
        <w:keepNext/>
        <w:keepLines/>
      </w:pPr>
      <w:r w:rsidRPr="002F0EE3">
        <w:t>3.1 Los requisitos de esta sección se aplicarán en concreto a las llamadas «autopistas inteligentes» («smart motorways»), pero también a:</w:t>
      </w:r>
    </w:p>
    <w:p w14:paraId="52067818" w14:textId="77777777" w:rsidR="00231586" w:rsidRPr="002F0EE3" w:rsidRDefault="0082729B" w:rsidP="007407D4">
      <w:pPr>
        <w:pStyle w:val="ListParagraph"/>
        <w:numPr>
          <w:ilvl w:val="0"/>
          <w:numId w:val="6"/>
        </w:numPr>
      </w:pPr>
      <w:r w:rsidRPr="002F0EE3">
        <w:t>todos los proyectos actualmente en fase de diseño o de construcción y proyectos futuros donde los arcenes vayan a convertirse en carriles de circulación;</w:t>
      </w:r>
    </w:p>
    <w:p w14:paraId="5D3A24B5" w14:textId="77777777" w:rsidR="00231586" w:rsidRPr="002F0EE3" w:rsidRDefault="0082729B" w:rsidP="007407D4">
      <w:pPr>
        <w:pStyle w:val="ListParagraph"/>
        <w:numPr>
          <w:ilvl w:val="0"/>
          <w:numId w:val="6"/>
        </w:numPr>
      </w:pPr>
      <w:r w:rsidRPr="002F0EE3">
        <w:t>todas las obras viales temporales donde el arcén vaya a utilizarse como carril de circulación.</w:t>
      </w:r>
    </w:p>
    <w:p w14:paraId="1A9F147D" w14:textId="77777777" w:rsidR="00231586" w:rsidRPr="002F0EE3" w:rsidRDefault="0082729B" w:rsidP="007407D4">
      <w:r w:rsidRPr="002F0EE3">
        <w:t>3.2 El tratamiento de las tapas de depósito de la calzada se determinará de acuerdo con el árbol de decisiones que se muestra en la Figura 1 del anexo B.</w:t>
      </w:r>
    </w:p>
    <w:p w14:paraId="63E1C5FE" w14:textId="77777777" w:rsidR="00231586" w:rsidRPr="002F0EE3" w:rsidRDefault="0082729B" w:rsidP="00CA30E5">
      <w:pPr>
        <w:keepNext/>
        <w:keepLines/>
        <w:rPr>
          <w:b/>
          <w:bCs/>
        </w:rPr>
      </w:pPr>
      <w:r w:rsidRPr="002F0EE3">
        <w:rPr>
          <w:b/>
        </w:rPr>
        <w:t>Requisitos</w:t>
      </w:r>
    </w:p>
    <w:p w14:paraId="67757F28" w14:textId="77777777" w:rsidR="00231586" w:rsidRPr="002F0EE3" w:rsidRDefault="0082729B" w:rsidP="007407D4">
      <w:r w:rsidRPr="002F0EE3">
        <w:t>3.3 Deberán quitarse las tapas de depósitos que haya en las calzadas.</w:t>
      </w:r>
    </w:p>
    <w:p w14:paraId="219C123A" w14:textId="77777777" w:rsidR="00231586" w:rsidRPr="002F0EE3" w:rsidRDefault="0082729B" w:rsidP="007407D4">
      <w:pPr>
        <w:rPr>
          <w:i/>
          <w:iCs/>
        </w:rPr>
      </w:pPr>
      <w:r w:rsidRPr="002F0EE3">
        <w:rPr>
          <w:i/>
        </w:rPr>
        <w:t>NOTA Ha habido una serie de fallos en las cubiertas de las tapas de depósitos cuando los arcenes se han convertido en carriles de circulación o se han utilizado como tal. Se han registrado fallos similares en casos en que el arcén se ha utilizado como carril de circulación en obras viales.</w:t>
      </w:r>
    </w:p>
    <w:p w14:paraId="7B73F5BC" w14:textId="77777777" w:rsidR="00231586" w:rsidRPr="002F0EE3" w:rsidRDefault="0082729B" w:rsidP="007407D4">
      <w:r w:rsidRPr="002F0EE3">
        <w:t>3.4 Cualquier decisión (incluido el chapado) para que las tapas de los depósitos se ubiquen en puntos de conflicto de unión o separación será respaldada por el Grupo de revisión de control de seguridad (SCRG) y el proceso de decisión se registrará en el registro de estrategia de diseño (DSR).</w:t>
      </w:r>
    </w:p>
    <w:p w14:paraId="2AA7361E" w14:textId="77777777" w:rsidR="00231586" w:rsidRPr="002F0EE3" w:rsidRDefault="0082729B" w:rsidP="007407D4">
      <w:r w:rsidRPr="002F0EE3">
        <w:t>3.5 Los depósitos que hayan sido chapados se registrarán de acuerdo con los requisitos de datos de la organización de supervisión, incluidos los detalles de la profundidad del chapado.</w:t>
      </w:r>
    </w:p>
    <w:p w14:paraId="6BD3EA72" w14:textId="77777777" w:rsidR="00231586" w:rsidRPr="002F0EE3" w:rsidRDefault="0082729B" w:rsidP="007407D4">
      <w:r w:rsidRPr="002F0EE3">
        <w:t>3.6 Cuando se lleve a cabo una readaptación o se coloquen depósitos en los arcenes, la tubería de conexión tendrá el mismo diámetro que la del desagüe principal con una conexión invertida - invertida, lo que facilitará el acceso de las cámaras de seguridad.</w:t>
      </w:r>
    </w:p>
    <w:p w14:paraId="3BD6178B" w14:textId="77777777" w:rsidR="00231586" w:rsidRPr="002F0EE3" w:rsidRDefault="0082729B" w:rsidP="007407D4">
      <w:r w:rsidRPr="002F0EE3">
        <w:t>3.7 Cuando se lleve a cabo una readaptación o se coloquen depósitos en los arcenes, se realizará un acondicionamiento de banquetas en los depósitos en el nivel invertido de la tubería de conexión.</w:t>
      </w:r>
    </w:p>
    <w:p w14:paraId="1F51FA5A" w14:textId="77777777" w:rsidR="00231586" w:rsidRPr="002F0EE3" w:rsidRDefault="0082729B" w:rsidP="00CA30E5">
      <w:pPr>
        <w:keepNext/>
        <w:keepLines/>
        <w:rPr>
          <w:b/>
          <w:bCs/>
        </w:rPr>
      </w:pPr>
      <w:r w:rsidRPr="002F0EE3">
        <w:rPr>
          <w:b/>
        </w:rPr>
        <w:t>Evaluación de ubicaciones y programa de obras de mejora</w:t>
      </w:r>
    </w:p>
    <w:p w14:paraId="26FE13C8" w14:textId="77777777" w:rsidR="00231586" w:rsidRPr="002F0EE3" w:rsidRDefault="0082729B" w:rsidP="007407D4">
      <w:r w:rsidRPr="002F0EE3">
        <w:t>3.8 Se identificarán y registrarán los sitios en los que se vayan a colocar accesos para los depósitos de la calzada.</w:t>
      </w:r>
    </w:p>
    <w:p w14:paraId="7C49A543" w14:textId="77777777" w:rsidR="00231586" w:rsidRPr="002F0EE3" w:rsidRDefault="0082729B" w:rsidP="00CA30E5">
      <w:pPr>
        <w:keepNext/>
        <w:keepLines/>
        <w:rPr>
          <w:b/>
          <w:bCs/>
        </w:rPr>
      </w:pPr>
      <w:r w:rsidRPr="002F0EE3">
        <w:rPr>
          <w:b/>
        </w:rPr>
        <w:t>Árbol de decisiones para el tratamiento de depósitos existentes que se encuentran o vayan a instalarse en la calzada</w:t>
      </w:r>
    </w:p>
    <w:p w14:paraId="3055F1BA" w14:textId="77777777" w:rsidR="00231586" w:rsidRPr="002F0EE3" w:rsidRDefault="0082729B" w:rsidP="007407D4">
      <w:r w:rsidRPr="002F0EE3">
        <w:t>3.9 Cuando se vaya a conservar o modificar un depósito en una calzada por un proyecto, se seguirá el árbol de decisiones que figura en el anexo B.</w:t>
      </w:r>
    </w:p>
    <w:p w14:paraId="6C27461B" w14:textId="77777777" w:rsidR="00231586" w:rsidRPr="002F0EE3" w:rsidRDefault="0082729B" w:rsidP="007407D4">
      <w:pPr>
        <w:rPr>
          <w:i/>
          <w:iCs/>
        </w:rPr>
      </w:pPr>
      <w:r w:rsidRPr="002F0EE3">
        <w:rPr>
          <w:i/>
        </w:rPr>
        <w:t>NOTA: Las tapas de depósitos E600 no son una alternativa para solucionar el problema de colocación de tapas de depósitos en carriles de circulación.</w:t>
      </w:r>
    </w:p>
    <w:p w14:paraId="39B97C56" w14:textId="77777777" w:rsidR="00231586" w:rsidRPr="002F0EE3" w:rsidRDefault="0082729B" w:rsidP="007407D4">
      <w:r w:rsidRPr="002F0EE3">
        <w:t>3.10 No estará permitida la colocación de tapas de depósitos en el ancho de vía.</w:t>
      </w:r>
    </w:p>
    <w:p w14:paraId="1BE3B2E8" w14:textId="77777777" w:rsidR="00231586" w:rsidRPr="002F0EE3" w:rsidRDefault="0082729B" w:rsidP="007407D4">
      <w:r w:rsidRPr="002F0EE3">
        <w:t>3.10.1 Cuando se identifique un depósito en el pavimento de la calzada, se inspeccionará la red local para detectar la presencia de otros posibles depósitos.</w:t>
      </w:r>
    </w:p>
    <w:p w14:paraId="09532296" w14:textId="77777777" w:rsidR="00231586" w:rsidRPr="002F0EE3" w:rsidRDefault="0082729B" w:rsidP="007407D4">
      <w:r w:rsidRPr="002F0EE3">
        <w:t>3.11 Toda la información relativa al drenaje se registrará de acuerdo con los requisitos de datos de la organización de supervisión, como las readaptaciones de los depósitos, los tratamientos de chapado, la canalización o la colocación de depósitos laterales.</w:t>
      </w:r>
    </w:p>
    <w:p w14:paraId="55627FBA" w14:textId="21A203D2" w:rsidR="00231586" w:rsidRPr="002F0EE3" w:rsidRDefault="0082729B" w:rsidP="00CA30E5">
      <w:pPr>
        <w:pageBreakBefore/>
        <w:rPr>
          <w:b/>
          <w:bCs/>
        </w:rPr>
      </w:pPr>
      <w:r w:rsidRPr="002F0EE3">
        <w:rPr>
          <w:b/>
        </w:rPr>
        <w:t>4. Referencias normativas</w:t>
      </w:r>
    </w:p>
    <w:p w14:paraId="3ECAD4FE" w14:textId="77777777" w:rsidR="00231586" w:rsidRPr="002F0EE3" w:rsidRDefault="0082729B" w:rsidP="007407D4">
      <w:r w:rsidRPr="002F0EE3">
        <w:t>Los siguientes documentos, en su totalidad o en parte, se citan como referencias normativas en este documento y son indispensables para su aplicación. En el caso de las referencias fechadas, solamente será aplicable la edición citada. En el caso de las referencias no fechadas, será aplicable la última edición del documento citado (incluidas sus modificaciones, si las hubiera).</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2F0EE3" w14:paraId="4F25F64C" w14:textId="77777777" w:rsidTr="00CA30E5">
        <w:tc>
          <w:tcPr>
            <w:tcW w:w="946" w:type="pct"/>
          </w:tcPr>
          <w:p w14:paraId="7F2239AB" w14:textId="213CAD97" w:rsidR="00CA30E5" w:rsidRPr="002F0EE3" w:rsidRDefault="00CA30E5" w:rsidP="00CA30E5">
            <w:pPr>
              <w:spacing w:before="20" w:after="20"/>
            </w:pPr>
            <w:r w:rsidRPr="002F0EE3">
              <w:t>Ref. 1.N</w:t>
            </w:r>
          </w:p>
        </w:tc>
        <w:tc>
          <w:tcPr>
            <w:tcW w:w="4054" w:type="pct"/>
          </w:tcPr>
          <w:p w14:paraId="5F0B4A15" w14:textId="77777777" w:rsidR="00CA30E5" w:rsidRPr="002F0EE3" w:rsidRDefault="00CA30E5" w:rsidP="00CA30E5">
            <w:pPr>
              <w:spacing w:before="20" w:after="20"/>
            </w:pPr>
            <w:r w:rsidRPr="002F0EE3">
              <w:t>BSI. BS EN 752, «Sistemas de desagües y de alcantarillado exteriores a edificios. Gestión del sistema de alcantarillado»</w:t>
            </w:r>
          </w:p>
        </w:tc>
      </w:tr>
      <w:tr w:rsidR="00CA30E5" w:rsidRPr="002F0EE3" w14:paraId="04D77B64" w14:textId="77777777" w:rsidTr="00CA30E5">
        <w:tc>
          <w:tcPr>
            <w:tcW w:w="946" w:type="pct"/>
          </w:tcPr>
          <w:p w14:paraId="7E66A64F" w14:textId="2FDC4BFA" w:rsidR="00CA30E5" w:rsidRPr="002F0EE3" w:rsidRDefault="00CA30E5" w:rsidP="00CA30E5">
            <w:pPr>
              <w:spacing w:before="20" w:after="20"/>
            </w:pPr>
            <w:r w:rsidRPr="002F0EE3">
              <w:t>Ref. 2.N</w:t>
            </w:r>
          </w:p>
        </w:tc>
        <w:tc>
          <w:tcPr>
            <w:tcW w:w="4054" w:type="pct"/>
          </w:tcPr>
          <w:p w14:paraId="430729B2" w14:textId="77777777" w:rsidR="00CA30E5" w:rsidRPr="002F0EE3" w:rsidRDefault="00CA30E5" w:rsidP="00CA30E5">
            <w:pPr>
              <w:spacing w:before="20" w:after="20"/>
            </w:pPr>
            <w:r w:rsidRPr="002F0EE3">
              <w:t>BSI. BS 7903, «Guía para la selección y el uso de tapas de sumideros y cubiertas de alcantarillas para su instalación en carreteras»</w:t>
            </w:r>
          </w:p>
        </w:tc>
      </w:tr>
      <w:tr w:rsidR="00CA30E5" w:rsidRPr="002F0EE3" w14:paraId="1CE4881C" w14:textId="77777777" w:rsidTr="00CA30E5">
        <w:tc>
          <w:tcPr>
            <w:tcW w:w="946" w:type="pct"/>
          </w:tcPr>
          <w:p w14:paraId="59A56A1E" w14:textId="315B92A8" w:rsidR="00CA30E5" w:rsidRPr="002F0EE3" w:rsidRDefault="00CA30E5" w:rsidP="00CA30E5">
            <w:pPr>
              <w:spacing w:before="20" w:after="20"/>
            </w:pPr>
            <w:r w:rsidRPr="002F0EE3">
              <w:t>Ref. 3.N</w:t>
            </w:r>
          </w:p>
        </w:tc>
        <w:tc>
          <w:tcPr>
            <w:tcW w:w="4054" w:type="pct"/>
          </w:tcPr>
          <w:p w14:paraId="11B702B9" w14:textId="77777777" w:rsidR="00CA30E5" w:rsidRPr="002F0EE3" w:rsidRDefault="00CA30E5" w:rsidP="00CA30E5">
            <w:pPr>
              <w:spacing w:before="20" w:after="20"/>
            </w:pPr>
            <w:r w:rsidRPr="002F0EE3">
              <w:t>BSI. BS EN 124, «Dispositivos de cubrimiento y de cierre para zonas de circulación utilizadas por peatones y vehículos.</w:t>
            </w:r>
          </w:p>
          <w:p w14:paraId="39E4E2FB" w14:textId="34F02D81" w:rsidR="00CA30E5" w:rsidRPr="002F0EE3" w:rsidRDefault="00CA30E5" w:rsidP="00CA30E5">
            <w:pPr>
              <w:spacing w:before="20" w:after="20"/>
            </w:pPr>
            <w:r w:rsidRPr="002F0EE3">
              <w:t>Definiciones, clasificación, principios generales de diseño, requisitos de comportamiento y métodos de ensayo»</w:t>
            </w:r>
          </w:p>
        </w:tc>
      </w:tr>
      <w:tr w:rsidR="00CA30E5" w:rsidRPr="002F0EE3" w14:paraId="3F697897" w14:textId="77777777" w:rsidTr="00CA30E5">
        <w:tc>
          <w:tcPr>
            <w:tcW w:w="946" w:type="pct"/>
          </w:tcPr>
          <w:p w14:paraId="0646543F" w14:textId="211612E5" w:rsidR="00CA30E5" w:rsidRPr="002F0EE3" w:rsidRDefault="00CA30E5" w:rsidP="00CA30E5">
            <w:pPr>
              <w:spacing w:before="20" w:after="20"/>
            </w:pPr>
            <w:r w:rsidRPr="002F0EE3">
              <w:t>Ref. 4.N</w:t>
            </w:r>
          </w:p>
        </w:tc>
        <w:tc>
          <w:tcPr>
            <w:tcW w:w="4054" w:type="pct"/>
          </w:tcPr>
          <w:p w14:paraId="531A9F98" w14:textId="77777777" w:rsidR="00CA30E5" w:rsidRPr="002F0EE3" w:rsidRDefault="00CA30E5" w:rsidP="00CA30E5">
            <w:pPr>
              <w:spacing w:before="20" w:after="20"/>
            </w:pPr>
            <w:r w:rsidRPr="002F0EE3">
              <w:t>Highways England. GG 101, «Introducción al manual de diseño para carreteras y puentes»</w:t>
            </w:r>
          </w:p>
        </w:tc>
      </w:tr>
      <w:tr w:rsidR="00CA30E5" w:rsidRPr="002F0EE3" w14:paraId="1D72BF74" w14:textId="77777777" w:rsidTr="00CA30E5">
        <w:tc>
          <w:tcPr>
            <w:tcW w:w="946" w:type="pct"/>
          </w:tcPr>
          <w:p w14:paraId="4C4401AF" w14:textId="66DFA931" w:rsidR="00CA30E5" w:rsidRPr="002F0EE3" w:rsidRDefault="00CA30E5" w:rsidP="00CA30E5">
            <w:pPr>
              <w:spacing w:before="20" w:after="20"/>
            </w:pPr>
            <w:r w:rsidRPr="002F0EE3">
              <w:t>Ref. 5.N</w:t>
            </w:r>
          </w:p>
        </w:tc>
        <w:tc>
          <w:tcPr>
            <w:tcW w:w="4054" w:type="pct"/>
          </w:tcPr>
          <w:p w14:paraId="680185B1" w14:textId="77777777" w:rsidR="00CA30E5" w:rsidRPr="002F0EE3" w:rsidRDefault="00CA30E5" w:rsidP="00CA30E5">
            <w:pPr>
              <w:spacing w:before="20" w:after="20"/>
            </w:pPr>
            <w:r w:rsidRPr="002F0EE3">
              <w:t>Highways England. MCHW serie 500, «Manual de documentos contractuales para obras viales, Volumen 1: Especificaciones para obras viales. Serie 500 Drenaje y conductos de servicio»</w:t>
            </w:r>
          </w:p>
        </w:tc>
      </w:tr>
      <w:tr w:rsidR="00CA30E5" w:rsidRPr="002F0EE3" w14:paraId="2A6AA809" w14:textId="77777777" w:rsidTr="00CA30E5">
        <w:tc>
          <w:tcPr>
            <w:tcW w:w="946" w:type="pct"/>
          </w:tcPr>
          <w:p w14:paraId="56278B0C" w14:textId="2D6A9A03" w:rsidR="00CA30E5" w:rsidRPr="002F0EE3" w:rsidRDefault="00CA30E5" w:rsidP="00CA30E5">
            <w:pPr>
              <w:spacing w:before="20" w:after="20"/>
            </w:pPr>
            <w:r w:rsidRPr="002F0EE3">
              <w:t>Ref. 6.N</w:t>
            </w:r>
          </w:p>
        </w:tc>
        <w:tc>
          <w:tcPr>
            <w:tcW w:w="4054" w:type="pct"/>
          </w:tcPr>
          <w:p w14:paraId="460E3742" w14:textId="77777777" w:rsidR="00CA30E5" w:rsidRPr="002F0EE3" w:rsidRDefault="00CA30E5" w:rsidP="00CA30E5">
            <w:pPr>
              <w:spacing w:before="20" w:after="20"/>
            </w:pPr>
            <w:r w:rsidRPr="002F0EE3">
              <w:t>Highways England. MCHW serie 900, «Manual de documentos contractuales para obras de carretera. Volumen 1 Especificaciones para obras de carretera. Serie 900 - Calzadas - Materiales bituminosos ligados»</w:t>
            </w:r>
          </w:p>
        </w:tc>
      </w:tr>
      <w:tr w:rsidR="00CA30E5" w:rsidRPr="002F0EE3" w14:paraId="4822F243" w14:textId="77777777" w:rsidTr="00CA30E5">
        <w:tc>
          <w:tcPr>
            <w:tcW w:w="946" w:type="pct"/>
          </w:tcPr>
          <w:p w14:paraId="58BD1891" w14:textId="6DA33D6E" w:rsidR="00CA30E5" w:rsidRPr="002F0EE3" w:rsidRDefault="00CA30E5" w:rsidP="00CA30E5">
            <w:pPr>
              <w:spacing w:before="20" w:after="20"/>
            </w:pPr>
            <w:r w:rsidRPr="002F0EE3">
              <w:t>Ref. 7.N</w:t>
            </w:r>
          </w:p>
        </w:tc>
        <w:tc>
          <w:tcPr>
            <w:tcW w:w="4054" w:type="pct"/>
          </w:tcPr>
          <w:p w14:paraId="69644E76" w14:textId="77777777" w:rsidR="00CA30E5" w:rsidRPr="002F0EE3" w:rsidRDefault="00CA30E5" w:rsidP="00CA30E5">
            <w:pPr>
              <w:spacing w:before="20" w:after="20"/>
            </w:pPr>
            <w:r w:rsidRPr="002F0EE3">
              <w:t>Highways England. MCHW serie NG800, «Notas de orientación a las especificaciones para obras de carretera (MCHW2)»</w:t>
            </w:r>
          </w:p>
        </w:tc>
      </w:tr>
      <w:tr w:rsidR="00CA30E5" w:rsidRPr="002F0EE3" w14:paraId="64D5C235" w14:textId="77777777" w:rsidTr="00CA30E5">
        <w:tc>
          <w:tcPr>
            <w:tcW w:w="946" w:type="pct"/>
          </w:tcPr>
          <w:p w14:paraId="7FB4D5AB" w14:textId="2A7884B9" w:rsidR="00CA30E5" w:rsidRPr="002F0EE3" w:rsidRDefault="00CA30E5" w:rsidP="00CA30E5">
            <w:pPr>
              <w:spacing w:before="20" w:after="20"/>
            </w:pPr>
            <w:r w:rsidRPr="002F0EE3">
              <w:t>Ref. 8.N</w:t>
            </w:r>
          </w:p>
        </w:tc>
        <w:tc>
          <w:tcPr>
            <w:tcW w:w="4054" w:type="pct"/>
          </w:tcPr>
          <w:p w14:paraId="5775FF73" w14:textId="5B43064D" w:rsidR="00CA30E5" w:rsidRPr="002F0EE3" w:rsidRDefault="00CA30E5" w:rsidP="00CA30E5">
            <w:pPr>
              <w:spacing w:before="20" w:after="20"/>
            </w:pPr>
            <w:r w:rsidRPr="002F0EE3">
              <w:t>BSI. BS 7263-1, «Losas, bordillos, canales, bordes y cuadrantes de hormigón prefabricado»</w:t>
            </w:r>
          </w:p>
        </w:tc>
      </w:tr>
      <w:tr w:rsidR="00CA30E5" w:rsidRPr="002F0EE3" w14:paraId="7EF760B6" w14:textId="77777777" w:rsidTr="00CA30E5">
        <w:tc>
          <w:tcPr>
            <w:tcW w:w="946" w:type="pct"/>
          </w:tcPr>
          <w:p w14:paraId="77884683" w14:textId="6C886613" w:rsidR="00CA30E5" w:rsidRPr="002F0EE3" w:rsidRDefault="00CA30E5" w:rsidP="00CA30E5">
            <w:pPr>
              <w:spacing w:before="20" w:after="20"/>
            </w:pPr>
            <w:r w:rsidRPr="002F0EE3">
              <w:t>Ref. 9.N</w:t>
            </w:r>
          </w:p>
        </w:tc>
        <w:tc>
          <w:tcPr>
            <w:tcW w:w="4054" w:type="pct"/>
          </w:tcPr>
          <w:p w14:paraId="420618EF" w14:textId="77777777" w:rsidR="00CA30E5" w:rsidRPr="002F0EE3" w:rsidRDefault="00CA30E5" w:rsidP="00CA30E5">
            <w:pPr>
              <w:spacing w:before="20" w:after="20"/>
            </w:pPr>
            <w:r w:rsidRPr="002F0EE3">
              <w:t>BSI. BS EN 13036-4, «Características superficiales de carreteras y superficies aeroportuarias. Métodos de ensayo. Parte 4: Método para la medición de la resistencia al deslizamiento/derrape. Ensayo del péndulo», 2011</w:t>
            </w:r>
          </w:p>
        </w:tc>
      </w:tr>
      <w:tr w:rsidR="00CA30E5" w:rsidRPr="002F0EE3" w14:paraId="0A74D3BA" w14:textId="77777777" w:rsidTr="00CA30E5">
        <w:tc>
          <w:tcPr>
            <w:tcW w:w="946" w:type="pct"/>
          </w:tcPr>
          <w:p w14:paraId="734628CA" w14:textId="47C0E1EF" w:rsidR="00CA30E5" w:rsidRPr="002F0EE3" w:rsidRDefault="00CA30E5" w:rsidP="00CA30E5">
            <w:pPr>
              <w:spacing w:before="20" w:after="20"/>
            </w:pPr>
            <w:r w:rsidRPr="002F0EE3">
              <w:t>Ref. 10.N</w:t>
            </w:r>
          </w:p>
        </w:tc>
        <w:tc>
          <w:tcPr>
            <w:tcW w:w="4054" w:type="pct"/>
          </w:tcPr>
          <w:p w14:paraId="6597C531" w14:textId="77777777" w:rsidR="00CA30E5" w:rsidRPr="002F0EE3" w:rsidRDefault="00CA30E5" w:rsidP="00CA30E5">
            <w:pPr>
              <w:spacing w:before="20" w:after="20"/>
            </w:pPr>
            <w:r w:rsidRPr="002F0EE3">
              <w:t>BSI. BS EN ISO 1461, «Especificaciones para recubrimientos de galvanización en caliente sobre piezas de hierro y acero»</w:t>
            </w:r>
          </w:p>
        </w:tc>
      </w:tr>
      <w:tr w:rsidR="00CA30E5" w:rsidRPr="002F0EE3" w14:paraId="4FA89709" w14:textId="77777777" w:rsidTr="00CA30E5">
        <w:tc>
          <w:tcPr>
            <w:tcW w:w="946" w:type="pct"/>
          </w:tcPr>
          <w:p w14:paraId="3EEB41C4" w14:textId="4DA8718E" w:rsidR="00CA30E5" w:rsidRPr="002F0EE3" w:rsidRDefault="00CA30E5" w:rsidP="00CA30E5">
            <w:pPr>
              <w:spacing w:before="20" w:after="20"/>
            </w:pPr>
            <w:r w:rsidRPr="002F0EE3">
              <w:t>Ref. 11.N</w:t>
            </w:r>
          </w:p>
        </w:tc>
        <w:tc>
          <w:tcPr>
            <w:tcW w:w="4054" w:type="pct"/>
          </w:tcPr>
          <w:p w14:paraId="6246C2B5" w14:textId="77777777" w:rsidR="00CA30E5" w:rsidRPr="002F0EE3" w:rsidRDefault="00CA30E5" w:rsidP="00CA30E5">
            <w:pPr>
              <w:spacing w:before="20" w:after="20"/>
            </w:pPr>
            <w:r w:rsidRPr="002F0EE3">
              <w:t>BSI. BS 9124, «Especificaciones para sistemas de cubiertas de acceso de acero y aluminio con abertura libre de 1 m»</w:t>
            </w:r>
          </w:p>
        </w:tc>
      </w:tr>
    </w:tbl>
    <w:p w14:paraId="260D367F" w14:textId="77777777" w:rsidR="00231586" w:rsidRPr="002F0EE3" w:rsidRDefault="0082729B" w:rsidP="00CA30E5">
      <w:pPr>
        <w:pageBreakBefore/>
        <w:rPr>
          <w:b/>
          <w:bCs/>
        </w:rPr>
      </w:pPr>
      <w:r w:rsidRPr="002F0EE3">
        <w:rPr>
          <w:b/>
        </w:rPr>
        <w:t>5. Referencias informativas</w:t>
      </w:r>
    </w:p>
    <w:p w14:paraId="63F07915" w14:textId="77777777" w:rsidR="00231586" w:rsidRPr="002F0EE3" w:rsidRDefault="0082729B" w:rsidP="007407D4">
      <w:r w:rsidRPr="002F0EE3">
        <w:t>Los siguientes documentos se citan como referencias informativas en este documento y ofrecen información de apoyo.</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2F0EE3" w14:paraId="420218C8" w14:textId="77777777" w:rsidTr="00CA30E5">
        <w:tc>
          <w:tcPr>
            <w:tcW w:w="946" w:type="pct"/>
          </w:tcPr>
          <w:p w14:paraId="09E56F9A" w14:textId="5219255C" w:rsidR="00CA30E5" w:rsidRPr="002F0EE3" w:rsidRDefault="00CA30E5" w:rsidP="00CA30E5">
            <w:pPr>
              <w:spacing w:before="20" w:after="20"/>
            </w:pPr>
            <w:r w:rsidRPr="002F0EE3">
              <w:t>Ref. 1.I</w:t>
            </w:r>
          </w:p>
        </w:tc>
        <w:tc>
          <w:tcPr>
            <w:tcW w:w="4054" w:type="pct"/>
          </w:tcPr>
          <w:p w14:paraId="41F7298F" w14:textId="77777777" w:rsidR="00CA30E5" w:rsidRPr="002F0EE3" w:rsidRDefault="00CA30E5" w:rsidP="00CA30E5">
            <w:pPr>
              <w:spacing w:before="20" w:after="20"/>
            </w:pPr>
            <w:r w:rsidRPr="002F0EE3">
              <w:t>WRc. UC 12974, «Comparación de los métodos de ensayo de resistencia al deslizamiento para tapas de alcantarilla»</w:t>
            </w:r>
          </w:p>
        </w:tc>
      </w:tr>
      <w:tr w:rsidR="00CA30E5" w:rsidRPr="002F0EE3" w14:paraId="451C4568" w14:textId="77777777" w:rsidTr="00CA30E5">
        <w:tc>
          <w:tcPr>
            <w:tcW w:w="946" w:type="pct"/>
          </w:tcPr>
          <w:p w14:paraId="657D9595" w14:textId="29BB0CEB" w:rsidR="00CA30E5" w:rsidRPr="002F0EE3" w:rsidRDefault="00CA30E5" w:rsidP="00CA30E5">
            <w:pPr>
              <w:spacing w:before="20" w:after="20"/>
            </w:pPr>
            <w:r w:rsidRPr="002F0EE3">
              <w:t>Ref. 2.I</w:t>
            </w:r>
          </w:p>
        </w:tc>
        <w:tc>
          <w:tcPr>
            <w:tcW w:w="4054" w:type="pct"/>
          </w:tcPr>
          <w:p w14:paraId="1DE068AC" w14:textId="77777777" w:rsidR="00CA30E5" w:rsidRPr="002F0EE3" w:rsidRDefault="00CA30E5" w:rsidP="00CA30E5">
            <w:pPr>
              <w:spacing w:before="20" w:after="20"/>
            </w:pPr>
            <w:r w:rsidRPr="002F0EE3">
              <w:t>BSI. DD ENV 12633, «Método para la determinación del valor de la resistencia al deslizamiento/resbalamiento de los pavimentos pulidos y sin pulir»</w:t>
            </w:r>
          </w:p>
        </w:tc>
      </w:tr>
      <w:tr w:rsidR="00CA30E5" w:rsidRPr="002F0EE3" w14:paraId="40BB1EBB" w14:textId="77777777" w:rsidTr="00CA30E5">
        <w:tc>
          <w:tcPr>
            <w:tcW w:w="946" w:type="pct"/>
          </w:tcPr>
          <w:p w14:paraId="689F8616" w14:textId="07EB6CB0" w:rsidR="00CA30E5" w:rsidRPr="002F0EE3" w:rsidRDefault="00CA30E5" w:rsidP="00CA30E5">
            <w:pPr>
              <w:spacing w:before="20" w:after="20"/>
            </w:pPr>
            <w:r w:rsidRPr="002F0EE3">
              <w:t>Ref. 3.I</w:t>
            </w:r>
          </w:p>
        </w:tc>
        <w:tc>
          <w:tcPr>
            <w:tcW w:w="4054" w:type="pct"/>
          </w:tcPr>
          <w:p w14:paraId="4AE7FBFE" w14:textId="77777777" w:rsidR="00CA30E5" w:rsidRPr="002F0EE3" w:rsidRDefault="00CA30E5" w:rsidP="00CA30E5">
            <w:pPr>
              <w:spacing w:before="20" w:after="20"/>
            </w:pPr>
            <w:r w:rsidRPr="002F0EE3">
              <w:t>RSTA. «Código de prácticas RSTA ADEPT para la instalación y renovación de sistemas de herraje»</w:t>
            </w:r>
          </w:p>
        </w:tc>
      </w:tr>
      <w:tr w:rsidR="00CA30E5" w:rsidRPr="002F0EE3" w14:paraId="4BB5E060" w14:textId="77777777" w:rsidTr="00CA30E5">
        <w:tc>
          <w:tcPr>
            <w:tcW w:w="946" w:type="pct"/>
          </w:tcPr>
          <w:p w14:paraId="6596D581" w14:textId="6DB56331" w:rsidR="00CA30E5" w:rsidRPr="002F0EE3" w:rsidRDefault="00CA30E5" w:rsidP="00CA30E5">
            <w:pPr>
              <w:spacing w:before="20" w:after="20"/>
            </w:pPr>
            <w:r w:rsidRPr="002F0EE3">
              <w:t>Ref. 4.I</w:t>
            </w:r>
          </w:p>
        </w:tc>
        <w:tc>
          <w:tcPr>
            <w:tcW w:w="4054" w:type="pct"/>
          </w:tcPr>
          <w:p w14:paraId="6689B371" w14:textId="77777777" w:rsidR="00CA30E5" w:rsidRPr="002F0EE3" w:rsidRDefault="00CA30E5" w:rsidP="00CA30E5">
            <w:pPr>
              <w:spacing w:before="20" w:after="20"/>
            </w:pPr>
            <w:r w:rsidRPr="002F0EE3">
              <w:t>Sociedad Americana de Ensayos de Materiales (American Society for Testing Materials) ASTM E1884, «Especificaciones estándar para un neumático de ensayo de fricción de banda de rodadura lisa tamaño A 10x4-5»</w:t>
            </w:r>
          </w:p>
        </w:tc>
      </w:tr>
    </w:tbl>
    <w:p w14:paraId="7229FC0E" w14:textId="47CE7746" w:rsidR="00231586" w:rsidRPr="002F0EE3" w:rsidRDefault="0082729B" w:rsidP="00CA30E5">
      <w:pPr>
        <w:pageBreakBefore/>
        <w:rPr>
          <w:b/>
          <w:bCs/>
        </w:rPr>
      </w:pPr>
      <w:r w:rsidRPr="002F0EE3">
        <w:rPr>
          <w:b/>
        </w:rPr>
        <w:t>Anexo A. Ensayo de deslizamiento de WRc</w:t>
      </w:r>
    </w:p>
    <w:p w14:paraId="4FB79973" w14:textId="77777777" w:rsidR="00231586" w:rsidRPr="002F0EE3" w:rsidRDefault="0082729B" w:rsidP="007407D4">
      <w:pPr>
        <w:rPr>
          <w:b/>
          <w:bCs/>
        </w:rPr>
      </w:pPr>
      <w:r w:rsidRPr="002F0EE3">
        <w:rPr>
          <w:b/>
        </w:rPr>
        <w:t>A1 Procedimiento de ensayo</w:t>
      </w:r>
    </w:p>
    <w:p w14:paraId="5186AE10" w14:textId="77777777" w:rsidR="00231586" w:rsidRPr="002F0EE3" w:rsidRDefault="0082729B" w:rsidP="007407D4">
      <w:r w:rsidRPr="002F0EE3">
        <w:t>La resistencia al deslizamiento de los materiales de la superficie del pavimento se mide utilizando el ensayo del péndulo especificado en el anexo B de DD ENV 12633 [Ref. 2.I]. Este procedimiento no resulta apropiado para evaluar de manera adecuada la resistencia al deslizamiento de superficies perfiladas, como las que forman las cubiertas de las tapas de los depósitos.</w:t>
      </w:r>
    </w:p>
    <w:p w14:paraId="36D07B1F" w14:textId="77777777" w:rsidR="00231586" w:rsidRPr="002F0EE3" w:rsidRDefault="0082729B" w:rsidP="007407D4">
      <w:r w:rsidRPr="002F0EE3">
        <w:t>En 2016 se encargó a la empresa WRc el diseño de un método de ensayo más apropiado para este tipo de perfiles de superficie de rejilla, y desarrollaron el ensayo de bloqueo de rueda que se describe en su informe final UC 12974 [Ref. 1.I] de febrero de 2018 y que se resume a continuación.</w:t>
      </w:r>
    </w:p>
    <w:p w14:paraId="77102FE5" w14:textId="77777777" w:rsidR="00231586" w:rsidRPr="002F0EE3" w:rsidRDefault="0082729B" w:rsidP="007407D4">
      <w:r w:rsidRPr="002F0EE3">
        <w:t>El ensayo se lleva a cabo usando una plataforma compuesta por un bastidor de soporte con una tapa sobre la que se coloca la muestra de ensayo.</w:t>
      </w:r>
    </w:p>
    <w:p w14:paraId="430A6A03" w14:textId="77777777" w:rsidR="00231586" w:rsidRPr="002F0EE3" w:rsidRDefault="0082729B" w:rsidP="007407D4">
      <w:r w:rsidRPr="002F0EE3">
        <w:t>Sobre un bastidor de movimiento libre se monta una rueda fija con un neumático específico ASTM E1884 [Ref. 4.I] de banda de rodadura suave, e inflado a una presión de 40 psi. El neumático se coloca sobre la muestra de ensayo y se aplica una carga de 70 kg a la rueda. A continuación, el neumático se arrastra a través de la superficie de la muestra con ayuda de una manivela. La conexión entre el mango y la rueda contiene una célula de carga que mide la fuerza máxima (en kN), que se muestra en un medidor de fuerza.</w:t>
      </w:r>
    </w:p>
    <w:p w14:paraId="0191DED1" w14:textId="77777777" w:rsidR="00231586" w:rsidRPr="002F0EE3" w:rsidRDefault="0082729B" w:rsidP="007407D4">
      <w:r w:rsidRPr="002F0EE3">
        <w:t>La muestra de ensayo se humedece completamente antes de realizar cada ensayo.</w:t>
      </w:r>
    </w:p>
    <w:p w14:paraId="541DB6B7" w14:textId="77777777" w:rsidR="00231586" w:rsidRPr="002F0EE3" w:rsidRDefault="0082729B" w:rsidP="007407D4">
      <w:pPr>
        <w:rPr>
          <w:b/>
          <w:bCs/>
        </w:rPr>
      </w:pPr>
      <w:r w:rsidRPr="002F0EE3">
        <w:rPr>
          <w:b/>
        </w:rPr>
        <w:t>A2 Verificación</w:t>
      </w:r>
    </w:p>
    <w:p w14:paraId="12F76C91" w14:textId="77777777" w:rsidR="00231586" w:rsidRPr="002F0EE3" w:rsidRDefault="0082729B" w:rsidP="007407D4">
      <w:r w:rsidRPr="002F0EE3">
        <w:t>Se sometió a ensayos de resistencia al deslizamiento a una gama de materiales y tapas de depósitos utilizando tanto el ensayo de péndulo como el ensayo de rueda fija.</w:t>
      </w:r>
    </w:p>
    <w:p w14:paraId="390CACB3" w14:textId="77777777" w:rsidR="00231586" w:rsidRPr="002F0EE3" w:rsidRDefault="0082729B" w:rsidP="007407D4">
      <w:r w:rsidRPr="002F0EE3">
        <w:t>Los valores obtenidos con cada método se compararon para obtener una fórmula que permitiera realizar una comparación directa.</w:t>
      </w:r>
    </w:p>
    <w:p w14:paraId="364A2772" w14:textId="77777777" w:rsidR="00231586" w:rsidRPr="002F0EE3" w:rsidRDefault="0082729B" w:rsidP="007407D4">
      <w:r w:rsidRPr="002F0EE3">
        <w:t>La fórmula comparativa es la siguiente:</w:t>
      </w:r>
    </w:p>
    <w:p w14:paraId="55D800C7" w14:textId="77777777" w:rsidR="00BD0419" w:rsidRPr="002F0EE3" w:rsidRDefault="0082729B" w:rsidP="007407D4">
      <w:pPr>
        <w:rPr>
          <w:i/>
          <w:iCs/>
        </w:rPr>
      </w:pPr>
      <w:r w:rsidRPr="002F0EE3">
        <w:rPr>
          <w:i/>
        </w:rPr>
        <w:t xml:space="preserve">y </w:t>
      </w:r>
      <w:r w:rsidRPr="002F0EE3">
        <w:t>= 2 + 70</w:t>
      </w:r>
      <w:r w:rsidRPr="002F0EE3">
        <w:rPr>
          <w:i/>
        </w:rPr>
        <w:t>x</w:t>
      </w:r>
    </w:p>
    <w:p w14:paraId="5AA2AD41" w14:textId="5F845C62" w:rsidR="00231586" w:rsidRPr="002F0EE3" w:rsidRDefault="0082729B" w:rsidP="007407D4">
      <w:r w:rsidRPr="002F0EE3">
        <w:t>donde «x» es la fuerza máxima de la rueda de deslizamiento (en kN) e «y» es el valor de resistencia al deslizamiento en superficies pulidas medido mediante el ensayo de péndulo.</w:t>
      </w:r>
    </w:p>
    <w:p w14:paraId="2DDD8416" w14:textId="62AB4509" w:rsidR="00231586" w:rsidRPr="002F0EE3" w:rsidRDefault="0082729B" w:rsidP="00CA30E5">
      <w:pPr>
        <w:pageBreakBefore/>
        <w:rPr>
          <w:b/>
          <w:bCs/>
        </w:rPr>
      </w:pPr>
      <w:r w:rsidRPr="002F0EE3">
        <w:rPr>
          <w:b/>
        </w:rPr>
        <w:t>Anexo B. Árbol de decisiones</w:t>
      </w:r>
    </w:p>
    <w:p w14:paraId="262101EE" w14:textId="77777777" w:rsidR="00231586" w:rsidRPr="002F0EE3" w:rsidRDefault="0082729B" w:rsidP="000A6E91">
      <w:pPr>
        <w:keepNext/>
        <w:keepLines/>
        <w:jc w:val="center"/>
        <w:rPr>
          <w:b/>
          <w:bCs/>
        </w:rPr>
      </w:pPr>
      <w:r w:rsidRPr="002F0EE3">
        <w:rPr>
          <w:b/>
        </w:rPr>
        <w:t>Figura B.1 Árbol de decisiones</w:t>
      </w:r>
    </w:p>
    <w:p w14:paraId="2F983D27" w14:textId="73516F58" w:rsidR="00E347FC" w:rsidRPr="002F0EE3" w:rsidRDefault="00E347FC" w:rsidP="00E347FC">
      <w:pPr>
        <w:jc w:val="center"/>
      </w:pPr>
      <w:r w:rsidRPr="002F0EE3">
        <w:rPr>
          <w:noProof/>
          <w:lang w:val="en-US" w:eastAsia="zh-CN"/>
        </w:rPr>
        <w:drawing>
          <wp:inline distT="0" distB="0" distL="0" distR="0" wp14:anchorId="162974AD" wp14:editId="469277D2">
            <wp:extent cx="5731510" cy="82016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8201660"/>
                    </a:xfrm>
                    <a:prstGeom prst="rect">
                      <a:avLst/>
                    </a:prstGeom>
                  </pic:spPr>
                </pic:pic>
              </a:graphicData>
            </a:graphic>
          </wp:inline>
        </w:drawing>
      </w:r>
    </w:p>
    <w:tbl>
      <w:tblPr>
        <w:tblStyle w:val="TableGrid"/>
        <w:tblW w:w="5000" w:type="pct"/>
        <w:tblLayout w:type="fixed"/>
        <w:tblCellMar>
          <w:left w:w="43" w:type="dxa"/>
          <w:right w:w="43" w:type="dxa"/>
        </w:tblCellMar>
        <w:tblLook w:val="04A0" w:firstRow="1" w:lastRow="0" w:firstColumn="1" w:lastColumn="0" w:noHBand="0" w:noVBand="1"/>
      </w:tblPr>
      <w:tblGrid>
        <w:gridCol w:w="4508"/>
        <w:gridCol w:w="4508"/>
      </w:tblGrid>
      <w:tr w:rsidR="000A6E91" w:rsidRPr="002F0EE3" w14:paraId="44187F9C" w14:textId="77777777" w:rsidTr="000A6E91">
        <w:tc>
          <w:tcPr>
            <w:tcW w:w="2500" w:type="pct"/>
          </w:tcPr>
          <w:p w14:paraId="45A5082A" w14:textId="77777777" w:rsidR="000A6E91" w:rsidRPr="002F0EE3" w:rsidRDefault="000A6E91" w:rsidP="000A6E91">
            <w:pPr>
              <w:spacing w:before="20" w:after="20"/>
            </w:pPr>
            <w:r w:rsidRPr="002F0EE3">
              <w:t>Start (see Note a)</w:t>
            </w:r>
          </w:p>
        </w:tc>
        <w:tc>
          <w:tcPr>
            <w:tcW w:w="2500" w:type="pct"/>
          </w:tcPr>
          <w:p w14:paraId="6737006F" w14:textId="77777777" w:rsidR="000A6E91" w:rsidRPr="002F0EE3" w:rsidRDefault="000A6E91" w:rsidP="000A6E91">
            <w:pPr>
              <w:spacing w:before="20" w:after="20"/>
            </w:pPr>
            <w:r w:rsidRPr="002F0EE3">
              <w:t>Inicio (ver Nota a)</w:t>
            </w:r>
          </w:p>
        </w:tc>
      </w:tr>
      <w:tr w:rsidR="000A6E91" w:rsidRPr="002F0EE3" w14:paraId="31FCE1D3" w14:textId="77777777" w:rsidTr="000A6E91">
        <w:tc>
          <w:tcPr>
            <w:tcW w:w="2500" w:type="pct"/>
          </w:tcPr>
          <w:p w14:paraId="7AE462FA" w14:textId="77777777" w:rsidR="000A6E91" w:rsidRPr="002F0EE3" w:rsidRDefault="000A6E91" w:rsidP="000A6E91">
            <w:pPr>
              <w:spacing w:before="20" w:after="20"/>
            </w:pPr>
            <w:r w:rsidRPr="002F0EE3">
              <w:t>Will the existing chamber be located in carriageway pavement?</w:t>
            </w:r>
          </w:p>
        </w:tc>
        <w:tc>
          <w:tcPr>
            <w:tcW w:w="2500" w:type="pct"/>
          </w:tcPr>
          <w:p w14:paraId="26B612D3" w14:textId="1D43346D" w:rsidR="000A6E91" w:rsidRPr="002F0EE3" w:rsidRDefault="000A6E91" w:rsidP="000A6E91">
            <w:pPr>
              <w:spacing w:before="20" w:after="20"/>
            </w:pPr>
            <w:r w:rsidRPr="002F0EE3">
              <w:t>¿Estará el depósito existente situado en el pavimento de la calzada?</w:t>
            </w:r>
          </w:p>
        </w:tc>
      </w:tr>
      <w:tr w:rsidR="000A6E91" w:rsidRPr="002F0EE3" w14:paraId="51F21FA7" w14:textId="77777777" w:rsidTr="000A6E91">
        <w:tc>
          <w:tcPr>
            <w:tcW w:w="2500" w:type="pct"/>
          </w:tcPr>
          <w:p w14:paraId="4D7025D5" w14:textId="77777777" w:rsidR="000A6E91" w:rsidRPr="002F0EE3" w:rsidRDefault="000A6E91" w:rsidP="000A6E91">
            <w:pPr>
              <w:spacing w:before="20" w:after="20"/>
            </w:pPr>
            <w:r w:rsidRPr="002F0EE3">
              <w:t>Is it a simple chamber (see Note b)?</w:t>
            </w:r>
          </w:p>
        </w:tc>
        <w:tc>
          <w:tcPr>
            <w:tcW w:w="2500" w:type="pct"/>
          </w:tcPr>
          <w:p w14:paraId="62682F79" w14:textId="363F0ABF" w:rsidR="000A6E91" w:rsidRPr="002F0EE3" w:rsidRDefault="000A6E91" w:rsidP="000A6E91">
            <w:pPr>
              <w:spacing w:before="20" w:after="20"/>
            </w:pPr>
            <w:r w:rsidRPr="002F0EE3">
              <w:t>¿Es un depósito simple (ver Nota b)?</w:t>
            </w:r>
          </w:p>
        </w:tc>
      </w:tr>
      <w:tr w:rsidR="000A6E91" w:rsidRPr="002F0EE3" w14:paraId="33AD6335" w14:textId="77777777" w:rsidTr="000A6E91">
        <w:tc>
          <w:tcPr>
            <w:tcW w:w="2500" w:type="pct"/>
          </w:tcPr>
          <w:p w14:paraId="50B53CAF" w14:textId="77777777" w:rsidR="000A6E91" w:rsidRPr="002F0EE3" w:rsidRDefault="000A6E91" w:rsidP="000A6E91">
            <w:pPr>
              <w:spacing w:before="20" w:after="20"/>
            </w:pPr>
            <w:r w:rsidRPr="002F0EE3">
              <w:t>Can chamber be relocated in verge?</w:t>
            </w:r>
          </w:p>
        </w:tc>
        <w:tc>
          <w:tcPr>
            <w:tcW w:w="2500" w:type="pct"/>
          </w:tcPr>
          <w:p w14:paraId="53E5D872" w14:textId="2B8C105D" w:rsidR="000A6E91" w:rsidRPr="002F0EE3" w:rsidRDefault="000A6E91" w:rsidP="000A6E91">
            <w:pPr>
              <w:spacing w:before="20" w:after="20"/>
            </w:pPr>
            <w:r w:rsidRPr="002F0EE3">
              <w:t>¿Se puede reubicar el depósito en un arcén?</w:t>
            </w:r>
          </w:p>
        </w:tc>
      </w:tr>
      <w:tr w:rsidR="000A6E91" w:rsidRPr="002F0EE3" w14:paraId="45B51CEC" w14:textId="77777777" w:rsidTr="000A6E91">
        <w:tc>
          <w:tcPr>
            <w:tcW w:w="2500" w:type="pct"/>
          </w:tcPr>
          <w:p w14:paraId="1DC3C145" w14:textId="77777777" w:rsidR="000A6E91" w:rsidRPr="002F0EE3" w:rsidRDefault="000A6E91" w:rsidP="000A6E91">
            <w:pPr>
              <w:spacing w:before="20" w:after="20"/>
            </w:pPr>
            <w:r w:rsidRPr="002F0EE3">
              <w:t>Can a side chamber be provided in verge to give maintenance access?</w:t>
            </w:r>
          </w:p>
        </w:tc>
        <w:tc>
          <w:tcPr>
            <w:tcW w:w="2500" w:type="pct"/>
          </w:tcPr>
          <w:p w14:paraId="79DA45CF" w14:textId="375C847F" w:rsidR="000A6E91" w:rsidRPr="002F0EE3" w:rsidRDefault="000A6E91" w:rsidP="000A6E91">
            <w:pPr>
              <w:spacing w:before="20" w:after="20"/>
            </w:pPr>
            <w:r w:rsidRPr="002F0EE3">
              <w:t>¿Se puede colocar un depósito lateral en un arcén para facilitar el acceso de mantenimiento?</w:t>
            </w:r>
          </w:p>
        </w:tc>
      </w:tr>
      <w:tr w:rsidR="000A6E91" w:rsidRPr="002F0EE3" w14:paraId="72983908" w14:textId="77777777" w:rsidTr="000A6E91">
        <w:tc>
          <w:tcPr>
            <w:tcW w:w="2500" w:type="pct"/>
          </w:tcPr>
          <w:p w14:paraId="5672D600" w14:textId="0E888F13" w:rsidR="00E44BC0" w:rsidRPr="002F0EE3" w:rsidRDefault="000A6E91" w:rsidP="000A6E91">
            <w:pPr>
              <w:spacing w:before="20" w:after="20"/>
            </w:pPr>
            <w:r w:rsidRPr="002F0EE3">
              <w:t>Is maintenance access essential?</w:t>
            </w:r>
          </w:p>
          <w:p w14:paraId="502353FD" w14:textId="350330C5" w:rsidR="000A6E91" w:rsidRPr="002F0EE3" w:rsidRDefault="000A6E91" w:rsidP="000A6E91">
            <w:pPr>
              <w:spacing w:before="20" w:after="20"/>
            </w:pPr>
            <w:r w:rsidRPr="002F0EE3">
              <w:t>Consider connections, pipe diameters, pipe direction and consult OO</w:t>
            </w:r>
          </w:p>
        </w:tc>
        <w:tc>
          <w:tcPr>
            <w:tcW w:w="2500" w:type="pct"/>
          </w:tcPr>
          <w:p w14:paraId="32804D02" w14:textId="77777777" w:rsidR="00E44BC0" w:rsidRPr="002F0EE3" w:rsidRDefault="000A6E91" w:rsidP="000A6E91">
            <w:pPr>
              <w:spacing w:before="20" w:after="20"/>
            </w:pPr>
            <w:r w:rsidRPr="002F0EE3">
              <w:t>¿Es esencial dicho acceso para mantenimiento?</w:t>
            </w:r>
          </w:p>
          <w:p w14:paraId="7659EAF9" w14:textId="3BC292A3" w:rsidR="000A6E91" w:rsidRPr="002F0EE3" w:rsidRDefault="000A6E91" w:rsidP="000A6E91">
            <w:pPr>
              <w:spacing w:before="20" w:after="20"/>
            </w:pPr>
            <w:r w:rsidRPr="002F0EE3">
              <w:t>Tenga en cuenta las conexiones, los diámetros de las tuberías, la dirección de las tuberías y consulte a la OO</w:t>
            </w:r>
          </w:p>
        </w:tc>
      </w:tr>
      <w:tr w:rsidR="000A6E91" w:rsidRPr="002F0EE3" w14:paraId="275C0551" w14:textId="77777777" w:rsidTr="000A6E91">
        <w:tc>
          <w:tcPr>
            <w:tcW w:w="2500" w:type="pct"/>
          </w:tcPr>
          <w:p w14:paraId="54D0DB5F" w14:textId="7F171EBD" w:rsidR="000A6E91" w:rsidRPr="002F0EE3" w:rsidRDefault="000A6E91" w:rsidP="000A6E91">
            <w:pPr>
              <w:spacing w:before="20" w:after="20"/>
            </w:pPr>
            <w:r w:rsidRPr="002F0EE3">
              <w:t>Can chamber slab and access be rotated to move access cover from running lane and into hard strip?</w:t>
            </w:r>
          </w:p>
        </w:tc>
        <w:tc>
          <w:tcPr>
            <w:tcW w:w="2500" w:type="pct"/>
          </w:tcPr>
          <w:p w14:paraId="6B7CA1E7" w14:textId="6FC3A654" w:rsidR="000A6E91" w:rsidRPr="002F0EE3" w:rsidRDefault="000A6E91" w:rsidP="000A6E91">
            <w:pPr>
              <w:spacing w:before="20" w:after="20"/>
            </w:pPr>
            <w:r w:rsidRPr="002F0EE3">
              <w:t>¿Se puede girar la losa de acceso al depósito para cambiar la cubierta de acceso de un carril de circulación al arcén?</w:t>
            </w:r>
          </w:p>
        </w:tc>
      </w:tr>
      <w:tr w:rsidR="000A6E91" w:rsidRPr="002F0EE3" w14:paraId="1EF7D034" w14:textId="77777777" w:rsidTr="000A6E91">
        <w:tc>
          <w:tcPr>
            <w:tcW w:w="2500" w:type="pct"/>
          </w:tcPr>
          <w:p w14:paraId="1044CB92" w14:textId="60153C5A" w:rsidR="000A6E91" w:rsidRPr="002F0EE3" w:rsidRDefault="000A6E91" w:rsidP="000A6E91">
            <w:pPr>
              <w:spacing w:before="20" w:after="20"/>
            </w:pPr>
            <w:r w:rsidRPr="002F0EE3">
              <w:t>Can chamber slab and access be rotated to move access cover to centre of the running lane? (see Note e)</w:t>
            </w:r>
          </w:p>
        </w:tc>
        <w:tc>
          <w:tcPr>
            <w:tcW w:w="2500" w:type="pct"/>
          </w:tcPr>
          <w:p w14:paraId="3A425D08" w14:textId="2D1D5B88" w:rsidR="000A6E91" w:rsidRPr="002F0EE3" w:rsidRDefault="000A6E91" w:rsidP="000A6E91">
            <w:pPr>
              <w:spacing w:before="20" w:after="20"/>
            </w:pPr>
            <w:r w:rsidRPr="002F0EE3">
              <w:t>¿Se puede girar la losa de acceso al depósito para cambiar la cubierta de acceso al centro del carril de circulación? (Ver Nota e)</w:t>
            </w:r>
          </w:p>
        </w:tc>
      </w:tr>
      <w:tr w:rsidR="000A6E91" w:rsidRPr="002F0EE3" w14:paraId="3C5F7154" w14:textId="77777777" w:rsidTr="000A6E91">
        <w:tc>
          <w:tcPr>
            <w:tcW w:w="2500" w:type="pct"/>
          </w:tcPr>
          <w:p w14:paraId="55B7D6FE" w14:textId="08BFBA40" w:rsidR="00E44BC0" w:rsidRPr="002F0EE3" w:rsidRDefault="000A6E91" w:rsidP="000A6E91">
            <w:pPr>
              <w:spacing w:before="20" w:after="20"/>
            </w:pPr>
            <w:r w:rsidRPr="002F0EE3">
              <w:t>In conjunction with OO reconsider decisions and economics to determine (see Note d) alternative solutions.</w:t>
            </w:r>
          </w:p>
          <w:p w14:paraId="23FB1BA1" w14:textId="79CD580D" w:rsidR="000A6E91" w:rsidRPr="002F0EE3" w:rsidRDefault="000A6E91" w:rsidP="000A6E91">
            <w:pPr>
              <w:spacing w:before="20" w:after="20"/>
            </w:pPr>
            <w:r w:rsidRPr="002F0EE3">
              <w:t>Note access covers in the wheel track zone are not permitted</w:t>
            </w:r>
          </w:p>
        </w:tc>
        <w:tc>
          <w:tcPr>
            <w:tcW w:w="2500" w:type="pct"/>
          </w:tcPr>
          <w:p w14:paraId="2D681A7A" w14:textId="77777777" w:rsidR="00E44BC0" w:rsidRPr="002F0EE3" w:rsidRDefault="000A6E91" w:rsidP="000A6E91">
            <w:pPr>
              <w:spacing w:before="20" w:after="20"/>
            </w:pPr>
            <w:r w:rsidRPr="002F0EE3">
              <w:t>Tenga en cuenta, junto con la OO, las decisiones y los aspectos económicos para determinar (ver Nota d) soluciones alternativas.</w:t>
            </w:r>
          </w:p>
          <w:p w14:paraId="735FC6ED" w14:textId="27E593E9" w:rsidR="000A6E91" w:rsidRPr="002F0EE3" w:rsidRDefault="000A6E91" w:rsidP="000A6E91">
            <w:pPr>
              <w:spacing w:before="20" w:after="20"/>
            </w:pPr>
            <w:r w:rsidRPr="002F0EE3">
              <w:t>Tenga en cuenta que no se permiten cubiertas de acceso en el ancho de vía</w:t>
            </w:r>
          </w:p>
        </w:tc>
      </w:tr>
      <w:tr w:rsidR="000A6E91" w:rsidRPr="002F0EE3" w14:paraId="187A6041" w14:textId="77777777" w:rsidTr="000A6E91">
        <w:tc>
          <w:tcPr>
            <w:tcW w:w="2500" w:type="pct"/>
          </w:tcPr>
          <w:p w14:paraId="348B677A" w14:textId="0DCC8314" w:rsidR="000A6E91" w:rsidRPr="002F0EE3" w:rsidRDefault="000A6E91" w:rsidP="000A6E91">
            <w:pPr>
              <w:spacing w:before="20" w:after="20"/>
            </w:pPr>
            <w:r w:rsidRPr="002F0EE3">
              <w:t>Remove chamber and pipe through</w:t>
            </w:r>
          </w:p>
        </w:tc>
        <w:tc>
          <w:tcPr>
            <w:tcW w:w="2500" w:type="pct"/>
          </w:tcPr>
          <w:p w14:paraId="630D837E" w14:textId="574B4446" w:rsidR="000A6E91" w:rsidRPr="002F0EE3" w:rsidRDefault="000A6E91" w:rsidP="000A6E91">
            <w:pPr>
              <w:spacing w:before="20" w:after="20"/>
            </w:pPr>
            <w:r w:rsidRPr="002F0EE3">
              <w:t>Quitar el depósito y canalizar</w:t>
            </w:r>
          </w:p>
        </w:tc>
      </w:tr>
      <w:tr w:rsidR="000A6E91" w:rsidRPr="002F0EE3" w14:paraId="2CC38592" w14:textId="77777777" w:rsidTr="000A6E91">
        <w:tc>
          <w:tcPr>
            <w:tcW w:w="2500" w:type="pct"/>
          </w:tcPr>
          <w:p w14:paraId="29CB4B2C" w14:textId="77777777" w:rsidR="000A6E91" w:rsidRPr="002F0EE3" w:rsidRDefault="000A6E91" w:rsidP="000A6E91">
            <w:pPr>
              <w:spacing w:before="20" w:after="20"/>
            </w:pPr>
            <w:r w:rsidRPr="002F0EE3">
              <w:t>Design diversion</w:t>
            </w:r>
          </w:p>
        </w:tc>
        <w:tc>
          <w:tcPr>
            <w:tcW w:w="2500" w:type="pct"/>
          </w:tcPr>
          <w:p w14:paraId="770F9B3E" w14:textId="7D871767" w:rsidR="000A6E91" w:rsidRPr="002F0EE3" w:rsidRDefault="000A6E91" w:rsidP="000A6E91">
            <w:pPr>
              <w:spacing w:before="20" w:after="20"/>
            </w:pPr>
            <w:r w:rsidRPr="002F0EE3">
              <w:t>Desviación del diseño</w:t>
            </w:r>
          </w:p>
        </w:tc>
      </w:tr>
      <w:tr w:rsidR="000A6E91" w:rsidRPr="002F0EE3" w14:paraId="57C31978" w14:textId="77777777" w:rsidTr="000A6E91">
        <w:tc>
          <w:tcPr>
            <w:tcW w:w="2500" w:type="pct"/>
          </w:tcPr>
          <w:p w14:paraId="63E8092E" w14:textId="27777132" w:rsidR="000A6E91" w:rsidRPr="002F0EE3" w:rsidRDefault="000A6E91" w:rsidP="00640F09">
            <w:pPr>
              <w:spacing w:before="20" w:after="20"/>
            </w:pPr>
            <w:r w:rsidRPr="002F0EE3">
              <w:t>Design side chamber. Plate over existing. Add benching in catchpit to assist CCTV and jetting</w:t>
            </w:r>
          </w:p>
        </w:tc>
        <w:tc>
          <w:tcPr>
            <w:tcW w:w="2500" w:type="pct"/>
          </w:tcPr>
          <w:p w14:paraId="57B50D11" w14:textId="1C4D974A" w:rsidR="000A6E91" w:rsidRPr="002F0EE3" w:rsidRDefault="000A6E91" w:rsidP="00640F09">
            <w:pPr>
              <w:spacing w:before="20" w:after="20"/>
            </w:pPr>
            <w:r w:rsidRPr="002F0EE3">
              <w:t>Diseñar depósito lateral. Chapar el depósito existente. Realizar acondicionamiento de banquetas en el colector de fango para permitir la entrada de cámaras de seguridad y la perforación hidráulica</w:t>
            </w:r>
          </w:p>
        </w:tc>
      </w:tr>
      <w:tr w:rsidR="000A6E91" w:rsidRPr="002F0EE3" w14:paraId="4974C7C0" w14:textId="77777777" w:rsidTr="000A6E91">
        <w:tc>
          <w:tcPr>
            <w:tcW w:w="2500" w:type="pct"/>
          </w:tcPr>
          <w:p w14:paraId="72B4F7B1" w14:textId="77777777" w:rsidR="000A6E91" w:rsidRPr="002F0EE3" w:rsidRDefault="000A6E91" w:rsidP="000A6E91">
            <w:pPr>
              <w:spacing w:before="20" w:after="20"/>
            </w:pPr>
            <w:r w:rsidRPr="002F0EE3">
              <w:t>Pipe through and remove (non-simple) chamber and apply for Departure from Standard (DfS)/or</w:t>
            </w:r>
          </w:p>
        </w:tc>
        <w:tc>
          <w:tcPr>
            <w:tcW w:w="2500" w:type="pct"/>
          </w:tcPr>
          <w:p w14:paraId="238F3F1C" w14:textId="22385957" w:rsidR="000A6E91" w:rsidRPr="002F0EE3" w:rsidRDefault="000A6E91" w:rsidP="000A6E91">
            <w:pPr>
              <w:spacing w:before="20" w:after="20"/>
            </w:pPr>
            <w:r w:rsidRPr="002F0EE3">
              <w:t>Canalizar y quitar el depósito (no simple) y solicitar desviación de la norma (DfS)/o</w:t>
            </w:r>
          </w:p>
        </w:tc>
      </w:tr>
      <w:tr w:rsidR="000A6E91" w:rsidRPr="002F0EE3" w14:paraId="0375146A" w14:textId="77777777" w:rsidTr="000A6E91">
        <w:tc>
          <w:tcPr>
            <w:tcW w:w="2500" w:type="pct"/>
          </w:tcPr>
          <w:p w14:paraId="201FDB88" w14:textId="77777777" w:rsidR="000A6E91" w:rsidRPr="002F0EE3" w:rsidRDefault="000A6E91" w:rsidP="000A6E91">
            <w:pPr>
              <w:spacing w:before="20" w:after="20"/>
            </w:pPr>
            <w:r w:rsidRPr="002F0EE3">
              <w:t>Design access in rotated location and apply for DfS/or</w:t>
            </w:r>
          </w:p>
        </w:tc>
        <w:tc>
          <w:tcPr>
            <w:tcW w:w="2500" w:type="pct"/>
          </w:tcPr>
          <w:p w14:paraId="0135AE87" w14:textId="66C81CCB" w:rsidR="000A6E91" w:rsidRPr="002F0EE3" w:rsidRDefault="000A6E91" w:rsidP="000A6E91">
            <w:pPr>
              <w:spacing w:before="20" w:after="20"/>
            </w:pPr>
            <w:r w:rsidRPr="002F0EE3">
              <w:t>Diseñar acceso en posición girada y solicitar DfS/o</w:t>
            </w:r>
          </w:p>
        </w:tc>
      </w:tr>
      <w:tr w:rsidR="000A6E91" w:rsidRPr="002F0EE3" w14:paraId="7E3F8CC8" w14:textId="77777777" w:rsidTr="000A6E91">
        <w:tc>
          <w:tcPr>
            <w:tcW w:w="2500" w:type="pct"/>
          </w:tcPr>
          <w:p w14:paraId="3D9CCFCC" w14:textId="77777777" w:rsidR="000A6E91" w:rsidRPr="002F0EE3" w:rsidRDefault="000A6E91" w:rsidP="000A6E91">
            <w:pPr>
              <w:spacing w:before="20" w:after="20"/>
            </w:pPr>
            <w:r w:rsidRPr="002F0EE3">
              <w:t>Design access in rotates location and apply for DfS</w:t>
            </w:r>
          </w:p>
        </w:tc>
        <w:tc>
          <w:tcPr>
            <w:tcW w:w="2500" w:type="pct"/>
          </w:tcPr>
          <w:p w14:paraId="43DC874E" w14:textId="26058ECF" w:rsidR="000A6E91" w:rsidRPr="002F0EE3" w:rsidRDefault="000A6E91" w:rsidP="000A6E91">
            <w:pPr>
              <w:spacing w:before="20" w:after="20"/>
            </w:pPr>
            <w:r w:rsidRPr="002F0EE3">
              <w:t>Diseñar acceso en posición girada y solicitar DfS</w:t>
            </w:r>
          </w:p>
        </w:tc>
      </w:tr>
      <w:tr w:rsidR="000A6E91" w:rsidRPr="002F0EE3" w14:paraId="18AFF683" w14:textId="77777777" w:rsidTr="000A6E91">
        <w:tc>
          <w:tcPr>
            <w:tcW w:w="2500" w:type="pct"/>
          </w:tcPr>
          <w:p w14:paraId="6708BF80" w14:textId="77777777" w:rsidR="000A6E91" w:rsidRPr="002F0EE3" w:rsidRDefault="000A6E91" w:rsidP="000A6E91">
            <w:pPr>
              <w:spacing w:before="20" w:after="20"/>
            </w:pPr>
            <w:r w:rsidRPr="002F0EE3">
              <w:t>Is DfS approved?</w:t>
            </w:r>
          </w:p>
        </w:tc>
        <w:tc>
          <w:tcPr>
            <w:tcW w:w="2500" w:type="pct"/>
          </w:tcPr>
          <w:p w14:paraId="55A7929A" w14:textId="3E4466BA" w:rsidR="000A6E91" w:rsidRPr="002F0EE3" w:rsidRDefault="000A6E91" w:rsidP="000A6E91">
            <w:pPr>
              <w:spacing w:before="20" w:after="20"/>
            </w:pPr>
            <w:r w:rsidRPr="002F0EE3">
              <w:t>¿Se aprueba la DfS?</w:t>
            </w:r>
          </w:p>
        </w:tc>
      </w:tr>
      <w:tr w:rsidR="000A6E91" w:rsidRPr="002F0EE3" w14:paraId="39CBC714" w14:textId="77777777" w:rsidTr="000A6E91">
        <w:tc>
          <w:tcPr>
            <w:tcW w:w="2500" w:type="pct"/>
          </w:tcPr>
          <w:p w14:paraId="3190CDE4" w14:textId="77777777" w:rsidR="000A6E91" w:rsidRPr="002F0EE3" w:rsidRDefault="000A6E91" w:rsidP="000A6E91">
            <w:pPr>
              <w:spacing w:before="20" w:after="20"/>
            </w:pPr>
            <w:r w:rsidRPr="002F0EE3">
              <w:t>Continue design of drainage to DMRB</w:t>
            </w:r>
          </w:p>
        </w:tc>
        <w:tc>
          <w:tcPr>
            <w:tcW w:w="2500" w:type="pct"/>
          </w:tcPr>
          <w:p w14:paraId="1B37768D" w14:textId="6125CB01" w:rsidR="000A6E91" w:rsidRPr="002F0EE3" w:rsidRDefault="000A6E91" w:rsidP="000A6E91">
            <w:pPr>
              <w:spacing w:before="20" w:after="20"/>
            </w:pPr>
            <w:r w:rsidRPr="002F0EE3">
              <w:t>Continuar el diseño del drenaje de acuerdo con el Manual de diseño para carreteras y puentes</w:t>
            </w:r>
          </w:p>
        </w:tc>
      </w:tr>
      <w:tr w:rsidR="000A6E91" w:rsidRPr="002F0EE3" w14:paraId="4961C840" w14:textId="77777777" w:rsidTr="000A6E91">
        <w:tc>
          <w:tcPr>
            <w:tcW w:w="2500" w:type="pct"/>
          </w:tcPr>
          <w:p w14:paraId="59A12B85" w14:textId="77777777" w:rsidR="000A6E91" w:rsidRPr="002F0EE3" w:rsidRDefault="000A6E91" w:rsidP="000A6E91">
            <w:pPr>
              <w:spacing w:before="20" w:after="20"/>
            </w:pPr>
            <w:r w:rsidRPr="002F0EE3">
              <w:t>End process</w:t>
            </w:r>
          </w:p>
        </w:tc>
        <w:tc>
          <w:tcPr>
            <w:tcW w:w="2500" w:type="pct"/>
          </w:tcPr>
          <w:p w14:paraId="170F84AE" w14:textId="01E9D29D" w:rsidR="000A6E91" w:rsidRPr="002F0EE3" w:rsidRDefault="000A6E91" w:rsidP="000A6E91">
            <w:pPr>
              <w:spacing w:before="20" w:after="20"/>
            </w:pPr>
            <w:r w:rsidRPr="002F0EE3">
              <w:t>Finalizar proceso</w:t>
            </w:r>
          </w:p>
        </w:tc>
      </w:tr>
      <w:tr w:rsidR="000A6E91" w:rsidRPr="002F0EE3" w14:paraId="12F415BE" w14:textId="77777777" w:rsidTr="000A6E91">
        <w:tc>
          <w:tcPr>
            <w:tcW w:w="2500" w:type="pct"/>
          </w:tcPr>
          <w:p w14:paraId="474C0C34" w14:textId="77777777" w:rsidR="000A6E91" w:rsidRPr="002F0EE3" w:rsidRDefault="000A6E91" w:rsidP="000A6E91">
            <w:pPr>
              <w:spacing w:before="20" w:after="20"/>
            </w:pPr>
            <w:r w:rsidRPr="002F0EE3">
              <w:t>Apply for DfS</w:t>
            </w:r>
          </w:p>
        </w:tc>
        <w:tc>
          <w:tcPr>
            <w:tcW w:w="2500" w:type="pct"/>
          </w:tcPr>
          <w:p w14:paraId="4B7CEF45" w14:textId="02417E12" w:rsidR="000A6E91" w:rsidRPr="002F0EE3" w:rsidRDefault="000A6E91" w:rsidP="000A6E91">
            <w:pPr>
              <w:spacing w:before="20" w:after="20"/>
            </w:pPr>
            <w:r w:rsidRPr="002F0EE3">
              <w:t>Solicitar DfS</w:t>
            </w:r>
          </w:p>
        </w:tc>
      </w:tr>
      <w:tr w:rsidR="000A6E91" w:rsidRPr="002F0EE3" w14:paraId="01291F65" w14:textId="77777777" w:rsidTr="000A6E91">
        <w:tc>
          <w:tcPr>
            <w:tcW w:w="2500" w:type="pct"/>
          </w:tcPr>
          <w:p w14:paraId="38F2CE2D" w14:textId="77777777" w:rsidR="000A6E91" w:rsidRPr="002F0EE3" w:rsidRDefault="000A6E91" w:rsidP="000A6E91">
            <w:pPr>
              <w:spacing w:before="20" w:after="20"/>
            </w:pPr>
            <w:r w:rsidRPr="002F0EE3">
              <w:t>Yes</w:t>
            </w:r>
          </w:p>
        </w:tc>
        <w:tc>
          <w:tcPr>
            <w:tcW w:w="2500" w:type="pct"/>
          </w:tcPr>
          <w:p w14:paraId="55DC5802" w14:textId="258E3263" w:rsidR="000A6E91" w:rsidRPr="002F0EE3" w:rsidRDefault="000A6E91" w:rsidP="000A6E91">
            <w:pPr>
              <w:spacing w:before="20" w:after="20"/>
            </w:pPr>
            <w:r w:rsidRPr="002F0EE3">
              <w:t>Sí</w:t>
            </w:r>
          </w:p>
        </w:tc>
      </w:tr>
      <w:tr w:rsidR="000A6E91" w:rsidRPr="002F0EE3" w14:paraId="1DA69A2B" w14:textId="77777777" w:rsidTr="000A6E91">
        <w:tc>
          <w:tcPr>
            <w:tcW w:w="2500" w:type="pct"/>
          </w:tcPr>
          <w:p w14:paraId="21A610ED" w14:textId="77777777" w:rsidR="000A6E91" w:rsidRPr="002F0EE3" w:rsidRDefault="000A6E91" w:rsidP="000A6E91">
            <w:pPr>
              <w:spacing w:before="20" w:after="20"/>
            </w:pPr>
            <w:r w:rsidRPr="002F0EE3">
              <w:t>No</w:t>
            </w:r>
          </w:p>
        </w:tc>
        <w:tc>
          <w:tcPr>
            <w:tcW w:w="2500" w:type="pct"/>
          </w:tcPr>
          <w:p w14:paraId="7AE42684" w14:textId="5B2FD321" w:rsidR="000A6E91" w:rsidRPr="002F0EE3" w:rsidRDefault="000A6E91" w:rsidP="000A6E91">
            <w:pPr>
              <w:spacing w:before="20" w:after="20"/>
            </w:pPr>
            <w:r w:rsidRPr="002F0EE3">
              <w:t>No</w:t>
            </w:r>
          </w:p>
        </w:tc>
      </w:tr>
      <w:tr w:rsidR="000A6E91" w:rsidRPr="002F0EE3" w14:paraId="4891CC11" w14:textId="77777777" w:rsidTr="000A6E91">
        <w:tc>
          <w:tcPr>
            <w:tcW w:w="2500" w:type="pct"/>
          </w:tcPr>
          <w:p w14:paraId="1B751766" w14:textId="77777777" w:rsidR="000A6E91" w:rsidRPr="002F0EE3" w:rsidRDefault="000A6E91" w:rsidP="000A6E91">
            <w:pPr>
              <w:spacing w:before="20" w:after="20"/>
            </w:pPr>
            <w:r w:rsidRPr="002F0EE3">
              <w:t>Or</w:t>
            </w:r>
          </w:p>
        </w:tc>
        <w:tc>
          <w:tcPr>
            <w:tcW w:w="2500" w:type="pct"/>
          </w:tcPr>
          <w:p w14:paraId="760F6B3C" w14:textId="54C38303" w:rsidR="000A6E91" w:rsidRPr="002F0EE3" w:rsidRDefault="000A6E91" w:rsidP="000A6E91">
            <w:pPr>
              <w:spacing w:before="20" w:after="20"/>
            </w:pPr>
            <w:r w:rsidRPr="002F0EE3">
              <w:t>O</w:t>
            </w:r>
          </w:p>
        </w:tc>
      </w:tr>
    </w:tbl>
    <w:p w14:paraId="3B1122FE" w14:textId="77777777" w:rsidR="00BD0419" w:rsidRPr="002F0EE3" w:rsidRDefault="00BD0419" w:rsidP="007407D4"/>
    <w:p w14:paraId="1B783415" w14:textId="77777777" w:rsidR="00231586" w:rsidRPr="002F0EE3" w:rsidRDefault="0082729B" w:rsidP="00CA30E5">
      <w:pPr>
        <w:keepNext/>
        <w:keepLines/>
      </w:pPr>
      <w:r w:rsidRPr="002F0EE3">
        <w:t>Notas:</w:t>
      </w:r>
    </w:p>
    <w:p w14:paraId="6D72B9E1" w14:textId="77777777" w:rsidR="00BD0419" w:rsidRPr="002F0EE3" w:rsidRDefault="0082729B" w:rsidP="007407D4">
      <w:r w:rsidRPr="002F0EE3">
        <w:t xml:space="preserve">A = Solicitar desviación de la norma </w:t>
      </w:r>
    </w:p>
    <w:p w14:paraId="6551EC0A" w14:textId="77777777" w:rsidR="00231586" w:rsidRPr="002F0EE3" w:rsidRDefault="0082729B" w:rsidP="007407D4">
      <w:pPr>
        <w:pStyle w:val="ListParagraph"/>
        <w:numPr>
          <w:ilvl w:val="0"/>
          <w:numId w:val="8"/>
        </w:numPr>
      </w:pPr>
      <w:r w:rsidRPr="002F0EE3">
        <w:t>El proceso del árbol de decisiones se aplica a todas las cubiertas de acceso (completas o parciales) ubicadas en el pavimento de la calzada, incluidos los carriles de parada de emergencia y arcenes, según se definen en los términos y definiciones.</w:t>
      </w:r>
    </w:p>
    <w:p w14:paraId="12D92CDA" w14:textId="77777777" w:rsidR="00231586" w:rsidRPr="002F0EE3" w:rsidRDefault="0082729B" w:rsidP="00CA30E5">
      <w:pPr>
        <w:pStyle w:val="ListParagraph"/>
        <w:keepNext/>
        <w:keepLines/>
        <w:numPr>
          <w:ilvl w:val="0"/>
          <w:numId w:val="8"/>
        </w:numPr>
      </w:pPr>
      <w:r w:rsidRPr="002F0EE3">
        <w:t>Un «depósito simple» es aquel que cumple los siguientes requisitos:</w:t>
      </w:r>
    </w:p>
    <w:p w14:paraId="309A6C48" w14:textId="77777777" w:rsidR="00231586" w:rsidRPr="002F0EE3" w:rsidRDefault="0082729B" w:rsidP="007407D4">
      <w:pPr>
        <w:pStyle w:val="ListParagraph"/>
        <w:numPr>
          <w:ilvl w:val="1"/>
          <w:numId w:val="8"/>
        </w:numPr>
      </w:pPr>
      <w:r w:rsidRPr="002F0EE3">
        <w:t>no tiene conexiones laterales; es decir, solo tiene una tubería de entrada y otra de salida,</w:t>
      </w:r>
    </w:p>
    <w:p w14:paraId="2F38CBC4" w14:textId="77777777" w:rsidR="00231586" w:rsidRPr="002F0EE3" w:rsidRDefault="0082729B" w:rsidP="007407D4">
      <w:pPr>
        <w:pStyle w:val="ListParagraph"/>
        <w:numPr>
          <w:ilvl w:val="1"/>
          <w:numId w:val="8"/>
        </w:numPr>
      </w:pPr>
      <w:r w:rsidRPr="002F0EE3">
        <w:t>al quitar el depósito en cuestión, el espacio resultante entre los depósitos restantes adyacentes en la misma línea de drenaje no supera los 200 m,</w:t>
      </w:r>
    </w:p>
    <w:p w14:paraId="30EDEE3A" w14:textId="77777777" w:rsidR="00231586" w:rsidRPr="002F0EE3" w:rsidRDefault="0082729B" w:rsidP="007407D4">
      <w:pPr>
        <w:pStyle w:val="ListParagraph"/>
        <w:numPr>
          <w:ilvl w:val="1"/>
          <w:numId w:val="8"/>
        </w:numPr>
      </w:pPr>
      <w:r w:rsidRPr="002F0EE3">
        <w:t>la diferencia en el diámetro de la tubería entrante y saliente no supera los 150 mm, y</w:t>
      </w:r>
    </w:p>
    <w:p w14:paraId="32D9009C" w14:textId="77777777" w:rsidR="00231586" w:rsidRPr="002F0EE3" w:rsidRDefault="0082729B" w:rsidP="007407D4">
      <w:pPr>
        <w:pStyle w:val="ListParagraph"/>
        <w:numPr>
          <w:ilvl w:val="1"/>
          <w:numId w:val="8"/>
        </w:numPr>
      </w:pPr>
      <w:r w:rsidRPr="002F0EE3">
        <w:t>el cambio en la dirección de la tubería no supera los 22,5°.</w:t>
      </w:r>
    </w:p>
    <w:p w14:paraId="49F93CD5" w14:textId="77777777" w:rsidR="00231586" w:rsidRPr="002F0EE3" w:rsidRDefault="0082729B" w:rsidP="007407D4">
      <w:pPr>
        <w:pStyle w:val="ListParagraph"/>
        <w:numPr>
          <w:ilvl w:val="0"/>
          <w:numId w:val="8"/>
        </w:numPr>
      </w:pPr>
      <w:r w:rsidRPr="002F0EE3">
        <w:t>En las medianas se incluye la superficie completa de los puntos de cruces de emergencia incluso cuando existe una estructura de pavimento reducida; pero no se incluyen otras áreas de medianas cementadas que no tienen la construcción de pavimento de profundidad total de la calzada adyacente.</w:t>
      </w:r>
    </w:p>
    <w:p w14:paraId="799FA140" w14:textId="77777777" w:rsidR="00231586" w:rsidRPr="002F0EE3" w:rsidRDefault="0082729B" w:rsidP="007407D4">
      <w:pPr>
        <w:pStyle w:val="ListParagraph"/>
        <w:numPr>
          <w:ilvl w:val="0"/>
          <w:numId w:val="8"/>
        </w:numPr>
      </w:pPr>
      <w:r w:rsidRPr="002F0EE3">
        <w:t>La organización de supervisión discutirá soluciones alternativas para lograr un consenso antes de la presentación de una DfS. Entre las alternativas se incluyen:</w:t>
      </w:r>
    </w:p>
    <w:p w14:paraId="7BFA0756" w14:textId="77777777" w:rsidR="00BD0419" w:rsidRPr="002F0EE3" w:rsidRDefault="0082729B" w:rsidP="007407D4">
      <w:pPr>
        <w:pStyle w:val="ListParagraph"/>
        <w:numPr>
          <w:ilvl w:val="1"/>
          <w:numId w:val="8"/>
        </w:numPr>
      </w:pPr>
      <w:r w:rsidRPr="002F0EE3">
        <w:t xml:space="preserve">un depósito chapado y enterrado bajo el pavimento alrededor de los pilares del puente donde los cambios de dirección generen ángulos de tubería de &gt; 22,5 grados, y </w:t>
      </w:r>
    </w:p>
    <w:p w14:paraId="41F86E72" w14:textId="77777777" w:rsidR="00231586" w:rsidRPr="002F0EE3" w:rsidRDefault="0082729B" w:rsidP="007407D4">
      <w:pPr>
        <w:pStyle w:val="ListParagraph"/>
        <w:numPr>
          <w:ilvl w:val="1"/>
          <w:numId w:val="8"/>
        </w:numPr>
      </w:pPr>
      <w:r w:rsidRPr="002F0EE3">
        <w:t>un depósito enterrado y con acondicionamiento de banquetas en la mediana, con registro para fines de perforación hidráulica.</w:t>
      </w:r>
    </w:p>
    <w:p w14:paraId="72B1DD28" w14:textId="77777777" w:rsidR="00231586" w:rsidRPr="002F0EE3" w:rsidRDefault="0082729B" w:rsidP="007407D4">
      <w:pPr>
        <w:pStyle w:val="ListParagraph"/>
        <w:numPr>
          <w:ilvl w:val="0"/>
          <w:numId w:val="8"/>
        </w:numPr>
      </w:pPr>
      <w:r w:rsidRPr="002F0EE3">
        <w:t>Cuando se hace referencia a una ubicación situada completamente entre el ancho de vía de un carril de circulación, se considerará que el área entre el ancho de vía y la línea del borde de la calzada y el arcén es un área equivalente. A efectos del presente árbol de decisiones, el ancho de vía será una zona de 900 mm de ancho (y no 600 mm). Si se va a mantener una cubierta de acceso en las zonas de entrada y salida de intersecciones (vías principales y vías de acceso) como en las zonas combinadas e individualmente más amplias, los anchos de vía no serán tan sencillos como los descritos en MCHW serie 900 [Ref. 6.N].</w:t>
      </w:r>
    </w:p>
    <w:p w14:paraId="2C7E4E41" w14:textId="68F8B76E" w:rsidR="00231586" w:rsidRPr="002F0EE3" w:rsidRDefault="0082729B" w:rsidP="00CA30E5">
      <w:pPr>
        <w:pageBreakBefore/>
        <w:rPr>
          <w:b/>
          <w:bCs/>
        </w:rPr>
      </w:pPr>
      <w:r w:rsidRPr="002F0EE3">
        <w:rPr>
          <w:b/>
        </w:rPr>
        <w:t>Notificación</w:t>
      </w:r>
    </w:p>
    <w:p w14:paraId="048CDDDF" w14:textId="77777777" w:rsidR="00231586" w:rsidRPr="002F0EE3" w:rsidRDefault="0082729B" w:rsidP="007407D4">
      <w:r w:rsidRPr="002F0EE3">
        <w:t>El presente documento fue notificado en un proyecto a la Comisión Europea de conformidad con la Directiva 2015/1535//UE sobre normas y reglamentaciones técnicas.</w:t>
      </w:r>
    </w:p>
    <w:p w14:paraId="2B2867B7" w14:textId="77777777" w:rsidR="00231586" w:rsidRPr="002F0EE3" w:rsidRDefault="00231586" w:rsidP="00CA30E5">
      <w:pPr>
        <w:pageBreakBefore/>
        <w:jc w:val="center"/>
      </w:pPr>
    </w:p>
    <w:p w14:paraId="67CAA0FB" w14:textId="77777777" w:rsidR="00CA30E5" w:rsidRPr="002F0EE3" w:rsidRDefault="00CA30E5" w:rsidP="00CA30E5">
      <w:pPr>
        <w:jc w:val="center"/>
      </w:pPr>
    </w:p>
    <w:p w14:paraId="638EAA81" w14:textId="77777777" w:rsidR="00CA30E5" w:rsidRPr="002F0EE3" w:rsidRDefault="00CA30E5" w:rsidP="00CA30E5">
      <w:pPr>
        <w:jc w:val="center"/>
      </w:pPr>
    </w:p>
    <w:p w14:paraId="732FF139" w14:textId="77777777" w:rsidR="00CA30E5" w:rsidRPr="002F0EE3" w:rsidRDefault="00CA30E5" w:rsidP="00CA30E5">
      <w:pPr>
        <w:jc w:val="center"/>
      </w:pPr>
    </w:p>
    <w:p w14:paraId="11461A29" w14:textId="77777777" w:rsidR="00CA30E5" w:rsidRPr="002F0EE3" w:rsidRDefault="00CA30E5" w:rsidP="00CA30E5">
      <w:pPr>
        <w:jc w:val="center"/>
      </w:pPr>
    </w:p>
    <w:p w14:paraId="49665383" w14:textId="77777777" w:rsidR="00CA30E5" w:rsidRPr="002F0EE3" w:rsidRDefault="00CA30E5" w:rsidP="00CA30E5">
      <w:pPr>
        <w:jc w:val="center"/>
      </w:pPr>
    </w:p>
    <w:p w14:paraId="759EA067" w14:textId="77777777" w:rsidR="00CA30E5" w:rsidRPr="002F0EE3" w:rsidRDefault="00CA30E5" w:rsidP="00CA30E5">
      <w:pPr>
        <w:jc w:val="center"/>
      </w:pPr>
    </w:p>
    <w:p w14:paraId="617C8B1F" w14:textId="77777777" w:rsidR="00CA30E5" w:rsidRPr="002F0EE3" w:rsidRDefault="00CA30E5" w:rsidP="00CA30E5">
      <w:pPr>
        <w:jc w:val="center"/>
      </w:pPr>
    </w:p>
    <w:p w14:paraId="01F22046" w14:textId="77777777" w:rsidR="00CA30E5" w:rsidRPr="002F0EE3" w:rsidRDefault="00CA30E5" w:rsidP="00CA30E5">
      <w:pPr>
        <w:jc w:val="center"/>
      </w:pPr>
    </w:p>
    <w:p w14:paraId="40CCC225" w14:textId="77777777" w:rsidR="00CA30E5" w:rsidRPr="002F0EE3" w:rsidRDefault="00CA30E5" w:rsidP="00CA30E5">
      <w:pPr>
        <w:jc w:val="center"/>
      </w:pPr>
    </w:p>
    <w:p w14:paraId="0A40DF70" w14:textId="77777777" w:rsidR="00CA30E5" w:rsidRPr="002F0EE3" w:rsidRDefault="00CA30E5" w:rsidP="00CA30E5">
      <w:pPr>
        <w:jc w:val="center"/>
      </w:pPr>
    </w:p>
    <w:p w14:paraId="75C87592" w14:textId="77777777" w:rsidR="00CA30E5" w:rsidRPr="002F0EE3" w:rsidRDefault="00CA30E5" w:rsidP="00CA30E5">
      <w:pPr>
        <w:jc w:val="center"/>
      </w:pPr>
    </w:p>
    <w:p w14:paraId="2653507C" w14:textId="77777777" w:rsidR="00CA30E5" w:rsidRPr="002F0EE3" w:rsidRDefault="00CA30E5" w:rsidP="00CA30E5">
      <w:pPr>
        <w:jc w:val="center"/>
      </w:pPr>
    </w:p>
    <w:p w14:paraId="654374FE" w14:textId="77777777" w:rsidR="00CA30E5" w:rsidRPr="002F0EE3" w:rsidRDefault="00CA30E5" w:rsidP="00CA30E5">
      <w:pPr>
        <w:jc w:val="center"/>
      </w:pPr>
    </w:p>
    <w:p w14:paraId="67EC2D35" w14:textId="77777777" w:rsidR="00CA30E5" w:rsidRPr="002F0EE3" w:rsidRDefault="00CA30E5" w:rsidP="00CA30E5">
      <w:pPr>
        <w:jc w:val="center"/>
      </w:pPr>
    </w:p>
    <w:p w14:paraId="6A8F2A89" w14:textId="77777777" w:rsidR="00CA30E5" w:rsidRPr="002F0EE3" w:rsidRDefault="00CA30E5" w:rsidP="00CA30E5">
      <w:pPr>
        <w:jc w:val="center"/>
      </w:pPr>
    </w:p>
    <w:p w14:paraId="115FB346" w14:textId="77777777" w:rsidR="00CA30E5" w:rsidRPr="002F0EE3" w:rsidRDefault="00CA30E5" w:rsidP="00CA30E5">
      <w:pPr>
        <w:jc w:val="center"/>
      </w:pPr>
    </w:p>
    <w:p w14:paraId="1F6D2E51" w14:textId="77777777" w:rsidR="00CA30E5" w:rsidRPr="002F0EE3" w:rsidRDefault="00CA30E5" w:rsidP="00CA30E5">
      <w:pPr>
        <w:jc w:val="center"/>
      </w:pPr>
    </w:p>
    <w:p w14:paraId="3A96A182" w14:textId="77777777" w:rsidR="00CA30E5" w:rsidRPr="002F0EE3" w:rsidRDefault="00CA30E5" w:rsidP="00CA30E5">
      <w:pPr>
        <w:jc w:val="center"/>
      </w:pPr>
    </w:p>
    <w:p w14:paraId="3FBEC807" w14:textId="77777777" w:rsidR="00CA30E5" w:rsidRPr="002F0EE3" w:rsidRDefault="00CA30E5" w:rsidP="00CA30E5">
      <w:pPr>
        <w:jc w:val="center"/>
      </w:pPr>
    </w:p>
    <w:p w14:paraId="150C792E" w14:textId="77777777" w:rsidR="00CA30E5" w:rsidRPr="002F0EE3" w:rsidRDefault="00CA30E5" w:rsidP="00CA30E5">
      <w:pPr>
        <w:jc w:val="center"/>
      </w:pPr>
    </w:p>
    <w:p w14:paraId="1A919BE0" w14:textId="77777777" w:rsidR="00CA30E5" w:rsidRPr="002F0EE3" w:rsidRDefault="00CA30E5" w:rsidP="00CA30E5">
      <w:pPr>
        <w:jc w:val="center"/>
      </w:pPr>
    </w:p>
    <w:p w14:paraId="77BAF04A" w14:textId="77777777" w:rsidR="00F6254B" w:rsidRPr="002F0EE3" w:rsidRDefault="00F6254B" w:rsidP="00CA30E5">
      <w:pPr>
        <w:jc w:val="center"/>
      </w:pPr>
    </w:p>
    <w:p w14:paraId="5F15A2C3" w14:textId="77777777" w:rsidR="00CA30E5" w:rsidRPr="002F0EE3" w:rsidRDefault="00CA30E5" w:rsidP="00CA30E5">
      <w:pPr>
        <w:jc w:val="center"/>
      </w:pPr>
    </w:p>
    <w:p w14:paraId="5C11EA21" w14:textId="77777777" w:rsidR="00CA30E5" w:rsidRPr="002F0EE3" w:rsidRDefault="00CA30E5" w:rsidP="00CA30E5">
      <w:pPr>
        <w:jc w:val="center"/>
      </w:pPr>
    </w:p>
    <w:p w14:paraId="481F97B2" w14:textId="77777777" w:rsidR="00231586" w:rsidRPr="002F0EE3" w:rsidRDefault="0082729B" w:rsidP="00CA30E5">
      <w:pPr>
        <w:jc w:val="center"/>
      </w:pPr>
      <w:r w:rsidRPr="002F0EE3">
        <w:t>© Crown copyright 2020.</w:t>
      </w:r>
    </w:p>
    <w:p w14:paraId="7F0B54B0" w14:textId="77777777" w:rsidR="00231586" w:rsidRPr="002F0EE3" w:rsidRDefault="0082729B" w:rsidP="00CA30E5">
      <w:pPr>
        <w:jc w:val="center"/>
      </w:pPr>
      <w:r w:rsidRPr="002F0EE3">
        <w:t>Esta información puede reutilizarse (sin incluir los logotipos) sin cargo alguno en cualquier formato o medio, con arreglo a la licencia abierta del Gobierno. Para consultar dicha licencia:</w:t>
      </w:r>
    </w:p>
    <w:p w14:paraId="70BCD9A6" w14:textId="77777777" w:rsidR="00231586" w:rsidRPr="002F0EE3" w:rsidRDefault="0082729B" w:rsidP="00CA30E5">
      <w:pPr>
        <w:jc w:val="center"/>
      </w:pPr>
      <w:r w:rsidRPr="002F0EE3">
        <w:t xml:space="preserve">visite el sitio web </w:t>
      </w:r>
      <w:r w:rsidRPr="002F0EE3">
        <w:rPr>
          <w:b/>
        </w:rPr>
        <w:t>www.nationalarchives.gov.uk/doc/open-government-licence/</w:t>
      </w:r>
      <w:r w:rsidRPr="002F0EE3">
        <w:t xml:space="preserve">, escriba a </w:t>
      </w:r>
      <w:r w:rsidRPr="002F0EE3">
        <w:rPr>
          <w:b/>
        </w:rPr>
        <w:t>Information Policy Team, The National Archives, Kew, Londres TW9 4DU</w:t>
      </w:r>
      <w:r w:rsidRPr="002F0EE3">
        <w:t xml:space="preserve"> o envíe un correo electrónico a </w:t>
      </w:r>
      <w:r w:rsidRPr="002F0EE3">
        <w:rPr>
          <w:b/>
        </w:rPr>
        <w:t>psi@nationalarchives.gsi.gov.uk</w:t>
      </w:r>
      <w:r w:rsidRPr="002F0EE3">
        <w:t>.</w:t>
      </w:r>
    </w:p>
    <w:p w14:paraId="1E2EAFD3" w14:textId="77777777" w:rsidR="0091129D" w:rsidRPr="002F0EE3" w:rsidRDefault="0091129D" w:rsidP="00CA30E5">
      <w:pPr>
        <w:pageBreakBefore/>
        <w:rPr>
          <w:sz w:val="40"/>
          <w:szCs w:val="40"/>
        </w:rPr>
      </w:pPr>
      <w:r w:rsidRPr="002F0EE3">
        <w:rPr>
          <w:sz w:val="40"/>
        </w:rPr>
        <w:t>CD 534</w:t>
      </w:r>
    </w:p>
    <w:p w14:paraId="6EB6241A" w14:textId="001C0401" w:rsidR="00CA30E5" w:rsidRPr="002F0EE3" w:rsidRDefault="0082729B" w:rsidP="0091129D">
      <w:pPr>
        <w:rPr>
          <w:sz w:val="40"/>
          <w:szCs w:val="40"/>
        </w:rPr>
      </w:pPr>
      <w:r w:rsidRPr="002F0EE3">
        <w:rPr>
          <w:sz w:val="40"/>
        </w:rPr>
        <w:t>Anexo de aplicación nacional de Inglaterra para CD 534 Tapas de depósitos y sumideros para servicios y drenaje de carreteras</w:t>
      </w:r>
    </w:p>
    <w:p w14:paraId="17F69CEF" w14:textId="5C93F035" w:rsidR="00231586" w:rsidRPr="002F0EE3" w:rsidRDefault="0082729B" w:rsidP="00CA30E5">
      <w:r w:rsidRPr="002F0EE3">
        <w:t xml:space="preserve">(antiguo HA 104/09, IAN 196/17, IAN 197/17) </w:t>
      </w:r>
    </w:p>
    <w:p w14:paraId="6AEF3864" w14:textId="77777777" w:rsidR="00231586" w:rsidRPr="002F0EE3" w:rsidRDefault="0082729B" w:rsidP="007407D4">
      <w:pPr>
        <w:rPr>
          <w:b/>
          <w:bCs/>
        </w:rPr>
      </w:pPr>
      <w:r w:rsidRPr="002F0EE3">
        <w:rPr>
          <w:b/>
        </w:rPr>
        <w:t>Resumen</w:t>
      </w:r>
    </w:p>
    <w:p w14:paraId="76533DAD" w14:textId="77777777" w:rsidR="00231586" w:rsidRPr="002F0EE3" w:rsidRDefault="0082729B" w:rsidP="007407D4">
      <w:r w:rsidRPr="002F0EE3">
        <w:t>El presente anexo de aplicación nacional define los requisitos específicos de Highways England respecto a las tapas de depósitos y las tapas de sumideros.</w:t>
      </w:r>
    </w:p>
    <w:p w14:paraId="76D2C4B6" w14:textId="77777777" w:rsidR="00CA30E5" w:rsidRPr="002F0EE3" w:rsidRDefault="00CA30E5" w:rsidP="007407D4"/>
    <w:p w14:paraId="0ED162CC" w14:textId="77777777" w:rsidR="00CA30E5" w:rsidRPr="002F0EE3" w:rsidRDefault="00CA30E5" w:rsidP="007407D4"/>
    <w:p w14:paraId="11C7D626" w14:textId="77777777" w:rsidR="00CA30E5" w:rsidRPr="002F0EE3" w:rsidRDefault="00CA30E5" w:rsidP="007407D4"/>
    <w:p w14:paraId="3A6F1F76" w14:textId="77777777" w:rsidR="00CA30E5" w:rsidRPr="002F0EE3" w:rsidRDefault="00CA30E5" w:rsidP="007407D4"/>
    <w:p w14:paraId="5416B96C" w14:textId="77777777" w:rsidR="00CA30E5" w:rsidRPr="002F0EE3" w:rsidRDefault="00CA30E5" w:rsidP="007407D4"/>
    <w:p w14:paraId="06D44FFC" w14:textId="77777777" w:rsidR="00CA30E5" w:rsidRPr="002F0EE3" w:rsidRDefault="00CA30E5" w:rsidP="007407D4"/>
    <w:p w14:paraId="7271FEAB" w14:textId="77777777" w:rsidR="00231586" w:rsidRPr="002F0EE3" w:rsidRDefault="0082729B" w:rsidP="007407D4">
      <w:pPr>
        <w:rPr>
          <w:b/>
          <w:bCs/>
        </w:rPr>
      </w:pPr>
      <w:r w:rsidRPr="002F0EE3">
        <w:rPr>
          <w:b/>
        </w:rPr>
        <w:t>Comentarios y consultas</w:t>
      </w:r>
    </w:p>
    <w:p w14:paraId="3A944824" w14:textId="6AB92A6E" w:rsidR="00BD0419" w:rsidRPr="002F0EE3" w:rsidRDefault="0082729B" w:rsidP="007407D4">
      <w:r w:rsidRPr="002F0EE3">
        <w:t>Se anima a los usuarios del presente documento a plantear dudas y dejar comentarios sobre el contenido y la utilización de este documento al equipo especializado de Highways England. La dirección de correo electrónico para las dudas y los comentarios es: Standards_Enquiries@highwaysengland.co.uk</w:t>
      </w:r>
    </w:p>
    <w:p w14:paraId="65A05C5A" w14:textId="77777777" w:rsidR="00231586" w:rsidRPr="002F0EE3" w:rsidRDefault="0082729B" w:rsidP="007407D4">
      <w:pPr>
        <w:rPr>
          <w:b/>
          <w:bCs/>
        </w:rPr>
      </w:pPr>
      <w:r w:rsidRPr="002F0EE3">
        <w:rPr>
          <w:b/>
        </w:rPr>
        <w:t>Este es un documento controlado.</w:t>
      </w:r>
    </w:p>
    <w:p w14:paraId="5403C947" w14:textId="153AED05" w:rsidR="00231586" w:rsidRPr="002F0EE3" w:rsidRDefault="0082729B" w:rsidP="00CA30E5">
      <w:pPr>
        <w:pageBreakBefore/>
        <w:rPr>
          <w:b/>
          <w:bCs/>
        </w:rPr>
      </w:pPr>
      <w:r w:rsidRPr="002F0EE3">
        <w:rPr>
          <w:b/>
        </w:rPr>
        <w:t>Preámbulo</w:t>
      </w:r>
    </w:p>
    <w:p w14:paraId="304D87CE" w14:textId="77777777" w:rsidR="00231586" w:rsidRPr="002F0EE3" w:rsidRDefault="0082729B" w:rsidP="007407D4">
      <w:pPr>
        <w:rPr>
          <w:b/>
          <w:bCs/>
        </w:rPr>
      </w:pPr>
      <w:r w:rsidRPr="002F0EE3">
        <w:rPr>
          <w:b/>
        </w:rPr>
        <w:t>Información sobre la publicación</w:t>
      </w:r>
    </w:p>
    <w:p w14:paraId="295FA99A" w14:textId="77777777" w:rsidR="00231586" w:rsidRPr="002F0EE3" w:rsidRDefault="0082729B" w:rsidP="007407D4">
      <w:r w:rsidRPr="002F0EE3">
        <w:t>Este documento ha sido publicado por Highways England.</w:t>
      </w:r>
    </w:p>
    <w:p w14:paraId="55FA4286" w14:textId="77777777" w:rsidR="00231586" w:rsidRPr="002F0EE3" w:rsidRDefault="0082729B" w:rsidP="007407D4">
      <w:r w:rsidRPr="002F0EE3">
        <w:t>Este documento sustituye a HA 104/09, IAN 196/17 y a IAN 197/17, que quedan sin efecto.</w:t>
      </w:r>
    </w:p>
    <w:p w14:paraId="7CD6F6C0" w14:textId="77777777" w:rsidR="00231586" w:rsidRPr="002F0EE3" w:rsidRDefault="0082729B" w:rsidP="007407D4">
      <w:pPr>
        <w:rPr>
          <w:b/>
          <w:bCs/>
        </w:rPr>
      </w:pPr>
      <w:r w:rsidRPr="002F0EE3">
        <w:rPr>
          <w:b/>
        </w:rPr>
        <w:t>Consideraciones contractuales y legales</w:t>
      </w:r>
    </w:p>
    <w:p w14:paraId="5DC52F6A" w14:textId="77777777" w:rsidR="00231586" w:rsidRPr="002F0EE3" w:rsidRDefault="0082729B" w:rsidP="007407D4">
      <w:r w:rsidRPr="002F0EE3">
        <w:t>Este documento forma parte de la especificación de obra. No pretende incluir todas las disposiciones necesarias de un contrato. Es responsabilidad de los usuarios aplicar toda la documentación adecuada correspondiente a su contrato.</w:t>
      </w:r>
    </w:p>
    <w:p w14:paraId="70B8E586" w14:textId="294C95BF" w:rsidR="00231586" w:rsidRPr="002F0EE3" w:rsidRDefault="0082729B" w:rsidP="0091129D">
      <w:pPr>
        <w:pageBreakBefore/>
        <w:rPr>
          <w:b/>
          <w:bCs/>
        </w:rPr>
      </w:pPr>
      <w:r w:rsidRPr="002F0EE3">
        <w:rPr>
          <w:b/>
        </w:rPr>
        <w:t>Introducción</w:t>
      </w:r>
    </w:p>
    <w:p w14:paraId="004A34BA" w14:textId="77777777" w:rsidR="00231586" w:rsidRPr="002F0EE3" w:rsidRDefault="0082729B" w:rsidP="007407D4">
      <w:pPr>
        <w:rPr>
          <w:b/>
          <w:bCs/>
        </w:rPr>
      </w:pPr>
      <w:r w:rsidRPr="002F0EE3">
        <w:rPr>
          <w:b/>
        </w:rPr>
        <w:t>Antecedentes</w:t>
      </w:r>
    </w:p>
    <w:p w14:paraId="39D57E8A" w14:textId="77777777" w:rsidR="00231586" w:rsidRPr="002F0EE3" w:rsidRDefault="0082729B" w:rsidP="007407D4">
      <w:r w:rsidRPr="002F0EE3">
        <w:t>El presente anexo de aplicación nacional define los requisitos específicos de Highways England respecto a las tapas de depósitos y las tapas de sumideros.</w:t>
      </w:r>
    </w:p>
    <w:p w14:paraId="4E644C19" w14:textId="77777777" w:rsidR="00231586" w:rsidRPr="002F0EE3" w:rsidRDefault="0082729B" w:rsidP="007407D4">
      <w:pPr>
        <w:rPr>
          <w:b/>
          <w:bCs/>
        </w:rPr>
      </w:pPr>
      <w:r w:rsidRPr="002F0EE3">
        <w:rPr>
          <w:b/>
        </w:rPr>
        <w:t>Premisas adoptadas al preparar este documento</w:t>
      </w:r>
    </w:p>
    <w:p w14:paraId="78C84CBF" w14:textId="77777777" w:rsidR="00231586" w:rsidRPr="002F0EE3" w:rsidRDefault="0082729B" w:rsidP="007407D4">
      <w:r w:rsidRPr="002F0EE3">
        <w:t>En este documento se aplican las premisas adoptadas en GG 101 [Ref 1.N].</w:t>
      </w:r>
    </w:p>
    <w:p w14:paraId="37352A48" w14:textId="7A199AF9" w:rsidR="00231586" w:rsidRPr="002F0EE3" w:rsidRDefault="0082729B" w:rsidP="0091129D">
      <w:pPr>
        <w:pageBreakBefore/>
        <w:rPr>
          <w:b/>
          <w:bCs/>
        </w:rPr>
      </w:pPr>
      <w:r w:rsidRPr="002F0EE3">
        <w:rPr>
          <w:b/>
        </w:rPr>
        <w:t>Términos y definiciones</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91129D" w:rsidRPr="002F0EE3" w14:paraId="30DF221B" w14:textId="77777777" w:rsidTr="0091129D">
        <w:tc>
          <w:tcPr>
            <w:tcW w:w="1345" w:type="pct"/>
          </w:tcPr>
          <w:p w14:paraId="3657FA20" w14:textId="4A483D0B" w:rsidR="0091129D" w:rsidRPr="002F0EE3" w:rsidRDefault="0091129D" w:rsidP="0091129D">
            <w:pPr>
              <w:spacing w:before="20" w:after="20"/>
              <w:rPr>
                <w:b/>
                <w:bCs/>
              </w:rPr>
            </w:pPr>
            <w:r w:rsidRPr="002F0EE3">
              <w:rPr>
                <w:b/>
              </w:rPr>
              <w:t>Término</w:t>
            </w:r>
          </w:p>
        </w:tc>
        <w:tc>
          <w:tcPr>
            <w:tcW w:w="3655" w:type="pct"/>
          </w:tcPr>
          <w:p w14:paraId="682364CE" w14:textId="2243D185" w:rsidR="0091129D" w:rsidRPr="002F0EE3" w:rsidRDefault="0091129D" w:rsidP="0091129D">
            <w:pPr>
              <w:spacing w:before="20" w:after="20"/>
              <w:rPr>
                <w:b/>
                <w:bCs/>
              </w:rPr>
            </w:pPr>
            <w:r w:rsidRPr="002F0EE3">
              <w:rPr>
                <w:b/>
              </w:rPr>
              <w:t>Definición</w:t>
            </w:r>
          </w:p>
        </w:tc>
      </w:tr>
      <w:tr w:rsidR="0091129D" w:rsidRPr="002F0EE3" w14:paraId="6AF878E7" w14:textId="77777777" w:rsidTr="0091129D">
        <w:tc>
          <w:tcPr>
            <w:tcW w:w="1345" w:type="pct"/>
          </w:tcPr>
          <w:p w14:paraId="1CC50FC1" w14:textId="739DCA11" w:rsidR="0091129D" w:rsidRPr="002F0EE3" w:rsidRDefault="0091129D" w:rsidP="0091129D">
            <w:pPr>
              <w:spacing w:before="20" w:after="20"/>
            </w:pPr>
            <w:r w:rsidRPr="002F0EE3">
              <w:t>Todo el carril de circulación</w:t>
            </w:r>
          </w:p>
        </w:tc>
        <w:tc>
          <w:tcPr>
            <w:tcW w:w="3655" w:type="pct"/>
          </w:tcPr>
          <w:p w14:paraId="4EFA14B0" w14:textId="77777777" w:rsidR="0091129D" w:rsidRPr="002F0EE3" w:rsidRDefault="0091129D" w:rsidP="0091129D">
            <w:pPr>
              <w:spacing w:before="20" w:after="20"/>
            </w:pPr>
            <w:r w:rsidRPr="002F0EE3">
              <w:t>Una autopista inteligente que incluye la conversión permanente de un arcén a un carril de circulación.</w:t>
            </w:r>
          </w:p>
        </w:tc>
      </w:tr>
      <w:tr w:rsidR="0091129D" w:rsidRPr="002F0EE3" w14:paraId="37F2AB2E" w14:textId="77777777" w:rsidTr="0091129D">
        <w:tc>
          <w:tcPr>
            <w:tcW w:w="1345" w:type="pct"/>
          </w:tcPr>
          <w:p w14:paraId="5943355F" w14:textId="075DF487" w:rsidR="0091129D" w:rsidRPr="002F0EE3" w:rsidRDefault="0091129D" w:rsidP="0091129D">
            <w:pPr>
              <w:spacing w:before="20" w:after="20"/>
            </w:pPr>
            <w:r w:rsidRPr="002F0EE3">
              <w:t>Autopistas inteligentes</w:t>
            </w:r>
          </w:p>
        </w:tc>
        <w:tc>
          <w:tcPr>
            <w:tcW w:w="3655" w:type="pct"/>
          </w:tcPr>
          <w:p w14:paraId="0263564E" w14:textId="77777777" w:rsidR="0091129D" w:rsidRPr="002F0EE3" w:rsidRDefault="0091129D" w:rsidP="0091129D">
            <w:pPr>
              <w:spacing w:before="20" w:after="20"/>
            </w:pPr>
            <w:r w:rsidRPr="002F0EE3">
              <w:t>Autopistas que utilizan límites de velocidad obligatorios variables para aumentar la capacidad y suavizar el flujo de tráfico.</w:t>
            </w:r>
          </w:p>
        </w:tc>
      </w:tr>
    </w:tbl>
    <w:p w14:paraId="385DFEB6" w14:textId="32D0F7BE" w:rsidR="00231586" w:rsidRPr="002F0EE3" w:rsidRDefault="0082729B" w:rsidP="0091129D">
      <w:pPr>
        <w:pageBreakBefore/>
        <w:rPr>
          <w:b/>
          <w:bCs/>
        </w:rPr>
      </w:pPr>
      <w:r w:rsidRPr="002F0EE3">
        <w:rPr>
          <w:b/>
        </w:rPr>
        <w:t>E/1. Cubiertas de acceso de depósitos que pasan a estar en la calzada</w:t>
      </w:r>
    </w:p>
    <w:p w14:paraId="09015FBE" w14:textId="77777777" w:rsidR="00231586" w:rsidRPr="002F0EE3" w:rsidRDefault="0082729B" w:rsidP="007407D4">
      <w:r w:rsidRPr="002F0EE3">
        <w:t>E/1.1 Los requisitos estipulados en CD 534, sección 3, se aplicarán a todas las autopistas inteligentes.</w:t>
      </w:r>
    </w:p>
    <w:p w14:paraId="14C2A46A" w14:textId="1EC9A1FA" w:rsidR="00231586" w:rsidRPr="002F0EE3" w:rsidRDefault="0082729B" w:rsidP="0091129D">
      <w:pPr>
        <w:pageBreakBefore/>
        <w:rPr>
          <w:b/>
          <w:bCs/>
        </w:rPr>
      </w:pPr>
      <w:r w:rsidRPr="002F0EE3">
        <w:rPr>
          <w:b/>
        </w:rPr>
        <w:t>E/2. Evaluación/obras de mejora de las tapas de depósitos situadas en un carril de circulación</w:t>
      </w:r>
    </w:p>
    <w:p w14:paraId="0A2A2651" w14:textId="77777777" w:rsidR="00231586" w:rsidRPr="002F0EE3" w:rsidRDefault="0082729B" w:rsidP="007407D4">
      <w:r w:rsidRPr="002F0EE3">
        <w:t>E/2.1 Los requisitos estipulados en CD 534, sección 3, se aplicarán retrospectivamente a todos los accesos de depósitos existentes en los carriles de circulación en funcionamiento de las autopistas inteligentes, todos los proyectos de carriles en funcionamiento o a tiempo parcial (circulación dinámica en arcén) y cualquier otra autopista gestionada por Highways England.</w:t>
      </w:r>
    </w:p>
    <w:p w14:paraId="0E0CA08F" w14:textId="77777777" w:rsidR="00231586" w:rsidRPr="002F0EE3" w:rsidRDefault="0082729B" w:rsidP="007407D4">
      <w:r w:rsidRPr="002F0EE3">
        <w:t>E/2.2 Cuando no se pueda seguir un requisito de CD 534, se seguirá el proceso de desviación descrito en GG 101 [Ref. 1.N] antes de que se pueda presentar una solicitud para certificar un diseño en virtud del proceso de certificación del diseño de sistemas de drenaje en CG 502 [Ref. 1.I].</w:t>
      </w:r>
    </w:p>
    <w:p w14:paraId="15784B18" w14:textId="3857B250" w:rsidR="00231586" w:rsidRPr="002F0EE3" w:rsidRDefault="0082729B" w:rsidP="0091129D">
      <w:pPr>
        <w:pageBreakBefore/>
        <w:rPr>
          <w:b/>
          <w:bCs/>
        </w:rPr>
      </w:pPr>
      <w:r w:rsidRPr="002F0EE3">
        <w:rPr>
          <w:b/>
        </w:rPr>
        <w:t>E/3. Referencias normativas</w:t>
      </w:r>
    </w:p>
    <w:p w14:paraId="42E59396" w14:textId="77777777" w:rsidR="00231586" w:rsidRPr="002F0EE3" w:rsidRDefault="0082729B" w:rsidP="007407D4">
      <w:r w:rsidRPr="002F0EE3">
        <w:t>Los siguientes documentos, en su totalidad o en parte, se citan como referencias normativas en este documento y son indispensables para su aplicación. En el caso de las referencias fechadas, solamente será aplicable la edición citada. En el caso de las referencias no fechadas, será aplicable la última edición del documento citado (incluidas sus modificaciones, si las hubiera).</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2F0EE3" w14:paraId="2D170F81" w14:textId="77777777" w:rsidTr="0091129D">
        <w:tc>
          <w:tcPr>
            <w:tcW w:w="946" w:type="pct"/>
          </w:tcPr>
          <w:p w14:paraId="0BB67560" w14:textId="3C9F7FAC" w:rsidR="0091129D" w:rsidRPr="002F0EE3" w:rsidRDefault="0091129D" w:rsidP="0091129D">
            <w:pPr>
              <w:spacing w:before="20" w:after="20"/>
            </w:pPr>
            <w:r w:rsidRPr="002F0EE3">
              <w:t>Ref. 1.N</w:t>
            </w:r>
          </w:p>
        </w:tc>
        <w:tc>
          <w:tcPr>
            <w:tcW w:w="4054" w:type="pct"/>
          </w:tcPr>
          <w:p w14:paraId="71C1A655" w14:textId="77777777" w:rsidR="0091129D" w:rsidRPr="002F0EE3" w:rsidRDefault="0091129D" w:rsidP="0091129D">
            <w:pPr>
              <w:spacing w:before="20" w:after="20"/>
            </w:pPr>
            <w:r w:rsidRPr="002F0EE3">
              <w:t>Highways England. GG 101 Introducción al manual de diseño para carreteras y puentes.</w:t>
            </w:r>
          </w:p>
        </w:tc>
      </w:tr>
    </w:tbl>
    <w:p w14:paraId="7D011A5C" w14:textId="77777777" w:rsidR="00231586" w:rsidRPr="002F0EE3" w:rsidRDefault="0082729B" w:rsidP="0091129D">
      <w:pPr>
        <w:pageBreakBefore/>
        <w:rPr>
          <w:b/>
          <w:bCs/>
        </w:rPr>
      </w:pPr>
      <w:r w:rsidRPr="002F0EE3">
        <w:rPr>
          <w:b/>
        </w:rPr>
        <w:t>E/4. Referencias informativas</w:t>
      </w:r>
    </w:p>
    <w:p w14:paraId="2E5D29B8" w14:textId="77777777" w:rsidR="00231586" w:rsidRPr="002F0EE3" w:rsidRDefault="0082729B" w:rsidP="007407D4">
      <w:r w:rsidRPr="002F0EE3">
        <w:t>Los siguientes documentos se citan como referencias informativas en este documento y ofrecen información de apoyo.</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2F0EE3" w14:paraId="0F8EC04E" w14:textId="77777777" w:rsidTr="0091129D">
        <w:tc>
          <w:tcPr>
            <w:tcW w:w="946" w:type="pct"/>
          </w:tcPr>
          <w:p w14:paraId="09D1D6DC" w14:textId="6BE51BDD" w:rsidR="0091129D" w:rsidRPr="002F0EE3" w:rsidRDefault="0091129D" w:rsidP="0091129D">
            <w:pPr>
              <w:spacing w:before="20" w:after="20"/>
            </w:pPr>
            <w:r w:rsidRPr="002F0EE3">
              <w:t>Ref. 1.I</w:t>
            </w:r>
          </w:p>
        </w:tc>
        <w:tc>
          <w:tcPr>
            <w:tcW w:w="4054" w:type="pct"/>
          </w:tcPr>
          <w:p w14:paraId="522C7B9B" w14:textId="77777777" w:rsidR="0091129D" w:rsidRPr="002F0EE3" w:rsidRDefault="0091129D" w:rsidP="0091129D">
            <w:pPr>
              <w:spacing w:before="20" w:after="20"/>
            </w:pPr>
            <w:r w:rsidRPr="002F0EE3">
              <w:t>Highways England. CG 502, «Certificación del diseño de sistemas de drenaje»</w:t>
            </w:r>
          </w:p>
        </w:tc>
      </w:tr>
    </w:tbl>
    <w:p w14:paraId="1BCA2EA0" w14:textId="77777777" w:rsidR="0091129D" w:rsidRPr="002F0EE3" w:rsidRDefault="0091129D" w:rsidP="0091129D">
      <w:pPr>
        <w:pageBreakBefore/>
        <w:jc w:val="center"/>
      </w:pPr>
    </w:p>
    <w:p w14:paraId="366B74FC" w14:textId="77777777" w:rsidR="0091129D" w:rsidRPr="002F0EE3" w:rsidRDefault="0091129D" w:rsidP="0091129D">
      <w:pPr>
        <w:jc w:val="center"/>
      </w:pPr>
    </w:p>
    <w:p w14:paraId="5373BE9D" w14:textId="77777777" w:rsidR="0091129D" w:rsidRPr="002F0EE3" w:rsidRDefault="0091129D" w:rsidP="0091129D">
      <w:pPr>
        <w:jc w:val="center"/>
      </w:pPr>
    </w:p>
    <w:p w14:paraId="1A64696D" w14:textId="77777777" w:rsidR="0091129D" w:rsidRPr="002F0EE3" w:rsidRDefault="0091129D" w:rsidP="0091129D">
      <w:pPr>
        <w:jc w:val="center"/>
      </w:pPr>
    </w:p>
    <w:p w14:paraId="192D2CA7" w14:textId="77777777" w:rsidR="0091129D" w:rsidRPr="002F0EE3" w:rsidRDefault="0091129D" w:rsidP="0091129D">
      <w:pPr>
        <w:jc w:val="center"/>
      </w:pPr>
    </w:p>
    <w:p w14:paraId="7516C307" w14:textId="77777777" w:rsidR="0091129D" w:rsidRPr="002F0EE3" w:rsidRDefault="0091129D" w:rsidP="0091129D">
      <w:pPr>
        <w:jc w:val="center"/>
      </w:pPr>
    </w:p>
    <w:p w14:paraId="0544E4E0" w14:textId="77777777" w:rsidR="0091129D" w:rsidRPr="002F0EE3" w:rsidRDefault="0091129D" w:rsidP="0091129D">
      <w:pPr>
        <w:jc w:val="center"/>
      </w:pPr>
    </w:p>
    <w:p w14:paraId="3F0D0645" w14:textId="77777777" w:rsidR="0091129D" w:rsidRPr="002F0EE3" w:rsidRDefault="0091129D" w:rsidP="0091129D">
      <w:pPr>
        <w:jc w:val="center"/>
      </w:pPr>
    </w:p>
    <w:p w14:paraId="71B654F0" w14:textId="77777777" w:rsidR="0091129D" w:rsidRPr="002F0EE3" w:rsidRDefault="0091129D" w:rsidP="0091129D">
      <w:pPr>
        <w:jc w:val="center"/>
      </w:pPr>
    </w:p>
    <w:p w14:paraId="7AE56D26" w14:textId="77777777" w:rsidR="0091129D" w:rsidRPr="002F0EE3" w:rsidRDefault="0091129D" w:rsidP="0091129D">
      <w:pPr>
        <w:jc w:val="center"/>
      </w:pPr>
    </w:p>
    <w:p w14:paraId="4E9955A5" w14:textId="77777777" w:rsidR="0091129D" w:rsidRPr="002F0EE3" w:rsidRDefault="0091129D" w:rsidP="0091129D">
      <w:pPr>
        <w:jc w:val="center"/>
      </w:pPr>
    </w:p>
    <w:p w14:paraId="6B778B1B" w14:textId="77777777" w:rsidR="0091129D" w:rsidRPr="002F0EE3" w:rsidRDefault="0091129D" w:rsidP="0091129D">
      <w:pPr>
        <w:jc w:val="center"/>
      </w:pPr>
    </w:p>
    <w:p w14:paraId="642087C9" w14:textId="77777777" w:rsidR="0091129D" w:rsidRPr="002F0EE3" w:rsidRDefault="0091129D" w:rsidP="0091129D">
      <w:pPr>
        <w:jc w:val="center"/>
      </w:pPr>
    </w:p>
    <w:p w14:paraId="4F062952" w14:textId="77777777" w:rsidR="0091129D" w:rsidRPr="002F0EE3" w:rsidRDefault="0091129D" w:rsidP="0091129D">
      <w:pPr>
        <w:jc w:val="center"/>
      </w:pPr>
    </w:p>
    <w:p w14:paraId="3A6C1FEE" w14:textId="77777777" w:rsidR="0091129D" w:rsidRPr="002F0EE3" w:rsidRDefault="0091129D" w:rsidP="0091129D">
      <w:pPr>
        <w:jc w:val="center"/>
      </w:pPr>
    </w:p>
    <w:p w14:paraId="6111D1F0" w14:textId="77777777" w:rsidR="0091129D" w:rsidRPr="002F0EE3" w:rsidRDefault="0091129D" w:rsidP="0091129D">
      <w:pPr>
        <w:jc w:val="center"/>
      </w:pPr>
    </w:p>
    <w:p w14:paraId="03AFD449" w14:textId="77777777" w:rsidR="0091129D" w:rsidRPr="002F0EE3" w:rsidRDefault="0091129D" w:rsidP="0091129D">
      <w:pPr>
        <w:jc w:val="center"/>
      </w:pPr>
    </w:p>
    <w:p w14:paraId="0B6F9DCF" w14:textId="77777777" w:rsidR="0091129D" w:rsidRPr="002F0EE3" w:rsidRDefault="0091129D" w:rsidP="0091129D">
      <w:pPr>
        <w:jc w:val="center"/>
      </w:pPr>
    </w:p>
    <w:p w14:paraId="5405C4E5" w14:textId="77777777" w:rsidR="0091129D" w:rsidRPr="002F0EE3" w:rsidRDefault="0091129D" w:rsidP="0091129D">
      <w:pPr>
        <w:jc w:val="center"/>
      </w:pPr>
    </w:p>
    <w:p w14:paraId="7C5F75F5" w14:textId="77777777" w:rsidR="0091129D" w:rsidRPr="002F0EE3" w:rsidRDefault="0091129D" w:rsidP="0091129D">
      <w:pPr>
        <w:jc w:val="center"/>
      </w:pPr>
    </w:p>
    <w:p w14:paraId="753D2000" w14:textId="77777777" w:rsidR="0091129D" w:rsidRPr="002F0EE3" w:rsidRDefault="0091129D" w:rsidP="0091129D">
      <w:pPr>
        <w:jc w:val="center"/>
      </w:pPr>
    </w:p>
    <w:p w14:paraId="4501A4B3" w14:textId="77777777" w:rsidR="0091129D" w:rsidRPr="002F0EE3" w:rsidRDefault="0091129D" w:rsidP="0091129D">
      <w:pPr>
        <w:jc w:val="center"/>
      </w:pPr>
    </w:p>
    <w:p w14:paraId="6B1834E0" w14:textId="77777777" w:rsidR="0091129D" w:rsidRPr="002F0EE3" w:rsidRDefault="0091129D" w:rsidP="0091129D">
      <w:pPr>
        <w:jc w:val="center"/>
      </w:pPr>
    </w:p>
    <w:p w14:paraId="1AB16B04" w14:textId="77777777" w:rsidR="0091129D" w:rsidRPr="002F0EE3" w:rsidRDefault="0091129D" w:rsidP="0091129D">
      <w:pPr>
        <w:jc w:val="center"/>
      </w:pPr>
    </w:p>
    <w:p w14:paraId="236332D3" w14:textId="77777777" w:rsidR="0091129D" w:rsidRPr="002F0EE3" w:rsidRDefault="0091129D" w:rsidP="0091129D">
      <w:pPr>
        <w:jc w:val="center"/>
      </w:pPr>
      <w:r w:rsidRPr="002F0EE3">
        <w:t>© Crown copyright 2020.</w:t>
      </w:r>
    </w:p>
    <w:p w14:paraId="2FA18F3C" w14:textId="77777777" w:rsidR="0091129D" w:rsidRPr="002F0EE3" w:rsidRDefault="0091129D" w:rsidP="0091129D">
      <w:pPr>
        <w:jc w:val="center"/>
      </w:pPr>
      <w:r w:rsidRPr="002F0EE3">
        <w:t>Esta información puede reutilizarse (sin incluir los logotipos) sin cargo alguno en cualquier formato o medio, con arreglo a la licencia abierta del Gobierno. Para consultar dicha licencia:</w:t>
      </w:r>
    </w:p>
    <w:p w14:paraId="6400CEAE" w14:textId="77777777" w:rsidR="0091129D" w:rsidRPr="002F0EE3" w:rsidRDefault="0091129D" w:rsidP="0091129D">
      <w:pPr>
        <w:jc w:val="center"/>
      </w:pPr>
      <w:r w:rsidRPr="002F0EE3">
        <w:t xml:space="preserve">visite el sitio web </w:t>
      </w:r>
      <w:r w:rsidRPr="002F0EE3">
        <w:rPr>
          <w:b/>
        </w:rPr>
        <w:t>www.nationalarchives.gov.uk/doc/open-government-licence/</w:t>
      </w:r>
      <w:r w:rsidRPr="002F0EE3">
        <w:t xml:space="preserve">, escriba a </w:t>
      </w:r>
      <w:r w:rsidRPr="002F0EE3">
        <w:rPr>
          <w:b/>
        </w:rPr>
        <w:t>Information Policy Team, The National Archives, Kew, Londres TW9 4DU</w:t>
      </w:r>
      <w:r w:rsidRPr="002F0EE3">
        <w:t xml:space="preserve"> o envíe un correo electrónico a </w:t>
      </w:r>
      <w:r w:rsidRPr="002F0EE3">
        <w:rPr>
          <w:b/>
        </w:rPr>
        <w:t>psi@nationalarchives.gsi.gov.uk</w:t>
      </w:r>
      <w:r w:rsidRPr="002F0EE3">
        <w:t>.</w:t>
      </w:r>
    </w:p>
    <w:p w14:paraId="7DB03E99" w14:textId="77777777" w:rsidR="0091129D" w:rsidRPr="002F0EE3" w:rsidRDefault="0091129D" w:rsidP="0091129D">
      <w:pPr>
        <w:pageBreakBefore/>
        <w:rPr>
          <w:sz w:val="40"/>
          <w:szCs w:val="40"/>
        </w:rPr>
      </w:pPr>
      <w:r w:rsidRPr="002F0EE3">
        <w:rPr>
          <w:sz w:val="40"/>
        </w:rPr>
        <w:t>CD 534</w:t>
      </w:r>
    </w:p>
    <w:p w14:paraId="2C77AD53" w14:textId="77777777" w:rsidR="0091129D" w:rsidRPr="002F0EE3" w:rsidRDefault="0082729B" w:rsidP="0091129D">
      <w:pPr>
        <w:rPr>
          <w:sz w:val="40"/>
          <w:szCs w:val="40"/>
        </w:rPr>
      </w:pPr>
      <w:r w:rsidRPr="002F0EE3">
        <w:rPr>
          <w:sz w:val="40"/>
        </w:rPr>
        <w:t>Anexo de aplicación nacional de Irlanda del Norte para CD 534 Tapas de depósitos y sumideros para servicios y drenaje de carreteras</w:t>
      </w:r>
    </w:p>
    <w:p w14:paraId="25358544" w14:textId="06411416" w:rsidR="00231586" w:rsidRPr="002F0EE3" w:rsidRDefault="0082729B" w:rsidP="0091129D">
      <w:r w:rsidRPr="002F0EE3">
        <w:t xml:space="preserve">(antiguo HA 104/09, IAN 196/17, IAN 197/17) </w:t>
      </w:r>
    </w:p>
    <w:p w14:paraId="11464B23" w14:textId="77777777" w:rsidR="00231586" w:rsidRPr="002F0EE3" w:rsidRDefault="0082729B" w:rsidP="007407D4">
      <w:pPr>
        <w:rPr>
          <w:b/>
          <w:bCs/>
        </w:rPr>
      </w:pPr>
      <w:r w:rsidRPr="002F0EE3">
        <w:rPr>
          <w:b/>
        </w:rPr>
        <w:t>Resumen</w:t>
      </w:r>
    </w:p>
    <w:p w14:paraId="50BD317D" w14:textId="77777777" w:rsidR="00231586" w:rsidRPr="002F0EE3" w:rsidRDefault="0082729B" w:rsidP="007407D4">
      <w:r w:rsidRPr="002F0EE3">
        <w:t>No hay requisitos específicos para el Departamento de Infraestructuras de Irlanda del Norte, complementarios o alternativos a los que figuran en CD 534.</w:t>
      </w:r>
    </w:p>
    <w:p w14:paraId="3EF33DF2" w14:textId="77777777" w:rsidR="0091129D" w:rsidRPr="002F0EE3" w:rsidRDefault="0091129D" w:rsidP="007407D4"/>
    <w:p w14:paraId="149C3D2A" w14:textId="77777777" w:rsidR="0091129D" w:rsidRPr="002F0EE3" w:rsidRDefault="0091129D" w:rsidP="007407D4"/>
    <w:p w14:paraId="48E33C57" w14:textId="77777777" w:rsidR="0091129D" w:rsidRPr="002F0EE3" w:rsidRDefault="0091129D" w:rsidP="007407D4"/>
    <w:p w14:paraId="508EA567" w14:textId="77777777" w:rsidR="0091129D" w:rsidRPr="002F0EE3" w:rsidRDefault="0091129D" w:rsidP="007407D4"/>
    <w:p w14:paraId="0B6C4B6B" w14:textId="77777777" w:rsidR="0091129D" w:rsidRPr="002F0EE3" w:rsidRDefault="0091129D" w:rsidP="007407D4"/>
    <w:p w14:paraId="54960A08" w14:textId="77777777" w:rsidR="0091129D" w:rsidRPr="002F0EE3" w:rsidRDefault="0091129D" w:rsidP="007407D4"/>
    <w:p w14:paraId="052075F6" w14:textId="77777777" w:rsidR="00231586" w:rsidRPr="002F0EE3" w:rsidRDefault="0082729B" w:rsidP="007407D4">
      <w:pPr>
        <w:rPr>
          <w:b/>
          <w:bCs/>
        </w:rPr>
      </w:pPr>
      <w:r w:rsidRPr="002F0EE3">
        <w:rPr>
          <w:b/>
        </w:rPr>
        <w:t>Comentarios y consultas</w:t>
      </w:r>
    </w:p>
    <w:p w14:paraId="495A00E9" w14:textId="4AE7E27D" w:rsidR="00BD0419" w:rsidRPr="002F0EE3" w:rsidRDefault="0082729B" w:rsidP="007407D4">
      <w:r w:rsidRPr="002F0EE3">
        <w:t>Se anima a los usuarios del presente documento a plantear dudas y dejar comentarios sobre el contenido y la utilización de este documento al equipo especializado del Departamento de Infraestructuras de Irlanda del Norte. La dirección de correo electrónico para las dudas y los comentarios es: dcu@infrastructure-ni.gov.uk</w:t>
      </w:r>
    </w:p>
    <w:p w14:paraId="1CE1BA5F" w14:textId="77777777" w:rsidR="00231586" w:rsidRPr="002F0EE3" w:rsidRDefault="0082729B" w:rsidP="007407D4">
      <w:pPr>
        <w:rPr>
          <w:b/>
          <w:bCs/>
        </w:rPr>
      </w:pPr>
      <w:r w:rsidRPr="002F0EE3">
        <w:rPr>
          <w:b/>
        </w:rPr>
        <w:t>Este es un documento controlado.</w:t>
      </w:r>
    </w:p>
    <w:p w14:paraId="3CE8BE29" w14:textId="77777777" w:rsidR="0091129D" w:rsidRPr="002F0EE3" w:rsidRDefault="0091129D" w:rsidP="0091129D">
      <w:pPr>
        <w:pageBreakBefore/>
        <w:jc w:val="center"/>
      </w:pPr>
    </w:p>
    <w:p w14:paraId="47D40230" w14:textId="77777777" w:rsidR="0091129D" w:rsidRPr="002F0EE3" w:rsidRDefault="0091129D" w:rsidP="0091129D">
      <w:pPr>
        <w:jc w:val="center"/>
      </w:pPr>
    </w:p>
    <w:p w14:paraId="2DB59D72" w14:textId="77777777" w:rsidR="0091129D" w:rsidRPr="002F0EE3" w:rsidRDefault="0091129D" w:rsidP="0091129D">
      <w:pPr>
        <w:jc w:val="center"/>
      </w:pPr>
    </w:p>
    <w:p w14:paraId="2B65D989" w14:textId="77777777" w:rsidR="0091129D" w:rsidRPr="002F0EE3" w:rsidRDefault="0091129D" w:rsidP="0091129D">
      <w:pPr>
        <w:jc w:val="center"/>
      </w:pPr>
    </w:p>
    <w:p w14:paraId="7D571C4E" w14:textId="77777777" w:rsidR="0091129D" w:rsidRPr="002F0EE3" w:rsidRDefault="0091129D" w:rsidP="0091129D">
      <w:pPr>
        <w:jc w:val="center"/>
      </w:pPr>
    </w:p>
    <w:p w14:paraId="11E5DDBE" w14:textId="77777777" w:rsidR="0091129D" w:rsidRPr="002F0EE3" w:rsidRDefault="0091129D" w:rsidP="0091129D">
      <w:pPr>
        <w:jc w:val="center"/>
      </w:pPr>
    </w:p>
    <w:p w14:paraId="3A7869D0" w14:textId="77777777" w:rsidR="0091129D" w:rsidRPr="002F0EE3" w:rsidRDefault="0091129D" w:rsidP="0091129D">
      <w:pPr>
        <w:jc w:val="center"/>
      </w:pPr>
    </w:p>
    <w:p w14:paraId="38801559" w14:textId="77777777" w:rsidR="0091129D" w:rsidRPr="002F0EE3" w:rsidRDefault="0091129D" w:rsidP="0091129D">
      <w:pPr>
        <w:jc w:val="center"/>
      </w:pPr>
    </w:p>
    <w:p w14:paraId="24BFC76F" w14:textId="77777777" w:rsidR="0091129D" w:rsidRPr="002F0EE3" w:rsidRDefault="0091129D" w:rsidP="0091129D">
      <w:pPr>
        <w:jc w:val="center"/>
      </w:pPr>
    </w:p>
    <w:p w14:paraId="6C52A777" w14:textId="77777777" w:rsidR="0091129D" w:rsidRPr="002F0EE3" w:rsidRDefault="0091129D" w:rsidP="0091129D">
      <w:pPr>
        <w:jc w:val="center"/>
      </w:pPr>
    </w:p>
    <w:p w14:paraId="39EF7EA3" w14:textId="77777777" w:rsidR="0091129D" w:rsidRPr="002F0EE3" w:rsidRDefault="0091129D" w:rsidP="0091129D">
      <w:pPr>
        <w:jc w:val="center"/>
      </w:pPr>
    </w:p>
    <w:p w14:paraId="33D9F72D" w14:textId="77777777" w:rsidR="0091129D" w:rsidRPr="002F0EE3" w:rsidRDefault="0091129D" w:rsidP="0091129D">
      <w:pPr>
        <w:jc w:val="center"/>
      </w:pPr>
    </w:p>
    <w:p w14:paraId="4BEC4985" w14:textId="77777777" w:rsidR="0091129D" w:rsidRPr="002F0EE3" w:rsidRDefault="0091129D" w:rsidP="0091129D">
      <w:pPr>
        <w:jc w:val="center"/>
      </w:pPr>
    </w:p>
    <w:p w14:paraId="42CD5ACB" w14:textId="77777777" w:rsidR="0091129D" w:rsidRPr="002F0EE3" w:rsidRDefault="0091129D" w:rsidP="0091129D">
      <w:pPr>
        <w:jc w:val="center"/>
      </w:pPr>
    </w:p>
    <w:p w14:paraId="5B20F1AA" w14:textId="77777777" w:rsidR="0091129D" w:rsidRPr="002F0EE3" w:rsidRDefault="0091129D" w:rsidP="0091129D">
      <w:pPr>
        <w:jc w:val="center"/>
      </w:pPr>
    </w:p>
    <w:p w14:paraId="19E3F162" w14:textId="77777777" w:rsidR="0091129D" w:rsidRPr="002F0EE3" w:rsidRDefault="0091129D" w:rsidP="0091129D">
      <w:pPr>
        <w:jc w:val="center"/>
      </w:pPr>
    </w:p>
    <w:p w14:paraId="58B00249" w14:textId="77777777" w:rsidR="0091129D" w:rsidRPr="002F0EE3" w:rsidRDefault="0091129D" w:rsidP="0091129D">
      <w:pPr>
        <w:jc w:val="center"/>
      </w:pPr>
    </w:p>
    <w:p w14:paraId="73548182" w14:textId="77777777" w:rsidR="0091129D" w:rsidRPr="002F0EE3" w:rsidRDefault="0091129D" w:rsidP="0091129D">
      <w:pPr>
        <w:jc w:val="center"/>
      </w:pPr>
    </w:p>
    <w:p w14:paraId="0BF95403" w14:textId="77777777" w:rsidR="0091129D" w:rsidRPr="002F0EE3" w:rsidRDefault="0091129D" w:rsidP="0091129D">
      <w:pPr>
        <w:jc w:val="center"/>
      </w:pPr>
    </w:p>
    <w:p w14:paraId="7718AD43" w14:textId="77777777" w:rsidR="0091129D" w:rsidRPr="002F0EE3" w:rsidRDefault="0091129D" w:rsidP="0091129D">
      <w:pPr>
        <w:jc w:val="center"/>
      </w:pPr>
    </w:p>
    <w:p w14:paraId="08BBC9B2" w14:textId="77777777" w:rsidR="0091129D" w:rsidRPr="002F0EE3" w:rsidRDefault="0091129D" w:rsidP="0091129D">
      <w:pPr>
        <w:jc w:val="center"/>
      </w:pPr>
    </w:p>
    <w:p w14:paraId="273569F0" w14:textId="77777777" w:rsidR="0091129D" w:rsidRPr="002F0EE3" w:rsidRDefault="0091129D" w:rsidP="0091129D">
      <w:pPr>
        <w:jc w:val="center"/>
      </w:pPr>
    </w:p>
    <w:p w14:paraId="30FC6248" w14:textId="77777777" w:rsidR="0091129D" w:rsidRPr="002F0EE3" w:rsidRDefault="0091129D" w:rsidP="0091129D">
      <w:pPr>
        <w:jc w:val="center"/>
      </w:pPr>
    </w:p>
    <w:p w14:paraId="5D5334B4" w14:textId="77777777" w:rsidR="0091129D" w:rsidRPr="002F0EE3" w:rsidRDefault="0091129D" w:rsidP="0091129D">
      <w:pPr>
        <w:jc w:val="center"/>
      </w:pPr>
    </w:p>
    <w:p w14:paraId="0E8986FF" w14:textId="77777777" w:rsidR="00231586" w:rsidRPr="002F0EE3" w:rsidRDefault="0082729B" w:rsidP="0091129D">
      <w:pPr>
        <w:jc w:val="center"/>
      </w:pPr>
      <w:r w:rsidRPr="002F0EE3">
        <w:t>© Crown copyright 2020.</w:t>
      </w:r>
    </w:p>
    <w:p w14:paraId="4D0CA6A6" w14:textId="77777777" w:rsidR="00231586" w:rsidRPr="002F0EE3" w:rsidRDefault="0082729B" w:rsidP="0091129D">
      <w:pPr>
        <w:jc w:val="center"/>
      </w:pPr>
      <w:r w:rsidRPr="002F0EE3">
        <w:t>Esta información puede reutilizarse (sin incluir los logotipos) sin cargo alguno en cualquier formato o medio, con arreglo a la licencia abierta del Gobierno. Para consultar dicha licencia:</w:t>
      </w:r>
    </w:p>
    <w:p w14:paraId="7962091D" w14:textId="77777777" w:rsidR="00231586" w:rsidRPr="002F0EE3" w:rsidRDefault="0082729B" w:rsidP="0091129D">
      <w:pPr>
        <w:jc w:val="center"/>
      </w:pPr>
      <w:r w:rsidRPr="002F0EE3">
        <w:t xml:space="preserve">visite el sitio web </w:t>
      </w:r>
      <w:r w:rsidRPr="002F0EE3">
        <w:rPr>
          <w:b/>
        </w:rPr>
        <w:t>www.nationalarchives.gov.uk/doc/open-government-licence/</w:t>
      </w:r>
      <w:r w:rsidRPr="002F0EE3">
        <w:t xml:space="preserve">, escriba a </w:t>
      </w:r>
      <w:r w:rsidRPr="002F0EE3">
        <w:rPr>
          <w:b/>
        </w:rPr>
        <w:t>Information Policy Team, The National Archives, Kew, Londres TW9 4DU</w:t>
      </w:r>
      <w:r w:rsidRPr="002F0EE3">
        <w:t xml:space="preserve"> o envíe un correo electrónico a </w:t>
      </w:r>
      <w:r w:rsidRPr="002F0EE3">
        <w:rPr>
          <w:b/>
        </w:rPr>
        <w:t>psi@nationalarchives.gsi.gov.uk</w:t>
      </w:r>
      <w:r w:rsidRPr="002F0EE3">
        <w:t>.</w:t>
      </w:r>
    </w:p>
    <w:p w14:paraId="6651843B" w14:textId="77777777" w:rsidR="0091129D" w:rsidRPr="002F0EE3" w:rsidRDefault="0091129D" w:rsidP="0091129D">
      <w:pPr>
        <w:pageBreakBefore/>
        <w:rPr>
          <w:sz w:val="40"/>
          <w:szCs w:val="40"/>
        </w:rPr>
      </w:pPr>
      <w:r w:rsidRPr="002F0EE3">
        <w:rPr>
          <w:sz w:val="40"/>
        </w:rPr>
        <w:t>CD 534</w:t>
      </w:r>
    </w:p>
    <w:p w14:paraId="118553F4" w14:textId="77777777" w:rsidR="0091129D" w:rsidRPr="002F0EE3" w:rsidRDefault="0082729B" w:rsidP="007407D4">
      <w:pPr>
        <w:rPr>
          <w:sz w:val="40"/>
          <w:szCs w:val="40"/>
        </w:rPr>
      </w:pPr>
      <w:r w:rsidRPr="002F0EE3">
        <w:rPr>
          <w:sz w:val="40"/>
        </w:rPr>
        <w:t>Anexo de aplicación nacional de Escocia para CD 534 Tapas de depósitos y sumideros para servicios y drenaje de carreteras</w:t>
      </w:r>
    </w:p>
    <w:p w14:paraId="4104A36F" w14:textId="42F273BC" w:rsidR="00231586" w:rsidRPr="002F0EE3" w:rsidRDefault="0082729B" w:rsidP="007407D4">
      <w:r w:rsidRPr="002F0EE3">
        <w:t xml:space="preserve">(antiguo HA 104/09, IAN 196/17, IAN 197/17) </w:t>
      </w:r>
    </w:p>
    <w:p w14:paraId="69FEA393" w14:textId="77777777" w:rsidR="00231586" w:rsidRPr="002F0EE3" w:rsidRDefault="0082729B" w:rsidP="007407D4">
      <w:pPr>
        <w:rPr>
          <w:b/>
          <w:bCs/>
        </w:rPr>
      </w:pPr>
      <w:r w:rsidRPr="002F0EE3">
        <w:rPr>
          <w:b/>
        </w:rPr>
        <w:t>Resumen</w:t>
      </w:r>
    </w:p>
    <w:p w14:paraId="68D63ED4" w14:textId="77777777" w:rsidR="00231586" w:rsidRPr="002F0EE3" w:rsidRDefault="0082729B" w:rsidP="007407D4">
      <w:r w:rsidRPr="002F0EE3">
        <w:t>No hay requisitos específicos para Transport Scotland, complementarios o alternativos a los que figuran en CD 534.</w:t>
      </w:r>
    </w:p>
    <w:p w14:paraId="6A4EC0B2" w14:textId="77777777" w:rsidR="0091129D" w:rsidRPr="002F0EE3" w:rsidRDefault="0091129D" w:rsidP="007407D4"/>
    <w:p w14:paraId="6A435EDA" w14:textId="77777777" w:rsidR="0091129D" w:rsidRPr="002F0EE3" w:rsidRDefault="0091129D" w:rsidP="007407D4"/>
    <w:p w14:paraId="359ACA81" w14:textId="77777777" w:rsidR="0091129D" w:rsidRPr="002F0EE3" w:rsidRDefault="0091129D" w:rsidP="007407D4"/>
    <w:p w14:paraId="0E5793A1" w14:textId="77777777" w:rsidR="0091129D" w:rsidRPr="002F0EE3" w:rsidRDefault="0091129D" w:rsidP="007407D4"/>
    <w:p w14:paraId="50C73605" w14:textId="77777777" w:rsidR="0091129D" w:rsidRPr="002F0EE3" w:rsidRDefault="0091129D" w:rsidP="007407D4"/>
    <w:p w14:paraId="05702FF1" w14:textId="77777777" w:rsidR="0091129D" w:rsidRPr="002F0EE3" w:rsidRDefault="0091129D" w:rsidP="007407D4"/>
    <w:p w14:paraId="7E353197" w14:textId="77777777" w:rsidR="00231586" w:rsidRPr="002F0EE3" w:rsidRDefault="0082729B" w:rsidP="007407D4">
      <w:pPr>
        <w:rPr>
          <w:b/>
          <w:bCs/>
        </w:rPr>
      </w:pPr>
      <w:r w:rsidRPr="002F0EE3">
        <w:rPr>
          <w:b/>
        </w:rPr>
        <w:t>Comentarios y consultas</w:t>
      </w:r>
    </w:p>
    <w:p w14:paraId="2AEB7D3D" w14:textId="2A29F02D" w:rsidR="00BD0419" w:rsidRPr="002F0EE3" w:rsidRDefault="0082729B" w:rsidP="007407D4">
      <w:r w:rsidRPr="002F0EE3">
        <w:t>Se anima a los usuarios del presente documento a plantear dudas y dejar comentarios sobre el contenido y la utilización de este documento al equipo especializado de Transport Scotland. La dirección de correo electrónico para las dudas y los comentarios es: TSStandardsBranch@transport.gov.scot</w:t>
      </w:r>
    </w:p>
    <w:p w14:paraId="27304E5A" w14:textId="77777777" w:rsidR="00231586" w:rsidRPr="002F0EE3" w:rsidRDefault="0082729B" w:rsidP="007407D4">
      <w:pPr>
        <w:rPr>
          <w:b/>
          <w:bCs/>
        </w:rPr>
      </w:pPr>
      <w:r w:rsidRPr="002F0EE3">
        <w:rPr>
          <w:b/>
        </w:rPr>
        <w:t>Este es un documento controlado.</w:t>
      </w:r>
    </w:p>
    <w:p w14:paraId="1FF12DD6" w14:textId="77777777" w:rsidR="0091129D" w:rsidRPr="002F0EE3" w:rsidRDefault="0091129D" w:rsidP="0091129D">
      <w:pPr>
        <w:pageBreakBefore/>
        <w:jc w:val="center"/>
      </w:pPr>
    </w:p>
    <w:p w14:paraId="02782DE2" w14:textId="77777777" w:rsidR="0091129D" w:rsidRPr="002F0EE3" w:rsidRDefault="0091129D" w:rsidP="0091129D">
      <w:pPr>
        <w:jc w:val="center"/>
      </w:pPr>
    </w:p>
    <w:p w14:paraId="5784E0FC" w14:textId="77777777" w:rsidR="0091129D" w:rsidRPr="002F0EE3" w:rsidRDefault="0091129D" w:rsidP="0091129D">
      <w:pPr>
        <w:jc w:val="center"/>
      </w:pPr>
    </w:p>
    <w:p w14:paraId="1FB811FF" w14:textId="77777777" w:rsidR="0091129D" w:rsidRPr="002F0EE3" w:rsidRDefault="0091129D" w:rsidP="0091129D">
      <w:pPr>
        <w:jc w:val="center"/>
      </w:pPr>
    </w:p>
    <w:p w14:paraId="73972412" w14:textId="77777777" w:rsidR="0091129D" w:rsidRPr="002F0EE3" w:rsidRDefault="0091129D" w:rsidP="0091129D">
      <w:pPr>
        <w:jc w:val="center"/>
      </w:pPr>
    </w:p>
    <w:p w14:paraId="084FCED6" w14:textId="77777777" w:rsidR="0091129D" w:rsidRPr="002F0EE3" w:rsidRDefault="0091129D" w:rsidP="0091129D">
      <w:pPr>
        <w:jc w:val="center"/>
      </w:pPr>
    </w:p>
    <w:p w14:paraId="78BEAACD" w14:textId="77777777" w:rsidR="0091129D" w:rsidRPr="002F0EE3" w:rsidRDefault="0091129D" w:rsidP="0091129D">
      <w:pPr>
        <w:jc w:val="center"/>
      </w:pPr>
    </w:p>
    <w:p w14:paraId="45AB6A1E" w14:textId="77777777" w:rsidR="0091129D" w:rsidRPr="002F0EE3" w:rsidRDefault="0091129D" w:rsidP="0091129D">
      <w:pPr>
        <w:jc w:val="center"/>
      </w:pPr>
    </w:p>
    <w:p w14:paraId="5C12CD40" w14:textId="77777777" w:rsidR="0091129D" w:rsidRPr="002F0EE3" w:rsidRDefault="0091129D" w:rsidP="0091129D">
      <w:pPr>
        <w:jc w:val="center"/>
      </w:pPr>
    </w:p>
    <w:p w14:paraId="5858ED9C" w14:textId="77777777" w:rsidR="0091129D" w:rsidRPr="002F0EE3" w:rsidRDefault="0091129D" w:rsidP="0091129D">
      <w:pPr>
        <w:jc w:val="center"/>
      </w:pPr>
    </w:p>
    <w:p w14:paraId="66A05FF2" w14:textId="77777777" w:rsidR="0091129D" w:rsidRPr="002F0EE3" w:rsidRDefault="0091129D" w:rsidP="0091129D">
      <w:pPr>
        <w:jc w:val="center"/>
      </w:pPr>
    </w:p>
    <w:p w14:paraId="318DC4CB" w14:textId="77777777" w:rsidR="0091129D" w:rsidRPr="002F0EE3" w:rsidRDefault="0091129D" w:rsidP="0091129D">
      <w:pPr>
        <w:jc w:val="center"/>
      </w:pPr>
    </w:p>
    <w:p w14:paraId="26C37F95" w14:textId="77777777" w:rsidR="0091129D" w:rsidRPr="002F0EE3" w:rsidRDefault="0091129D" w:rsidP="0091129D">
      <w:pPr>
        <w:jc w:val="center"/>
      </w:pPr>
    </w:p>
    <w:p w14:paraId="350236D2" w14:textId="77777777" w:rsidR="0091129D" w:rsidRPr="002F0EE3" w:rsidRDefault="0091129D" w:rsidP="0091129D">
      <w:pPr>
        <w:jc w:val="center"/>
      </w:pPr>
    </w:p>
    <w:p w14:paraId="30FDD8E7" w14:textId="77777777" w:rsidR="0091129D" w:rsidRPr="002F0EE3" w:rsidRDefault="0091129D" w:rsidP="0091129D">
      <w:pPr>
        <w:jc w:val="center"/>
      </w:pPr>
    </w:p>
    <w:p w14:paraId="1576DBC1" w14:textId="77777777" w:rsidR="0091129D" w:rsidRPr="002F0EE3" w:rsidRDefault="0091129D" w:rsidP="0091129D">
      <w:pPr>
        <w:jc w:val="center"/>
      </w:pPr>
    </w:p>
    <w:p w14:paraId="0BD939AF" w14:textId="77777777" w:rsidR="0091129D" w:rsidRPr="002F0EE3" w:rsidRDefault="0091129D" w:rsidP="0091129D">
      <w:pPr>
        <w:jc w:val="center"/>
      </w:pPr>
    </w:p>
    <w:p w14:paraId="27869564" w14:textId="77777777" w:rsidR="0091129D" w:rsidRPr="002F0EE3" w:rsidRDefault="0091129D" w:rsidP="0091129D">
      <w:pPr>
        <w:jc w:val="center"/>
      </w:pPr>
    </w:p>
    <w:p w14:paraId="711DD43F" w14:textId="77777777" w:rsidR="0091129D" w:rsidRPr="002F0EE3" w:rsidRDefault="0091129D" w:rsidP="0091129D">
      <w:pPr>
        <w:jc w:val="center"/>
      </w:pPr>
    </w:p>
    <w:p w14:paraId="20647A90" w14:textId="77777777" w:rsidR="0091129D" w:rsidRPr="002F0EE3" w:rsidRDefault="0091129D" w:rsidP="0091129D">
      <w:pPr>
        <w:jc w:val="center"/>
      </w:pPr>
    </w:p>
    <w:p w14:paraId="49BE9B96" w14:textId="77777777" w:rsidR="0091129D" w:rsidRPr="002F0EE3" w:rsidRDefault="0091129D" w:rsidP="0091129D">
      <w:pPr>
        <w:jc w:val="center"/>
      </w:pPr>
    </w:p>
    <w:p w14:paraId="3063A8F4" w14:textId="77777777" w:rsidR="0091129D" w:rsidRPr="002F0EE3" w:rsidRDefault="0091129D" w:rsidP="0091129D">
      <w:pPr>
        <w:jc w:val="center"/>
      </w:pPr>
    </w:p>
    <w:p w14:paraId="7A555BD9" w14:textId="77777777" w:rsidR="0091129D" w:rsidRPr="002F0EE3" w:rsidRDefault="0091129D" w:rsidP="0091129D">
      <w:pPr>
        <w:jc w:val="center"/>
      </w:pPr>
    </w:p>
    <w:p w14:paraId="37B1916A" w14:textId="77777777" w:rsidR="0091129D" w:rsidRPr="002F0EE3" w:rsidRDefault="0091129D" w:rsidP="0091129D">
      <w:pPr>
        <w:jc w:val="center"/>
      </w:pPr>
    </w:p>
    <w:p w14:paraId="32245378" w14:textId="77777777" w:rsidR="0091129D" w:rsidRPr="002F0EE3" w:rsidRDefault="0091129D" w:rsidP="0091129D">
      <w:pPr>
        <w:jc w:val="center"/>
      </w:pPr>
      <w:r w:rsidRPr="002F0EE3">
        <w:t>© Crown copyright 2020.</w:t>
      </w:r>
    </w:p>
    <w:p w14:paraId="36A2F2C5" w14:textId="77777777" w:rsidR="0091129D" w:rsidRPr="002F0EE3" w:rsidRDefault="0091129D" w:rsidP="0091129D">
      <w:pPr>
        <w:jc w:val="center"/>
      </w:pPr>
      <w:r w:rsidRPr="002F0EE3">
        <w:t>Esta información puede reutilizarse (sin incluir los logotipos) sin cargo alguno en cualquier formato o medio, con arreglo a la licencia abierta del Gobierno. Para consultar dicha licencia:</w:t>
      </w:r>
    </w:p>
    <w:p w14:paraId="244830AE" w14:textId="77777777" w:rsidR="0091129D" w:rsidRPr="002F0EE3" w:rsidRDefault="0091129D" w:rsidP="0091129D">
      <w:pPr>
        <w:jc w:val="center"/>
      </w:pPr>
      <w:r w:rsidRPr="002F0EE3">
        <w:t xml:space="preserve">visite el sitio web </w:t>
      </w:r>
      <w:r w:rsidRPr="002F0EE3">
        <w:rPr>
          <w:b/>
        </w:rPr>
        <w:t>www.nationalarchives.gov.uk/doc/open-government-licence/</w:t>
      </w:r>
      <w:r w:rsidRPr="002F0EE3">
        <w:t xml:space="preserve">, escriba a </w:t>
      </w:r>
      <w:r w:rsidRPr="002F0EE3">
        <w:rPr>
          <w:b/>
        </w:rPr>
        <w:t>Information Policy Team, The National Archives, Kew, Londres TW9 4DU</w:t>
      </w:r>
      <w:r w:rsidRPr="002F0EE3">
        <w:t xml:space="preserve"> o envíe un correo electrónico a </w:t>
      </w:r>
      <w:r w:rsidRPr="002F0EE3">
        <w:rPr>
          <w:b/>
        </w:rPr>
        <w:t>psi@nationalarchives.gsi.gov.uk</w:t>
      </w:r>
      <w:r w:rsidRPr="002F0EE3">
        <w:t>.</w:t>
      </w:r>
    </w:p>
    <w:p w14:paraId="4B30FD95" w14:textId="77777777" w:rsidR="0091129D" w:rsidRPr="002F0EE3" w:rsidRDefault="0091129D" w:rsidP="0091129D">
      <w:pPr>
        <w:pageBreakBefore/>
        <w:rPr>
          <w:sz w:val="40"/>
          <w:szCs w:val="40"/>
        </w:rPr>
      </w:pPr>
      <w:r w:rsidRPr="002F0EE3">
        <w:rPr>
          <w:sz w:val="40"/>
        </w:rPr>
        <w:t>CD 534</w:t>
      </w:r>
    </w:p>
    <w:p w14:paraId="569B779C" w14:textId="77777777" w:rsidR="0091129D" w:rsidRPr="002F0EE3" w:rsidRDefault="0082729B" w:rsidP="007407D4">
      <w:pPr>
        <w:rPr>
          <w:sz w:val="40"/>
          <w:szCs w:val="40"/>
        </w:rPr>
      </w:pPr>
      <w:r w:rsidRPr="002F0EE3">
        <w:rPr>
          <w:sz w:val="40"/>
        </w:rPr>
        <w:t>Anexo de aplicación nacional de Gales para CD 534 Tapas de depósitos y sumideros para servicios y drenaje de carreteras</w:t>
      </w:r>
    </w:p>
    <w:p w14:paraId="033A8739" w14:textId="254887B9" w:rsidR="00231586" w:rsidRPr="002F0EE3" w:rsidRDefault="0082729B" w:rsidP="007407D4">
      <w:r w:rsidRPr="002F0EE3">
        <w:t xml:space="preserve">(antiguo HA 104/09, IAN 196/17, IAN 197/17) </w:t>
      </w:r>
    </w:p>
    <w:p w14:paraId="776255D8" w14:textId="77777777" w:rsidR="00231586" w:rsidRPr="002F0EE3" w:rsidRDefault="0082729B" w:rsidP="007407D4">
      <w:pPr>
        <w:rPr>
          <w:b/>
          <w:bCs/>
        </w:rPr>
      </w:pPr>
      <w:r w:rsidRPr="002F0EE3">
        <w:rPr>
          <w:b/>
        </w:rPr>
        <w:t>Resumen</w:t>
      </w:r>
    </w:p>
    <w:p w14:paraId="12842BE5" w14:textId="77777777" w:rsidR="00231586" w:rsidRPr="002F0EE3" w:rsidRDefault="0082729B" w:rsidP="007407D4">
      <w:r w:rsidRPr="002F0EE3">
        <w:t>No hay requisitos específicos para el Gobierno de Gales, complementarios o alternativos a los que figuran en CD 534.</w:t>
      </w:r>
    </w:p>
    <w:p w14:paraId="6A8B804C" w14:textId="77777777" w:rsidR="0091129D" w:rsidRPr="002F0EE3" w:rsidRDefault="0091129D" w:rsidP="007407D4"/>
    <w:p w14:paraId="04C5D761" w14:textId="77777777" w:rsidR="0091129D" w:rsidRPr="002F0EE3" w:rsidRDefault="0091129D" w:rsidP="007407D4"/>
    <w:p w14:paraId="34E449B4" w14:textId="77777777" w:rsidR="0091129D" w:rsidRPr="002F0EE3" w:rsidRDefault="0091129D" w:rsidP="007407D4"/>
    <w:p w14:paraId="34EC5156" w14:textId="77777777" w:rsidR="0091129D" w:rsidRPr="002F0EE3" w:rsidRDefault="0091129D" w:rsidP="007407D4"/>
    <w:p w14:paraId="68F92D00" w14:textId="77777777" w:rsidR="0091129D" w:rsidRPr="002F0EE3" w:rsidRDefault="0091129D" w:rsidP="007407D4"/>
    <w:p w14:paraId="3A405442" w14:textId="77777777" w:rsidR="0091129D" w:rsidRPr="002F0EE3" w:rsidRDefault="0091129D" w:rsidP="007407D4"/>
    <w:p w14:paraId="7394B44C" w14:textId="77777777" w:rsidR="00231586" w:rsidRPr="002F0EE3" w:rsidRDefault="0082729B" w:rsidP="007407D4">
      <w:pPr>
        <w:rPr>
          <w:b/>
          <w:bCs/>
        </w:rPr>
      </w:pPr>
      <w:r w:rsidRPr="002F0EE3">
        <w:rPr>
          <w:b/>
        </w:rPr>
        <w:t>Comentarios y consultas</w:t>
      </w:r>
    </w:p>
    <w:p w14:paraId="670320DC" w14:textId="5B4EEC3B" w:rsidR="00BD0419" w:rsidRPr="002F0EE3" w:rsidRDefault="0082729B" w:rsidP="007407D4">
      <w:r w:rsidRPr="002F0EE3">
        <w:t>Se anima a los usuarios del presente documento a plantear dudas y dejar comentarios sobre el contenido y la utilización de este documento al equipo especializado del Gobierno de Gales. La dirección de correo electrónico para las dudas y los comentarios es: Standards_Feedback_and_Enquiries@gov.wales</w:t>
      </w:r>
    </w:p>
    <w:p w14:paraId="7E1092F3" w14:textId="77777777" w:rsidR="00231586" w:rsidRPr="002F0EE3" w:rsidRDefault="0082729B" w:rsidP="007407D4">
      <w:pPr>
        <w:rPr>
          <w:b/>
          <w:bCs/>
        </w:rPr>
      </w:pPr>
      <w:r w:rsidRPr="002F0EE3">
        <w:rPr>
          <w:b/>
        </w:rPr>
        <w:t>Este es un documento controlado.</w:t>
      </w:r>
    </w:p>
    <w:p w14:paraId="5CE27E38" w14:textId="77777777" w:rsidR="00231586" w:rsidRPr="002F0EE3" w:rsidRDefault="00231586" w:rsidP="0091129D">
      <w:pPr>
        <w:pageBreakBefore/>
        <w:jc w:val="center"/>
      </w:pPr>
    </w:p>
    <w:p w14:paraId="10B3F5C0" w14:textId="77777777" w:rsidR="0091129D" w:rsidRPr="002F0EE3" w:rsidRDefault="0091129D" w:rsidP="0091129D">
      <w:pPr>
        <w:jc w:val="center"/>
      </w:pPr>
    </w:p>
    <w:p w14:paraId="62E77F78" w14:textId="77777777" w:rsidR="0091129D" w:rsidRPr="002F0EE3" w:rsidRDefault="0091129D" w:rsidP="0091129D">
      <w:pPr>
        <w:jc w:val="center"/>
      </w:pPr>
    </w:p>
    <w:p w14:paraId="66120BB0" w14:textId="77777777" w:rsidR="0091129D" w:rsidRPr="002F0EE3" w:rsidRDefault="0091129D" w:rsidP="0091129D">
      <w:pPr>
        <w:jc w:val="center"/>
      </w:pPr>
    </w:p>
    <w:p w14:paraId="5D574AC2" w14:textId="77777777" w:rsidR="0091129D" w:rsidRPr="002F0EE3" w:rsidRDefault="0091129D" w:rsidP="0091129D">
      <w:pPr>
        <w:jc w:val="center"/>
      </w:pPr>
    </w:p>
    <w:p w14:paraId="78DBDCEC" w14:textId="77777777" w:rsidR="0091129D" w:rsidRPr="002F0EE3" w:rsidRDefault="0091129D" w:rsidP="0091129D">
      <w:pPr>
        <w:jc w:val="center"/>
      </w:pPr>
    </w:p>
    <w:p w14:paraId="25B751E2" w14:textId="77777777" w:rsidR="0091129D" w:rsidRPr="002F0EE3" w:rsidRDefault="0091129D" w:rsidP="0091129D">
      <w:pPr>
        <w:jc w:val="center"/>
      </w:pPr>
    </w:p>
    <w:p w14:paraId="04CD003B" w14:textId="77777777" w:rsidR="0091129D" w:rsidRPr="002F0EE3" w:rsidRDefault="0091129D" w:rsidP="0091129D">
      <w:pPr>
        <w:jc w:val="center"/>
      </w:pPr>
    </w:p>
    <w:p w14:paraId="478E8298" w14:textId="77777777" w:rsidR="0091129D" w:rsidRPr="002F0EE3" w:rsidRDefault="0091129D" w:rsidP="0091129D">
      <w:pPr>
        <w:jc w:val="center"/>
      </w:pPr>
    </w:p>
    <w:p w14:paraId="4134CCAC" w14:textId="77777777" w:rsidR="0091129D" w:rsidRPr="002F0EE3" w:rsidRDefault="0091129D" w:rsidP="0091129D">
      <w:pPr>
        <w:jc w:val="center"/>
      </w:pPr>
    </w:p>
    <w:p w14:paraId="219CB8F4" w14:textId="77777777" w:rsidR="0091129D" w:rsidRPr="002F0EE3" w:rsidRDefault="0091129D" w:rsidP="0091129D">
      <w:pPr>
        <w:jc w:val="center"/>
      </w:pPr>
    </w:p>
    <w:p w14:paraId="147033A6" w14:textId="77777777" w:rsidR="0091129D" w:rsidRPr="002F0EE3" w:rsidRDefault="0091129D" w:rsidP="0091129D">
      <w:pPr>
        <w:jc w:val="center"/>
      </w:pPr>
    </w:p>
    <w:p w14:paraId="2F7A13F7" w14:textId="77777777" w:rsidR="0091129D" w:rsidRPr="002F0EE3" w:rsidRDefault="0091129D" w:rsidP="0091129D">
      <w:pPr>
        <w:jc w:val="center"/>
      </w:pPr>
    </w:p>
    <w:p w14:paraId="795CA818" w14:textId="77777777" w:rsidR="0091129D" w:rsidRPr="002F0EE3" w:rsidRDefault="0091129D" w:rsidP="0091129D">
      <w:pPr>
        <w:jc w:val="center"/>
      </w:pPr>
    </w:p>
    <w:p w14:paraId="72A997DA" w14:textId="77777777" w:rsidR="0091129D" w:rsidRPr="002F0EE3" w:rsidRDefault="0091129D" w:rsidP="0091129D">
      <w:pPr>
        <w:jc w:val="center"/>
      </w:pPr>
    </w:p>
    <w:p w14:paraId="6F337F34" w14:textId="77777777" w:rsidR="0091129D" w:rsidRPr="002F0EE3" w:rsidRDefault="0091129D" w:rsidP="0091129D">
      <w:pPr>
        <w:jc w:val="center"/>
      </w:pPr>
    </w:p>
    <w:p w14:paraId="25A3D538" w14:textId="77777777" w:rsidR="0091129D" w:rsidRPr="002F0EE3" w:rsidRDefault="0091129D" w:rsidP="0091129D">
      <w:pPr>
        <w:jc w:val="center"/>
      </w:pPr>
    </w:p>
    <w:p w14:paraId="19378B68" w14:textId="77777777" w:rsidR="0091129D" w:rsidRPr="002F0EE3" w:rsidRDefault="0091129D" w:rsidP="0091129D">
      <w:pPr>
        <w:jc w:val="center"/>
      </w:pPr>
    </w:p>
    <w:p w14:paraId="02EBC1E4" w14:textId="77777777" w:rsidR="0091129D" w:rsidRPr="002F0EE3" w:rsidRDefault="0091129D" w:rsidP="0091129D">
      <w:pPr>
        <w:jc w:val="center"/>
      </w:pPr>
    </w:p>
    <w:p w14:paraId="297A08A5" w14:textId="77777777" w:rsidR="0091129D" w:rsidRPr="002F0EE3" w:rsidRDefault="0091129D" w:rsidP="0091129D">
      <w:pPr>
        <w:jc w:val="center"/>
      </w:pPr>
    </w:p>
    <w:p w14:paraId="49AA59FD" w14:textId="77777777" w:rsidR="0091129D" w:rsidRPr="002F0EE3" w:rsidRDefault="0091129D" w:rsidP="0091129D">
      <w:pPr>
        <w:jc w:val="center"/>
      </w:pPr>
    </w:p>
    <w:p w14:paraId="4C0D977E" w14:textId="77777777" w:rsidR="0091129D" w:rsidRPr="002F0EE3" w:rsidRDefault="0091129D" w:rsidP="0091129D">
      <w:pPr>
        <w:jc w:val="center"/>
      </w:pPr>
    </w:p>
    <w:p w14:paraId="407997D0" w14:textId="77777777" w:rsidR="0091129D" w:rsidRPr="002F0EE3" w:rsidRDefault="0091129D" w:rsidP="0091129D">
      <w:pPr>
        <w:jc w:val="center"/>
      </w:pPr>
    </w:p>
    <w:p w14:paraId="13C1D4A4" w14:textId="77777777" w:rsidR="0091129D" w:rsidRPr="002F0EE3" w:rsidRDefault="0091129D" w:rsidP="0091129D">
      <w:pPr>
        <w:jc w:val="center"/>
      </w:pPr>
    </w:p>
    <w:p w14:paraId="7811139D" w14:textId="77777777" w:rsidR="00231586" w:rsidRPr="002F0EE3" w:rsidRDefault="0082729B" w:rsidP="0091129D">
      <w:pPr>
        <w:jc w:val="center"/>
      </w:pPr>
      <w:r w:rsidRPr="002F0EE3">
        <w:t>© Crown copyright 2020.</w:t>
      </w:r>
    </w:p>
    <w:p w14:paraId="422A761B" w14:textId="77777777" w:rsidR="00231586" w:rsidRPr="002F0EE3" w:rsidRDefault="0082729B" w:rsidP="0091129D">
      <w:pPr>
        <w:jc w:val="center"/>
      </w:pPr>
      <w:r w:rsidRPr="002F0EE3">
        <w:t>Esta información puede reutilizarse (sin incluir los logotipos) sin cargo alguno en cualquier formato o medio, con arreglo a la licencia abierta del Gobierno. Para consultar dicha licencia:</w:t>
      </w:r>
    </w:p>
    <w:p w14:paraId="7201BE40" w14:textId="77777777" w:rsidR="00231586" w:rsidRDefault="0082729B" w:rsidP="0091129D">
      <w:pPr>
        <w:jc w:val="center"/>
      </w:pPr>
      <w:r w:rsidRPr="002F0EE3">
        <w:t xml:space="preserve">visite el sitio web </w:t>
      </w:r>
      <w:r w:rsidRPr="002F0EE3">
        <w:rPr>
          <w:b/>
        </w:rPr>
        <w:t>www.nationalarchives.gov.uk/doc/open-government-licence/</w:t>
      </w:r>
      <w:r w:rsidRPr="002F0EE3">
        <w:t xml:space="preserve">, escriba a </w:t>
      </w:r>
      <w:r w:rsidRPr="002F0EE3">
        <w:rPr>
          <w:b/>
        </w:rPr>
        <w:t>Information Policy Team, The National Archives, Kew, Londres TW9 4DU</w:t>
      </w:r>
      <w:r w:rsidRPr="002F0EE3">
        <w:t xml:space="preserve"> o envíe un correo electrónico a </w:t>
      </w:r>
      <w:r w:rsidRPr="002F0EE3">
        <w:rPr>
          <w:b/>
        </w:rPr>
        <w:t>psi@nationalarchives.gsi.gov.uk</w:t>
      </w:r>
      <w:r w:rsidRPr="002F0EE3">
        <w:t>.</w:t>
      </w:r>
      <w:bookmarkEnd w:id="0"/>
    </w:p>
    <w:sectPr w:rsidR="002315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8CF23" w14:textId="77777777" w:rsidR="00121687" w:rsidRDefault="00121687" w:rsidP="0028595D">
      <w:pPr>
        <w:spacing w:after="0" w:line="240" w:lineRule="auto"/>
      </w:pPr>
      <w:r>
        <w:separator/>
      </w:r>
    </w:p>
  </w:endnote>
  <w:endnote w:type="continuationSeparator" w:id="0">
    <w:p w14:paraId="21C3E41A" w14:textId="77777777" w:rsidR="00121687" w:rsidRDefault="00121687" w:rsidP="0028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20604" w14:textId="77777777" w:rsidR="00121687" w:rsidRDefault="00121687" w:rsidP="0028595D">
      <w:pPr>
        <w:spacing w:after="0" w:line="240" w:lineRule="auto"/>
      </w:pPr>
      <w:r>
        <w:separator/>
      </w:r>
    </w:p>
  </w:footnote>
  <w:footnote w:type="continuationSeparator" w:id="0">
    <w:p w14:paraId="5F9968AF" w14:textId="77777777" w:rsidR="00121687" w:rsidRDefault="00121687" w:rsidP="00285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68C"/>
    <w:multiLevelType w:val="hybridMultilevel"/>
    <w:tmpl w:val="6FCC5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383"/>
    <w:multiLevelType w:val="hybridMultilevel"/>
    <w:tmpl w:val="7ABAC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11137"/>
    <w:multiLevelType w:val="hybridMultilevel"/>
    <w:tmpl w:val="5106EB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298"/>
    <w:multiLevelType w:val="hybridMultilevel"/>
    <w:tmpl w:val="4DAE7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81F55"/>
    <w:multiLevelType w:val="hybridMultilevel"/>
    <w:tmpl w:val="695A15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65303"/>
    <w:multiLevelType w:val="hybridMultilevel"/>
    <w:tmpl w:val="AFB68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5D739C"/>
    <w:multiLevelType w:val="hybridMultilevel"/>
    <w:tmpl w:val="ADE24C76"/>
    <w:lvl w:ilvl="0" w:tplc="08090017">
      <w:start w:val="1"/>
      <w:numFmt w:val="lowerLetter"/>
      <w:lvlText w:val="%1)"/>
      <w:lvlJc w:val="left"/>
      <w:pPr>
        <w:ind w:left="720" w:hanging="360"/>
      </w:pPr>
      <w:rPr>
        <w:rFonts w:hint="default"/>
      </w:rPr>
    </w:lvl>
    <w:lvl w:ilvl="1" w:tplc="A39AE2B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B06FCC"/>
    <w:multiLevelType w:val="hybridMultilevel"/>
    <w:tmpl w:val="780494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9B"/>
    <w:rsid w:val="00016A28"/>
    <w:rsid w:val="000A6E91"/>
    <w:rsid w:val="00103C02"/>
    <w:rsid w:val="00121687"/>
    <w:rsid w:val="00231586"/>
    <w:rsid w:val="0028595D"/>
    <w:rsid w:val="002F0E9A"/>
    <w:rsid w:val="002F0EE3"/>
    <w:rsid w:val="0034259C"/>
    <w:rsid w:val="003B4851"/>
    <w:rsid w:val="00427E61"/>
    <w:rsid w:val="00640F09"/>
    <w:rsid w:val="00702314"/>
    <w:rsid w:val="007407D4"/>
    <w:rsid w:val="0082729B"/>
    <w:rsid w:val="008F7627"/>
    <w:rsid w:val="0091129D"/>
    <w:rsid w:val="009E754F"/>
    <w:rsid w:val="00BA4FB9"/>
    <w:rsid w:val="00BD0419"/>
    <w:rsid w:val="00C22948"/>
    <w:rsid w:val="00CA30E5"/>
    <w:rsid w:val="00E347FC"/>
    <w:rsid w:val="00E44BC0"/>
    <w:rsid w:val="00F6254B"/>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95773"/>
  <w15:chartTrackingRefBased/>
  <w15:docId w15:val="{96797E35-71D4-45E7-9462-E5CE511D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19"/>
    <w:pPr>
      <w:ind w:left="720"/>
      <w:contextualSpacing/>
    </w:pPr>
  </w:style>
  <w:style w:type="character" w:styleId="Hyperlink">
    <w:name w:val="Hyperlink"/>
    <w:basedOn w:val="DefaultParagraphFont"/>
    <w:uiPriority w:val="99"/>
    <w:unhideWhenUsed/>
    <w:rsid w:val="00BD0419"/>
    <w:rPr>
      <w:color w:val="0563C1" w:themeColor="hyperlink"/>
      <w:u w:val="single"/>
    </w:rPr>
  </w:style>
  <w:style w:type="character" w:customStyle="1" w:styleId="UnresolvedMention1">
    <w:name w:val="Unresolved Mention1"/>
    <w:basedOn w:val="DefaultParagraphFont"/>
    <w:uiPriority w:val="99"/>
    <w:semiHidden/>
    <w:unhideWhenUsed/>
    <w:rsid w:val="00BD0419"/>
    <w:rPr>
      <w:color w:val="808080"/>
      <w:shd w:val="clear" w:color="auto" w:fill="E6E6E6"/>
    </w:rPr>
  </w:style>
  <w:style w:type="table" w:styleId="TableGrid">
    <w:name w:val="Table Grid"/>
    <w:basedOn w:val="TableNormal"/>
    <w:uiPriority w:val="39"/>
    <w:rsid w:val="0074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54F"/>
  </w:style>
  <w:style w:type="paragraph" w:styleId="Footer">
    <w:name w:val="footer"/>
    <w:basedOn w:val="Normal"/>
    <w:link w:val="FooterChar"/>
    <w:uiPriority w:val="99"/>
    <w:unhideWhenUsed/>
    <w:rsid w:val="009E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E9773-9ED9-4E79-B471-4A0265803A45}">
  <ds:schemaRefs>
    <ds:schemaRef ds:uri="http://schemas.microsoft.com/sharepoint/v3/contenttype/forms"/>
  </ds:schemaRefs>
</ds:datastoreItem>
</file>

<file path=customXml/itemProps2.xml><?xml version="1.0" encoding="utf-8"?>
<ds:datastoreItem xmlns:ds="http://schemas.openxmlformats.org/officeDocument/2006/customXml" ds:itemID="{E1CCF7EE-7149-412A-A1A2-06132014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C8293-735B-4213-A580-C0B80F020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Hartshorne</dc:creator>
  <cp:keywords/>
  <dc:description/>
  <cp:lastModifiedBy>Liu, Lei</cp:lastModifiedBy>
  <cp:revision>7</cp:revision>
  <dcterms:created xsi:type="dcterms:W3CDTF">2020-08-10T09:57:00Z</dcterms:created>
  <dcterms:modified xsi:type="dcterms:W3CDTF">2020-10-22T05:20:00Z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2020-08-10T09:56:57Z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f1b2dd65-ecfd-4267-bd11-000043a92bd8</vt:lpwstr>
  </property>
  <property fmtid="{D5CDD505-2E9C-101B-9397-08002B2CF9AE}" pid="8" name="MSIP_Label_ba62f585-b40f-4ab9-bafe-39150f03d124_ContentBits">
    <vt:lpwstr>0</vt:lpwstr>
  </property>
  <property fmtid="{D5CDD505-2E9C-101B-9397-08002B2CF9AE}" pid="9" name="ContentTypeId">
    <vt:lpwstr>0x010100CC5DA6F2BFDD34498C4453AF02783704</vt:lpwstr>
  </property>
</Properties>
</file>