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7C7AB" w14:textId="4F1CE8E0" w:rsidR="00D43FA1" w:rsidRPr="00D43FA1" w:rsidRDefault="00D43FA1" w:rsidP="00D43FA1">
      <w:pPr>
        <w:spacing w:before="0" w:after="0"/>
        <w:rPr>
          <w:rFonts w:ascii="Courier New" w:hAnsi="Courier New" w:cs="Courier New"/>
          <w:sz w:val="20"/>
          <w:szCs w:val="20"/>
        </w:rPr>
      </w:pPr>
      <w:r>
        <w:rPr>
          <w:rFonts w:ascii="Courier New" w:hAnsi="Courier New"/>
          <w:sz w:val="20"/>
        </w:rPr>
        <w:t>1. ------IND- 2020 0510 D-- DA- ------ 20200830 --- --- PROJET</w:t>
      </w:r>
    </w:p>
    <w:p w14:paraId="78D3E792" w14:textId="77777777" w:rsidR="00D43FA1" w:rsidRPr="00D43FA1" w:rsidRDefault="00D43FA1" w:rsidP="00612652">
      <w:pPr>
        <w:pStyle w:val="Dokumentstatus"/>
      </w:pPr>
    </w:p>
    <w:p w14:paraId="2ADEED2D" w14:textId="02FDEE8E" w:rsidR="006444D5" w:rsidRPr="00D43FA1" w:rsidRDefault="00A5434C" w:rsidP="00D43FA1">
      <w:pPr>
        <w:pStyle w:val="Dokumentstatus"/>
        <w:keepNext/>
        <w:keepLines/>
      </w:pPr>
      <w:r>
        <w:t>Udkast fra forbundsministeriet for fødevarer og landbrug</w:t>
      </w:r>
    </w:p>
    <w:p w14:paraId="453D9A69" w14:textId="77777777" w:rsidR="006444D5" w:rsidRPr="00D43FA1" w:rsidRDefault="006444D5" w:rsidP="00D43FA1">
      <w:pPr>
        <w:pStyle w:val="Bezeichnungnderungsdokument"/>
        <w:keepNext/>
        <w:keepLines/>
      </w:pPr>
      <w:r>
        <w:t>Toogtyvende bekendtgørelse om ændring af bekendtgørelse om materialer og genstande</w:t>
      </w:r>
      <w:r>
        <w:rPr>
          <w:rStyle w:val="FootnoteReference"/>
        </w:rPr>
        <w:footnoteReference w:customMarkFollows="1" w:id="1"/>
        <w:t>1)</w:t>
      </w:r>
      <w:r>
        <w:t xml:space="preserve"> </w:t>
      </w:r>
    </w:p>
    <w:p w14:paraId="6759776C" w14:textId="77777777" w:rsidR="006444D5" w:rsidRPr="00D43FA1" w:rsidRDefault="006444D5" w:rsidP="00D43FA1">
      <w:pPr>
        <w:pStyle w:val="Ausfertigungsdatumnderungsdokument"/>
        <w:keepNext/>
        <w:keepLines/>
      </w:pPr>
      <w:r>
        <w:t>af ...2020</w:t>
      </w:r>
    </w:p>
    <w:p w14:paraId="6E475CCC" w14:textId="77777777" w:rsidR="006444D5" w:rsidRPr="00D43FA1" w:rsidRDefault="006444D5" w:rsidP="000511BF">
      <w:pPr>
        <w:pStyle w:val="EingangsformelStandardnderungsdokument"/>
      </w:pPr>
      <w:r>
        <w:t xml:space="preserve">Forbundsministeriet for fødevarer og landbrug fastsætter følgende i medfør </w:t>
      </w:r>
    </w:p>
    <w:p w14:paraId="42BFF3E6" w14:textId="77777777" w:rsidR="000511BF" w:rsidRPr="00D43FA1" w:rsidRDefault="006444D5" w:rsidP="00C74C74">
      <w:pPr>
        <w:pStyle w:val="EingangsformelStandardnderungsdokument"/>
        <w:numPr>
          <w:ilvl w:val="0"/>
          <w:numId w:val="1"/>
        </w:numPr>
        <w:ind w:left="0" w:firstLine="425"/>
      </w:pPr>
      <w:r>
        <w:t>af § 31, stk. 2, 1. punktum, nr. 2, også sammenholdt med § 4, stk. 2, nr. 2, og § 46, stk. 2, 1. punktum, nr. 1, litra a), i lov om levneds- og fodermidler, som affattet i bekendtgørelsen af 3. juni 2013 (Tysklands lovtidende (BGBl.) I, s. 1426), samt</w:t>
      </w:r>
    </w:p>
    <w:p w14:paraId="58FC86B6" w14:textId="77777777" w:rsidR="006444D5" w:rsidRPr="00D43FA1" w:rsidRDefault="000511BF" w:rsidP="00C74C74">
      <w:pPr>
        <w:pStyle w:val="EingangsformelStandardnderungsdokument"/>
        <w:numPr>
          <w:ilvl w:val="0"/>
          <w:numId w:val="1"/>
        </w:numPr>
        <w:ind w:left="0" w:firstLine="425"/>
      </w:pPr>
      <w:r>
        <w:t>§ 34, 1. punktum, nr. 2, der senest er ændret ved artikel 67, nr. 6, i forskriften af 31. august 2015 (BGBl. I, s. 1474), også sammenholdt med § 4, stk. 2, nr. 2, i lov om levneds- og fodermidler, som affattet i bekendtgørelsen af 3. juni 2013 (BGBl. I, s. 1426), i samtykke med forbundsministeriet for erhverv og energi:</w:t>
      </w:r>
    </w:p>
    <w:p w14:paraId="6AC8CAE2" w14:textId="1699357E" w:rsidR="006444D5" w:rsidRPr="00D43FA1" w:rsidRDefault="00D43FA1" w:rsidP="00D43FA1">
      <w:pPr>
        <w:pStyle w:val="ArtikelBezeichner"/>
        <w:keepLines/>
        <w:numPr>
          <w:ilvl w:val="0"/>
          <w:numId w:val="0"/>
        </w:numPr>
      </w:pPr>
      <w:r>
        <w:t>Artikel 1</w:t>
      </w:r>
    </w:p>
    <w:p w14:paraId="37102DCC" w14:textId="1749B86C" w:rsidR="006444D5" w:rsidRPr="007E01A6" w:rsidRDefault="006444D5" w:rsidP="00D43FA1">
      <w:pPr>
        <w:pStyle w:val="Artikelberschrift"/>
        <w:keepLines/>
      </w:pPr>
      <w:r>
        <w:t>Ændring af bekendtgørelse om materialer og genstande</w:t>
      </w:r>
    </w:p>
    <w:p w14:paraId="504DEE92" w14:textId="4F2C4E22" w:rsidR="00E24BD3" w:rsidRPr="007E01A6" w:rsidRDefault="00E24BD3" w:rsidP="00D43FA1">
      <w:pPr>
        <w:pStyle w:val="JuristischerAbsatznichtnummeriert"/>
        <w:keepNext/>
        <w:keepLines/>
        <w:rPr>
          <w:rStyle w:val="Marker"/>
          <w:color w:val="auto"/>
        </w:rPr>
      </w:pPr>
      <w:r>
        <w:rPr>
          <w:rStyle w:val="Marker"/>
          <w:color w:val="auto"/>
        </w:rPr>
        <w:t>Bekendtgørelsen om materialer og genstande, som affattet i bekendtgørelsen af 23. december 1997 (BGBl. 1998 I, s. 5), der senest er ændret ved artikel 2, stk. 1, i lov af 15. februar 2016 (BGBl. I, s. 198), ændres som følger:</w:t>
      </w:r>
    </w:p>
    <w:p w14:paraId="02B9B0F2" w14:textId="7CA490A4" w:rsidR="00846C2F" w:rsidRPr="00D43FA1" w:rsidRDefault="00846C2F" w:rsidP="00846C2F">
      <w:pPr>
        <w:pStyle w:val="NummerierungStufe1"/>
      </w:pPr>
      <w:r>
        <w:t>§ 2 ændres som følger:</w:t>
      </w:r>
    </w:p>
    <w:p w14:paraId="28C5F27B" w14:textId="77777777" w:rsidR="00846C2F" w:rsidRPr="00D43FA1" w:rsidRDefault="00846C2F" w:rsidP="00846C2F">
      <w:pPr>
        <w:pStyle w:val="NummerierungStufe2"/>
        <w:rPr>
          <w:rStyle w:val="Marker"/>
          <w:color w:val="auto"/>
        </w:rPr>
      </w:pPr>
      <w:r>
        <w:rPr>
          <w:rStyle w:val="Marker"/>
          <w:color w:val="auto"/>
        </w:rPr>
        <w:t>I nr. 6 erstattes punktummet i slutningen af sætningen med et semikolon.</w:t>
      </w:r>
    </w:p>
    <w:p w14:paraId="4CF425DD" w14:textId="26F4A3C3" w:rsidR="00846C2F" w:rsidRPr="00D43FA1" w:rsidRDefault="003B2E93" w:rsidP="00846C2F">
      <w:pPr>
        <w:pStyle w:val="NummerierungStufe2"/>
        <w:rPr>
          <w:rStyle w:val="Marker"/>
          <w:color w:val="auto"/>
        </w:rPr>
      </w:pPr>
      <w:r>
        <w:rPr>
          <w:rStyle w:val="Marker"/>
          <w:color w:val="auto"/>
        </w:rPr>
        <w:t>Følgende nr. 7 til 10 tilføjes:</w:t>
      </w:r>
    </w:p>
    <w:p w14:paraId="4D5D5D36" w14:textId="062BC587" w:rsidR="006444D5" w:rsidRPr="00D43FA1" w:rsidRDefault="00E24BD3" w:rsidP="00067EA9">
      <w:pPr>
        <w:pStyle w:val="JuristischerAbsatznichtnummeriert"/>
        <w:ind w:left="850" w:firstLine="295"/>
        <w:rPr>
          <w:rStyle w:val="Marker"/>
          <w:color w:val="auto"/>
        </w:rPr>
      </w:pPr>
      <w:r>
        <w:rPr>
          <w:rStyle w:val="Marker"/>
          <w:color w:val="auto"/>
        </w:rPr>
        <w:t>"7. returpapirmasse: fiber til papir-, pap- eller kartonfremstilling, der er udvundet af returpapir ved hjælp af en behandlingsprocedure</w:t>
      </w:r>
    </w:p>
    <w:p w14:paraId="0106737F" w14:textId="4BB05830" w:rsidR="00E24BD3" w:rsidRPr="00D43FA1" w:rsidRDefault="00E24BD3" w:rsidP="00067EA9">
      <w:pPr>
        <w:pStyle w:val="JuristischerAbsatznichtnummeriert"/>
        <w:ind w:left="850" w:firstLine="295"/>
      </w:pPr>
      <w:r>
        <w:rPr>
          <w:rStyle w:val="Marker"/>
          <w:color w:val="auto"/>
        </w:rPr>
        <w:t xml:space="preserve">8. </w:t>
      </w:r>
      <w:r>
        <w:t>aromatiske mineraloliekulbrinter: alkylerede aromatiske kulbrinter med kulstoftallene C16 til C35, der indeholder en eller flere ringe, undtagen diisopropylnaphthalen. Kulstoftallene er henholdsvis knyttet til elutionsområderne og retentionstiderne for de korresponderende n-alkaner i forbindelse med den gaskromatografiske analyse på en søjle, der er belagt med dimethylpolysiloxan</w:t>
      </w:r>
    </w:p>
    <w:p w14:paraId="1BECF263" w14:textId="3D179D1B" w:rsidR="00846C2F" w:rsidRPr="00D43FA1" w:rsidRDefault="00E24BD3" w:rsidP="00D43FA1">
      <w:pPr>
        <w:pStyle w:val="JuristischerAbsatznichtnummeriert"/>
        <w:keepNext/>
        <w:keepLines/>
        <w:ind w:left="425" w:firstLine="720"/>
      </w:pPr>
      <w:r>
        <w:rPr>
          <w:rStyle w:val="Marker"/>
          <w:color w:val="auto"/>
        </w:rPr>
        <w:t xml:space="preserve">9. </w:t>
      </w:r>
      <w:r>
        <w:t>funktionel barriere:</w:t>
      </w:r>
    </w:p>
    <w:p w14:paraId="74FD3E26" w14:textId="39827560" w:rsidR="00B643B8" w:rsidRPr="00D43FA1" w:rsidRDefault="002F7BDF" w:rsidP="008B2724">
      <w:pPr>
        <w:pStyle w:val="JuristischerAbsatznichtnummeriert"/>
        <w:keepLines/>
        <w:ind w:left="851" w:firstLine="590"/>
      </w:pPr>
      <w:r>
        <w:rPr>
          <w:rStyle w:val="Marker"/>
          <w:color w:val="auto"/>
        </w:rPr>
        <w:t xml:space="preserve">a) </w:t>
      </w:r>
      <w:r>
        <w:t>et eller flere lag eller en eller flere belægninger på et materiale eller en genstand, der kommer i kontakt med fødevarer</w:t>
      </w:r>
    </w:p>
    <w:p w14:paraId="6C74E0DD" w14:textId="61F756EB" w:rsidR="002F7BDF" w:rsidRPr="00D43FA1" w:rsidRDefault="002F7BDF" w:rsidP="00067EA9">
      <w:pPr>
        <w:pStyle w:val="JuristischerAbsatznichtnummeriert"/>
        <w:ind w:left="720" w:firstLine="720"/>
      </w:pPr>
      <w:r>
        <w:rPr>
          <w:rStyle w:val="Marker"/>
          <w:color w:val="auto"/>
        </w:rPr>
        <w:lastRenderedPageBreak/>
        <w:t>b) en fødevares dæklag</w:t>
      </w:r>
    </w:p>
    <w:p w14:paraId="326B7F41" w14:textId="0B4EE35B" w:rsidR="00E24BD3" w:rsidRPr="00D43FA1" w:rsidRDefault="00E24BD3" w:rsidP="00067EA9">
      <w:pPr>
        <w:pStyle w:val="JuristischerAbsatznichtnummeriert"/>
        <w:ind w:left="851" w:firstLine="0"/>
      </w:pPr>
      <w:r>
        <w:t>hvorved det sikres, at bestemte stoffer fra materialer og genstande, der kommer i kontakt med fødevarer, ikke migrerer ind i fødevarerne</w:t>
      </w:r>
    </w:p>
    <w:p w14:paraId="4B18F3E3" w14:textId="70788493" w:rsidR="00846C2F" w:rsidRPr="00D43FA1" w:rsidRDefault="00E24BD3" w:rsidP="00067EA9">
      <w:pPr>
        <w:pStyle w:val="JuristischerAbsatznichtnummeriert"/>
        <w:ind w:left="851" w:firstLine="294"/>
      </w:pPr>
      <w:r>
        <w:rPr>
          <w:rStyle w:val="Marker"/>
          <w:color w:val="auto"/>
        </w:rPr>
        <w:t xml:space="preserve">10. </w:t>
      </w:r>
      <w:r>
        <w:t>fødevaresimulator: fødevaresimulator i henhold til artikel 3, nr. 12, i forordning (EF) nr. 10/2011.".</w:t>
      </w:r>
    </w:p>
    <w:p w14:paraId="17512622" w14:textId="77777777" w:rsidR="00846C2F" w:rsidRPr="00D43FA1" w:rsidRDefault="00846C2F" w:rsidP="00D43FA1">
      <w:pPr>
        <w:pStyle w:val="NummerierungStufe1"/>
        <w:keepNext/>
        <w:keepLines/>
        <w:rPr>
          <w:rStyle w:val="Marker"/>
          <w:color w:val="auto"/>
        </w:rPr>
      </w:pPr>
      <w:r>
        <w:rPr>
          <w:rStyle w:val="Marker"/>
          <w:color w:val="auto"/>
        </w:rPr>
        <w:t>Efter § 6 tilføjes følgende § 6a:</w:t>
      </w:r>
    </w:p>
    <w:p w14:paraId="254DF9EA" w14:textId="256D5011" w:rsidR="00846C2F" w:rsidRPr="00D43FA1" w:rsidRDefault="00846C2F" w:rsidP="007E01A6">
      <w:pPr>
        <w:pStyle w:val="RevisionParagraphBezeichnermanuell"/>
        <w:keepLines/>
        <w:ind w:left="425" w:hanging="75"/>
        <w:rPr>
          <w:color w:val="auto"/>
        </w:rPr>
      </w:pPr>
      <w:r>
        <w:rPr>
          <w:color w:val="auto"/>
        </w:rPr>
        <w:t xml:space="preserve">"§ </w:t>
      </w:r>
      <w:r>
        <w:rPr>
          <w:rStyle w:val="Marker"/>
          <w:color w:val="auto"/>
        </w:rPr>
        <w:t>6a</w:t>
      </w:r>
      <w:r>
        <w:rPr>
          <w:rStyle w:val="Marker"/>
          <w:color w:val="auto"/>
        </w:rPr>
        <w:br/>
        <w:t>Materialer og genstande lavet af papir, pap eller karton, der kommer i kontakt med fødevarer, og som har en andel af returpapir</w:t>
      </w:r>
    </w:p>
    <w:p w14:paraId="393F6670" w14:textId="6F9EF356" w:rsidR="00756335" w:rsidRPr="007E01A6" w:rsidRDefault="00E24BD3" w:rsidP="00067EA9">
      <w:pPr>
        <w:pStyle w:val="JuristischerAbsatznichtnummeriert"/>
        <w:ind w:left="425" w:firstLine="295"/>
        <w:rPr>
          <w:rStyle w:val="Marker"/>
          <w:color w:val="auto"/>
        </w:rPr>
      </w:pPr>
      <w:r>
        <w:rPr>
          <w:rStyle w:val="Marker"/>
          <w:color w:val="auto"/>
        </w:rPr>
        <w:t xml:space="preserve">Stk. 1. Materialer og genstande lavet af papir, pap eller karton, der kommer i kontakt med fødevarer, må ved anvendelse af returpapirmasse kun fremstilles og markedsføres, når det ved hjælp af en funktionel barriere i henhold til § 2, nr. 9, er sikret, at der ikke migrerer aromatiske mineraloliekulbrinter ind i fødevarer fra materialet og genstanden, der kommer i kontakt med fødevarerne. En migration anses for ikke at have fundet sted, når </w:t>
      </w:r>
    </w:p>
    <w:p w14:paraId="16C207F7" w14:textId="77777777" w:rsidR="002F7BDF" w:rsidRPr="00D43FA1" w:rsidRDefault="002F7BDF" w:rsidP="00067EA9">
      <w:pPr>
        <w:pStyle w:val="JuristischerAbsatznichtnummeriert"/>
        <w:ind w:left="425" w:firstLine="0"/>
        <w:rPr>
          <w:szCs w:val="24"/>
        </w:rPr>
      </w:pPr>
      <w:r>
        <w:t xml:space="preserve">1. detektionsgrænsen på 0,5 milligram for summen af aromatiske mineraloliekulbrinter pr. kilogram fødevare ikke er overskredet, eller </w:t>
      </w:r>
    </w:p>
    <w:p w14:paraId="172F3F97" w14:textId="20287DA3" w:rsidR="00C74C74" w:rsidRPr="007E01A6" w:rsidRDefault="002F7BDF" w:rsidP="00067EA9">
      <w:pPr>
        <w:pStyle w:val="JuristischerAbsatznichtnummeriert"/>
        <w:ind w:left="425" w:firstLine="0"/>
        <w:rPr>
          <w:szCs w:val="24"/>
        </w:rPr>
      </w:pPr>
      <w:r>
        <w:t xml:space="preserve">2. detektionsgrænsen på 0,15 milligram for summen af aromatiske mineraloliekulbrinter pr. kilogram fødevaresimulator ikke er overskredet. </w:t>
      </w:r>
    </w:p>
    <w:p w14:paraId="4CAF2837" w14:textId="266BC0F6" w:rsidR="00C74C74" w:rsidRPr="00D43FA1" w:rsidRDefault="00E24BD3" w:rsidP="00067EA9">
      <w:pPr>
        <w:pStyle w:val="JuristischerAbsatznichtnummeriert"/>
        <w:ind w:left="425" w:firstLine="295"/>
      </w:pPr>
      <w:r>
        <w:rPr>
          <w:rStyle w:val="Marker"/>
          <w:color w:val="auto"/>
        </w:rPr>
        <w:t>Stk. 2.</w:t>
      </w:r>
      <w:r>
        <w:t xml:space="preserve"> Stk. 1, 1. punktum, gælder ikke, når en migration af aromatiske mineraloliekulbrinter ind i fødevarer fra materialet og genstanden, der er kommer i kontaktet med fødevarerne, i henhold til stk. 1, 2. punktum, er udelukket, eftersom</w:t>
      </w:r>
    </w:p>
    <w:p w14:paraId="6CBC600B" w14:textId="68240402" w:rsidR="002F7BDF" w:rsidRPr="008B2724" w:rsidRDefault="002F7BDF" w:rsidP="00067EA9">
      <w:pPr>
        <w:pStyle w:val="JuristischerAbsatznichtnummeriert"/>
        <w:ind w:left="425" w:firstLine="0"/>
        <w:rPr>
          <w:spacing w:val="-4"/>
        </w:rPr>
      </w:pPr>
      <w:r w:rsidRPr="008B2724">
        <w:rPr>
          <w:rStyle w:val="Marker"/>
          <w:color w:val="auto"/>
          <w:spacing w:val="-4"/>
        </w:rPr>
        <w:t>1. der foreligger særlige forudsætninger med hensyn til materialet og genstanden, der kommer i kontakt med fødevarer, især det at der kun findes et lavt indhold af aromatiske mineraloliekulbrinter i materialet og genstanden, der er kommer i kontakt med fødevarer</w:t>
      </w:r>
    </w:p>
    <w:p w14:paraId="05A8EA42" w14:textId="0B5F5620" w:rsidR="00123700" w:rsidRPr="00D43FA1" w:rsidRDefault="002F7BDF" w:rsidP="00067EA9">
      <w:pPr>
        <w:pStyle w:val="JuristischerAbsatznichtnummeriert"/>
        <w:ind w:left="425" w:firstLine="0"/>
      </w:pPr>
      <w:r>
        <w:rPr>
          <w:rStyle w:val="Marker"/>
          <w:color w:val="auto"/>
        </w:rPr>
        <w:t xml:space="preserve">2. </w:t>
      </w:r>
      <w:r>
        <w:t>producenten af materialet og genstanden, der kommer i kontakt med fødevarer, eller virksomheden, der markedsfører dem, har truffet andre egnede foranstaltninger til at forhindre en migration.</w:t>
      </w:r>
    </w:p>
    <w:p w14:paraId="0AD974E6" w14:textId="6D982343" w:rsidR="00735843" w:rsidRPr="00D43FA1" w:rsidRDefault="00E24BD3" w:rsidP="00067EA9">
      <w:pPr>
        <w:pStyle w:val="JuristischerAbsatznichtnummeriert"/>
        <w:ind w:left="425" w:firstLine="295"/>
      </w:pPr>
      <w:r>
        <w:rPr>
          <w:rStyle w:val="Marker"/>
          <w:color w:val="auto"/>
        </w:rPr>
        <w:t>Stk. 3</w:t>
      </w:r>
      <w:r>
        <w:t xml:space="preserve"> Som afvigelse fra stk. 1, 1. punktum, kan de deri omtalte materialer og genstande, der kommer i kontakt med fødevarer, fremstilles og markedsføres uden en funktionel barriere, når fødevarevirksomhedslederen, der første gang bringer materialet og genstanden, der kommer i kontakt med fødevarer, i berøring med en fødevare gennem emballering eller på anden vis, før leveringen af materialet og genstanden, der kommer i kontakt med fødevarer, skriftligt eller elektronisk over for producenten af materialet og genstanden, der kommer i kontakt med fødevarer, eller virksomheden, der markedsfører dem, erklærer, at der gives afkald på den funktionelle barriere i henhold til § 2, nr. 9. </w:t>
      </w:r>
    </w:p>
    <w:p w14:paraId="789B1568" w14:textId="520EFB10" w:rsidR="00E24BD3" w:rsidRPr="008B2724" w:rsidRDefault="00E24BD3" w:rsidP="008B2724">
      <w:pPr>
        <w:pStyle w:val="JuristischerAbsatznichtnummeriert"/>
        <w:keepLines/>
        <w:ind w:left="425" w:firstLine="295"/>
        <w:rPr>
          <w:spacing w:val="-4"/>
        </w:rPr>
      </w:pPr>
      <w:r w:rsidRPr="008B2724">
        <w:rPr>
          <w:rStyle w:val="Marker"/>
          <w:color w:val="auto"/>
          <w:spacing w:val="-4"/>
        </w:rPr>
        <w:lastRenderedPageBreak/>
        <w:t>Stk. 4</w:t>
      </w:r>
      <w:r w:rsidRPr="008B2724">
        <w:rPr>
          <w:spacing w:val="-4"/>
        </w:rPr>
        <w:t xml:space="preserve"> I tilfældene i stk. 3 skal fødevarevirksomhedslederen, som anvender materialet og genstanden, der kommer i kontakt med fødevarer, sikre, at en migration af aromatiske mineraloliekulbrinter ind i fødevarer fra materialet og genstanden, der kommer i kontakt med fødevarerne, i henhold til stk. 1, 2. punktum, er udelukket. Til dette skal vedkommende gøre brug af en funktionel barriere i henhold til § 2, nr. 9, litra b), eller træffe andre egnede foranstaltninger. 2. punktum gælder ikke, når der især grundet beskaffenheden af fødevaren, der kommer i kontakt med materialet og genstanden, eller grundet de fastsatte anvendelsesbetingelser for materialet og genstanden, der kommer i kontakt med fødevaren, foreligger særlige forudsætninger, der udelukker en migration af aromatiske mineraloliekulbrinter ind i fødevaren fra materialet og genstanden, der kommer i kontakt med fødevaren, i henhold til stk. 1, 2. punktum.</w:t>
      </w:r>
    </w:p>
    <w:p w14:paraId="5366601D" w14:textId="03640CCF" w:rsidR="00313AFD" w:rsidRPr="00D43FA1" w:rsidRDefault="00E24BD3" w:rsidP="00C62066">
      <w:pPr>
        <w:pStyle w:val="JuristischerAbsatznichtnummeriert"/>
        <w:ind w:firstLine="720"/>
      </w:pPr>
      <w:r>
        <w:rPr>
          <w:rStyle w:val="Marker"/>
          <w:color w:val="auto"/>
        </w:rPr>
        <w:t xml:space="preserve">Stk. 5. </w:t>
      </w:r>
      <w:r>
        <w:t>Der skal fremlægges følgende på forlangende fra den ansvarlige myndighed:</w:t>
      </w:r>
    </w:p>
    <w:p w14:paraId="77519757" w14:textId="4193C14E" w:rsidR="002F7BDF" w:rsidRPr="007E01A6" w:rsidRDefault="002F7BDF" w:rsidP="00C62066">
      <w:pPr>
        <w:pStyle w:val="JuristischerAbsatznichtnummeriert"/>
        <w:ind w:left="425" w:firstLine="0"/>
        <w:rPr>
          <w:rStyle w:val="Marker"/>
          <w:color w:val="auto"/>
        </w:rPr>
      </w:pPr>
      <w:r>
        <w:rPr>
          <w:rStyle w:val="Marker"/>
          <w:color w:val="auto"/>
        </w:rPr>
        <w:t>1. dokumentation for overholdelse af kravene i stk. 2 og 3 for så vidt angår producenten af materialet og genstanden, der kommer i kontakt med fødevarer, eller virksomheden, der markedsfører dem</w:t>
      </w:r>
    </w:p>
    <w:p w14:paraId="2F2FD13A" w14:textId="19286176" w:rsidR="00313AFD" w:rsidRPr="007E01A6" w:rsidRDefault="002F7BDF" w:rsidP="00C62066">
      <w:pPr>
        <w:pStyle w:val="JuristischerAbsatznichtnummeriert"/>
        <w:ind w:left="425" w:firstLine="0"/>
        <w:rPr>
          <w:rStyle w:val="Marker"/>
          <w:color w:val="auto"/>
        </w:rPr>
      </w:pPr>
      <w:r>
        <w:rPr>
          <w:rStyle w:val="Marker"/>
          <w:color w:val="auto"/>
        </w:rPr>
        <w:t>2. dokumentation for overholdelse af kravene i stk. 4 for så vidt angår fødevarevirksomhedslederen.</w:t>
      </w:r>
    </w:p>
    <w:p w14:paraId="587A74FC" w14:textId="6F4A63D4" w:rsidR="004F1DB4" w:rsidRPr="00D43FA1" w:rsidRDefault="00E24BD3" w:rsidP="00C62066">
      <w:pPr>
        <w:pStyle w:val="JuristischerAbsatznichtnummeriert"/>
        <w:ind w:left="425" w:firstLine="0"/>
      </w:pPr>
      <w:r>
        <w:t>De forpligtede i henhold til 1. punktum skal have dokumenter, der dokumenterer, at en migration af aromatiske mineraloliekulbrinter ind i fødevarer eller fødevaresimulatorer fra materialet og genstanden, der kommer i kontakt med fødevarerne, i henhold til stk. 1, 2. punktum, er udelukket.</w:t>
      </w:r>
    </w:p>
    <w:p w14:paraId="0AA413D8" w14:textId="1C6B2756" w:rsidR="007F06A5" w:rsidRPr="00D43FA1" w:rsidRDefault="00E24BD3" w:rsidP="00C62066">
      <w:pPr>
        <w:pStyle w:val="JuristischerAbsatznichtnummeriert"/>
        <w:ind w:left="425" w:firstLine="295"/>
      </w:pPr>
      <w:r>
        <w:rPr>
          <w:rStyle w:val="Marker"/>
          <w:color w:val="auto"/>
        </w:rPr>
        <w:t>Stk. 6</w:t>
      </w:r>
      <w:r>
        <w:t xml:space="preserve"> Det er forbudt at markedsføre fødevarer som fødevarer, der er behandlet ved anvendelse af et materiale og en genstand, der kommer i kontakt med fødevarer, uden kravene i stk. 1, 1. punktum, eller stk. 4, 1. punktum, er overholdt.".</w:t>
      </w:r>
    </w:p>
    <w:p w14:paraId="6FA09614" w14:textId="77777777" w:rsidR="00D10507" w:rsidRPr="00D43FA1" w:rsidRDefault="00D10507" w:rsidP="00D43FA1">
      <w:pPr>
        <w:pStyle w:val="NummerierungStufe1"/>
        <w:keepNext/>
        <w:keepLines/>
      </w:pPr>
      <w:r>
        <w:t>I § 7, stk. 1, erstattes angivelsen "6" med angivelsen "6a, stk. 4".</w:t>
      </w:r>
    </w:p>
    <w:p w14:paraId="7EAA6364" w14:textId="77777777" w:rsidR="00D10507" w:rsidRPr="00D43FA1" w:rsidRDefault="00634FE4" w:rsidP="00D43FA1">
      <w:pPr>
        <w:pStyle w:val="NummerierungStufe1"/>
        <w:keepNext/>
        <w:keepLines/>
      </w:pPr>
      <w:r>
        <w:t xml:space="preserve">§ 12 ændres som følger: </w:t>
      </w:r>
    </w:p>
    <w:p w14:paraId="69B3E358" w14:textId="77777777" w:rsidR="005068AC" w:rsidRPr="00D43FA1" w:rsidRDefault="005068AC" w:rsidP="00D43FA1">
      <w:pPr>
        <w:pStyle w:val="NummerierungStufe2"/>
        <w:keepNext/>
        <w:keepLines/>
        <w:rPr>
          <w:rStyle w:val="Marker"/>
          <w:color w:val="auto"/>
        </w:rPr>
      </w:pPr>
      <w:r>
        <w:rPr>
          <w:rStyle w:val="Marker"/>
          <w:color w:val="auto"/>
        </w:rPr>
        <w:t>Stk. 2 ændres som følger:</w:t>
      </w:r>
    </w:p>
    <w:p w14:paraId="35259617" w14:textId="77777777" w:rsidR="005068AC" w:rsidRPr="00D43FA1" w:rsidRDefault="00AC0D2A" w:rsidP="005068AC">
      <w:pPr>
        <w:pStyle w:val="NummerierungStufe3"/>
        <w:rPr>
          <w:rStyle w:val="Marker"/>
          <w:color w:val="auto"/>
        </w:rPr>
      </w:pPr>
      <w:r>
        <w:rPr>
          <w:rStyle w:val="Marker"/>
          <w:color w:val="auto"/>
        </w:rPr>
        <w:t>I nr. 3 erstattes ordet "eller" med et komma.</w:t>
      </w:r>
    </w:p>
    <w:p w14:paraId="7DFBB224" w14:textId="77777777" w:rsidR="005068AC" w:rsidRPr="00D43FA1" w:rsidRDefault="00AC0D2A" w:rsidP="005068AC">
      <w:pPr>
        <w:pStyle w:val="NummerierungStufe3"/>
        <w:rPr>
          <w:rStyle w:val="Marker"/>
          <w:color w:val="auto"/>
        </w:rPr>
      </w:pPr>
      <w:r>
        <w:rPr>
          <w:rStyle w:val="Marker"/>
          <w:color w:val="auto"/>
        </w:rPr>
        <w:t>I nr. 4 erstattes punktummet i slutningen af sætningen med et komma.</w:t>
      </w:r>
    </w:p>
    <w:p w14:paraId="3BEDFB5A" w14:textId="6B87E8A4" w:rsidR="00AC0D2A" w:rsidRPr="00D43FA1" w:rsidRDefault="003B2E93" w:rsidP="00D43FA1">
      <w:pPr>
        <w:pStyle w:val="NummerierungStufe3"/>
        <w:keepNext/>
        <w:keepLines/>
        <w:ind w:hanging="425"/>
        <w:rPr>
          <w:rStyle w:val="Marker"/>
          <w:color w:val="auto"/>
        </w:rPr>
      </w:pPr>
      <w:r>
        <w:rPr>
          <w:rStyle w:val="Marker"/>
          <w:color w:val="auto"/>
        </w:rPr>
        <w:t>Følgende nr. 5 og 6 tilføjes:</w:t>
      </w:r>
    </w:p>
    <w:p w14:paraId="33D0714E" w14:textId="1077FDEF" w:rsidR="00241B36" w:rsidRPr="00D43FA1" w:rsidRDefault="00E24BD3" w:rsidP="00E24BD3">
      <w:pPr>
        <w:pStyle w:val="JuristischerAbsatznichtnummeriert"/>
        <w:ind w:left="850" w:firstLine="426"/>
        <w:rPr>
          <w:rStyle w:val="Marker"/>
          <w:color w:val="auto"/>
        </w:rPr>
      </w:pPr>
      <w:r>
        <w:rPr>
          <w:rStyle w:val="Marker"/>
          <w:color w:val="auto"/>
        </w:rPr>
        <w:t xml:space="preserve">"5. i strid med § 6a, stk. 1, 1. punktum, eller stk. 6 markedsfører et materiale og en genstand, der kommer i kontakt med fødevarer, eller en fødevare </w:t>
      </w:r>
    </w:p>
    <w:p w14:paraId="5E978D5C" w14:textId="45631538" w:rsidR="00B77970" w:rsidRPr="00D43FA1" w:rsidRDefault="00E24BD3" w:rsidP="00E24BD3">
      <w:pPr>
        <w:pStyle w:val="JuristischerAbsatznichtnummeriert"/>
        <w:ind w:left="850" w:firstLine="426"/>
      </w:pPr>
      <w:r>
        <w:rPr>
          <w:rStyle w:val="Marker"/>
          <w:color w:val="auto"/>
        </w:rPr>
        <w:t xml:space="preserve">6. i strid med § 6a, stk. 4, 1. punktum, ikke sikrer, at en migration af aromatiske mineraloliekulbrinter er udelukket.". </w:t>
      </w:r>
    </w:p>
    <w:p w14:paraId="7716DBF5" w14:textId="4D9148FD" w:rsidR="005068AC" w:rsidRPr="00D43FA1" w:rsidRDefault="005068AC" w:rsidP="00D43FA1">
      <w:pPr>
        <w:pStyle w:val="NummerierungStufe2"/>
        <w:keepNext/>
        <w:keepLines/>
        <w:rPr>
          <w:rStyle w:val="Marker"/>
          <w:color w:val="auto"/>
        </w:rPr>
      </w:pPr>
      <w:r>
        <w:rPr>
          <w:rStyle w:val="Marker"/>
          <w:color w:val="auto"/>
        </w:rPr>
        <w:t>Stk. 6 ændres som følger:</w:t>
      </w:r>
    </w:p>
    <w:p w14:paraId="43014887" w14:textId="0AE6F9B7" w:rsidR="005068AC" w:rsidRPr="00D43FA1" w:rsidRDefault="003B2E93" w:rsidP="00D43FA1">
      <w:pPr>
        <w:pStyle w:val="NummerierungStufe3"/>
        <w:keepNext/>
        <w:keepLines/>
        <w:ind w:hanging="425"/>
        <w:rPr>
          <w:rStyle w:val="Marker"/>
          <w:color w:val="auto"/>
        </w:rPr>
      </w:pPr>
      <w:r>
        <w:rPr>
          <w:rStyle w:val="Marker"/>
          <w:color w:val="auto"/>
        </w:rPr>
        <w:t>Før nr. 1 tilføjes følgende nr. 1:</w:t>
      </w:r>
    </w:p>
    <w:p w14:paraId="008549AE" w14:textId="466291BF" w:rsidR="00E24BD3" w:rsidRPr="007E01A6" w:rsidRDefault="00E24BD3" w:rsidP="00E24BD3">
      <w:pPr>
        <w:pStyle w:val="JuristischerAbsatznichtnummeriert"/>
        <w:ind w:left="720" w:firstLine="556"/>
        <w:rPr>
          <w:rStyle w:val="Marker"/>
          <w:color w:val="auto"/>
        </w:rPr>
      </w:pPr>
      <w:r>
        <w:rPr>
          <w:rStyle w:val="Marker"/>
          <w:color w:val="auto"/>
        </w:rPr>
        <w:t>"1. i strid med § 6a, stk. 5, 2. punktum, ikke, ikke korrekt eller ikke fuldstændigt har et dokument".</w:t>
      </w:r>
    </w:p>
    <w:p w14:paraId="27C15FD7" w14:textId="64F26C1B" w:rsidR="005068AC" w:rsidRPr="00D43FA1" w:rsidRDefault="00504030" w:rsidP="00E53816">
      <w:pPr>
        <w:pStyle w:val="NummerierungStufe3"/>
      </w:pPr>
      <w:r>
        <w:rPr>
          <w:rStyle w:val="Marker"/>
          <w:color w:val="auto"/>
        </w:rPr>
        <w:t>Det hidtidige nr. 1 bliver til nr. 2.</w:t>
      </w:r>
    </w:p>
    <w:p w14:paraId="40868CB4" w14:textId="77777777" w:rsidR="00DA7A9F" w:rsidRPr="00D43FA1" w:rsidRDefault="00DA7A9F" w:rsidP="00D43FA1">
      <w:pPr>
        <w:pStyle w:val="NummerierungStufe1"/>
        <w:keepNext/>
        <w:keepLines/>
      </w:pPr>
      <w:r>
        <w:lastRenderedPageBreak/>
        <w:t>Efter § 16 tilføjes følgende stk. 15 og 16:</w:t>
      </w:r>
    </w:p>
    <w:p w14:paraId="53C2A8E8" w14:textId="4612D6D2" w:rsidR="002666C4" w:rsidRPr="00D43FA1" w:rsidRDefault="00C07FE5" w:rsidP="00C07FE5">
      <w:pPr>
        <w:pStyle w:val="JuristischerAbsatznichtnummeriert"/>
        <w:ind w:left="425" w:firstLine="295"/>
      </w:pPr>
      <w:r>
        <w:rPr>
          <w:rStyle w:val="Marker"/>
          <w:color w:val="auto"/>
        </w:rPr>
        <w:t xml:space="preserve">Stk. 15. § 6a </w:t>
      </w:r>
      <w:r>
        <w:t>finder først anvendelse fra den … [indsæt: dato for den første dag i den 37. kalendermåned efter offentliggørelsen af nærværende bekendtgørelse].</w:t>
      </w:r>
    </w:p>
    <w:p w14:paraId="0BC81A17" w14:textId="34C6592F" w:rsidR="00C07FE5" w:rsidRPr="00D43FA1" w:rsidRDefault="00C07FE5" w:rsidP="00C07FE5">
      <w:pPr>
        <w:pStyle w:val="JuristischerAbsatznichtnummeriert"/>
        <w:tabs>
          <w:tab w:val="left" w:pos="1134"/>
          <w:tab w:val="left" w:pos="1418"/>
        </w:tabs>
        <w:ind w:left="425" w:firstLine="295"/>
      </w:pPr>
      <w:r>
        <w:t>Stk. 16.</w:t>
      </w:r>
      <w:r w:rsidR="008B2724">
        <w:t xml:space="preserve"> </w:t>
      </w:r>
      <w:r>
        <w:t>Materialer og genstande, der kommer i kontakt med fødevarer, og som er fremstillet ved anvendelse af returpapirmasse i henhold til forskrifterne, der finder anvendelse indtil det nævnte tidspunkt i stk. 15, må stadig markedsføres og anvendes indtil den … [indsæt: dato for den første dag i den 61. kalendermåned efter offentliggørelsen af nærværende bekendtgørelse].".</w:t>
      </w:r>
    </w:p>
    <w:p w14:paraId="6DD6BE05" w14:textId="1E96CDA2" w:rsidR="00C86A55" w:rsidRPr="00D43FA1" w:rsidRDefault="00D43FA1" w:rsidP="00D43FA1">
      <w:pPr>
        <w:pStyle w:val="ArtikelBezeichner"/>
        <w:numPr>
          <w:ilvl w:val="0"/>
          <w:numId w:val="0"/>
        </w:numPr>
        <w:ind w:left="720" w:hanging="720"/>
      </w:pPr>
      <w:r>
        <w:t>Artikel 2</w:t>
      </w:r>
    </w:p>
    <w:p w14:paraId="6244BBAD" w14:textId="77777777" w:rsidR="00C86A55" w:rsidRPr="00D43FA1" w:rsidRDefault="000B2DB8" w:rsidP="00C86A55">
      <w:pPr>
        <w:pStyle w:val="Artikelberschrift"/>
      </w:pPr>
      <w:r>
        <w:t>Tilladelse til bekendtgørelse</w:t>
      </w:r>
    </w:p>
    <w:p w14:paraId="01E0D16A" w14:textId="3D86B3E2" w:rsidR="00C86A55" w:rsidRPr="00D43FA1" w:rsidRDefault="00C86A55" w:rsidP="00B643B8">
      <w:pPr>
        <w:pStyle w:val="JuristischerAbsatznichtnummeriert"/>
      </w:pPr>
      <w:r>
        <w:t>Forbundsministeriet for fødevarer og landbrug kan bekendtgøre ordlyden i bekendtgørelsen om materialer og genstande i den udgave, der er gældende fra den … [indsæt: dato for nærværende bekendtgørelses ikrafttrædelse], i Tysklands lovtidende.</w:t>
      </w:r>
    </w:p>
    <w:p w14:paraId="28CE82C3" w14:textId="25904053" w:rsidR="006444D5" w:rsidRPr="00D43FA1" w:rsidRDefault="00D43FA1" w:rsidP="00D43FA1">
      <w:pPr>
        <w:pStyle w:val="ArtikelBezeichner"/>
        <w:numPr>
          <w:ilvl w:val="0"/>
          <w:numId w:val="0"/>
        </w:numPr>
      </w:pPr>
      <w:r>
        <w:t>Artikel 3</w:t>
      </w:r>
    </w:p>
    <w:p w14:paraId="157B2F9D" w14:textId="77777777" w:rsidR="006444D5" w:rsidRPr="00D43FA1" w:rsidRDefault="006444D5" w:rsidP="00612652">
      <w:pPr>
        <w:pStyle w:val="Artikelberschrift"/>
      </w:pPr>
      <w:r>
        <w:rPr>
          <w:rStyle w:val="Marker"/>
          <w:color w:val="auto"/>
        </w:rPr>
        <w:t>Ikrafttrædelse</w:t>
      </w:r>
    </w:p>
    <w:p w14:paraId="31DE4A11" w14:textId="77777777" w:rsidR="006444D5" w:rsidRPr="00D43FA1" w:rsidRDefault="00C86A55" w:rsidP="00612652">
      <w:pPr>
        <w:pStyle w:val="JuristischerAbsatznichtnummeriert"/>
      </w:pPr>
      <w:r>
        <w:rPr>
          <w:rStyle w:val="Marker"/>
          <w:color w:val="auto"/>
        </w:rPr>
        <w:t>Nærværende bekendtgørelse træder i kraft dagen efter dens offentliggørelse.</w:t>
      </w:r>
    </w:p>
    <w:p w14:paraId="37CC3236" w14:textId="77777777" w:rsidR="006444D5" w:rsidRPr="00D43FA1" w:rsidRDefault="006444D5" w:rsidP="006444D5">
      <w:pPr>
        <w:pStyle w:val="Schlussformel"/>
        <w:rPr>
          <w:rStyle w:val="Marker"/>
          <w:color w:val="auto"/>
        </w:rPr>
      </w:pPr>
      <w:r>
        <w:rPr>
          <w:rStyle w:val="Marker"/>
          <w:color w:val="auto"/>
        </w:rPr>
        <w:t>Forbundsrådet har givet samtykke.</w:t>
      </w:r>
    </w:p>
    <w:p w14:paraId="2FAF18C3" w14:textId="5D4D10CB" w:rsidR="00646A3B" w:rsidRPr="00D43FA1" w:rsidRDefault="001B10CC" w:rsidP="00646A3B">
      <w:pPr>
        <w:pStyle w:val="OrtDatum"/>
      </w:pPr>
      <w:r>
        <w:t>Bonn, den…..2020</w:t>
      </w:r>
    </w:p>
    <w:p w14:paraId="6B55ADD4" w14:textId="5958D35B" w:rsidR="00646A3B" w:rsidRPr="00D43FA1" w:rsidRDefault="00646A3B" w:rsidP="00646A3B">
      <w:pPr>
        <w:pStyle w:val="Organisation"/>
        <w:rPr>
          <w:spacing w:val="0"/>
        </w:rPr>
      </w:pPr>
    </w:p>
    <w:p w14:paraId="50FA98AC" w14:textId="24B1EF63" w:rsidR="00646A3B" w:rsidRPr="008B2724" w:rsidRDefault="00646A3B" w:rsidP="00646A3B">
      <w:pPr>
        <w:pStyle w:val="Organisation"/>
        <w:rPr>
          <w:spacing w:val="0"/>
        </w:rPr>
      </w:pPr>
      <w:r w:rsidRPr="008B2724">
        <w:rPr>
          <w:spacing w:val="0"/>
        </w:rPr>
        <w:t xml:space="preserve">Forbundsministeren </w:t>
      </w:r>
    </w:p>
    <w:p w14:paraId="38BFE5A9" w14:textId="2AF85087" w:rsidR="00646A3B" w:rsidRPr="008B2724" w:rsidRDefault="00646A3B" w:rsidP="00646A3B">
      <w:pPr>
        <w:pStyle w:val="Organisation"/>
        <w:rPr>
          <w:spacing w:val="0"/>
        </w:rPr>
      </w:pPr>
      <w:r w:rsidRPr="008B2724">
        <w:rPr>
          <w:spacing w:val="0"/>
        </w:rPr>
        <w:t>for fødevarer og landbrug</w:t>
      </w:r>
    </w:p>
    <w:p w14:paraId="390D4D95" w14:textId="18482467" w:rsidR="006444D5" w:rsidRPr="00D43FA1" w:rsidRDefault="006444D5" w:rsidP="00D43FA1">
      <w:pPr>
        <w:pStyle w:val="BegrndungTitel"/>
        <w:keepLines/>
        <w:pageBreakBefore/>
      </w:pPr>
      <w:r>
        <w:lastRenderedPageBreak/>
        <w:t>Begrundelse</w:t>
      </w:r>
    </w:p>
    <w:p w14:paraId="4E661150" w14:textId="77777777" w:rsidR="006444D5" w:rsidRPr="00D43FA1" w:rsidRDefault="006444D5" w:rsidP="00D43FA1">
      <w:pPr>
        <w:pStyle w:val="BegrndungAllgemeinerTeil"/>
        <w:keepLines/>
      </w:pPr>
      <w:r>
        <w:t>A. Generel del</w:t>
      </w:r>
    </w:p>
    <w:p w14:paraId="3CB30F24" w14:textId="77777777" w:rsidR="006444D5" w:rsidRPr="00D43FA1" w:rsidRDefault="006444D5" w:rsidP="00D43FA1">
      <w:pPr>
        <w:pStyle w:val="berschriftrmischBegrndung"/>
        <w:keepLines/>
      </w:pPr>
      <w:r>
        <w:t>Bestemmelsernes målsætning og nødvendighed</w:t>
      </w:r>
    </w:p>
    <w:p w14:paraId="3C58B331" w14:textId="65DA7301" w:rsidR="00CB5E99" w:rsidRPr="008B2724" w:rsidRDefault="00CB5E99" w:rsidP="00CB5E99">
      <w:pPr>
        <w:pStyle w:val="Text"/>
        <w:rPr>
          <w:spacing w:val="-4"/>
        </w:rPr>
      </w:pPr>
      <w:r w:rsidRPr="008B2724">
        <w:rPr>
          <w:spacing w:val="-4"/>
        </w:rPr>
        <w:t xml:space="preserve">Fødevarer kan være forurenet med mineralolie, hvilket blandt andet undersøgelser inden for rammerne af et forskningsprojekt, der er støttet af forbundsministeriet for fødevarer og landbrug, har vist (omfanget af migration af uønskede stoffer ind i fødevarer fra emballagematerialer lavet af returpapir - særrapport med analyse af "119 fødevarer" for uønskede stoffer fra returpapir, støttereference 2809HS012). Ud over andre kilder er en væsentlig årsag hertil fødevareemballager lavet af papir, pap eller karton, især af genbrugspapir. </w:t>
      </w:r>
    </w:p>
    <w:p w14:paraId="31DF33D8" w14:textId="77777777" w:rsidR="00CB5E99" w:rsidRPr="00D43FA1" w:rsidRDefault="00CB5E99" w:rsidP="00CB5E99">
      <w:pPr>
        <w:pStyle w:val="Text"/>
      </w:pPr>
      <w:r>
        <w:t>Der kan komme mineralolie i genbrugspapiret under nyttiggørelsen af returpapir. Genbrugspapir indeholder fiber, der udvindes af returpapir (såkaldt returpapirmasse). Returpapir består hovedsageligt af aviser, annonceblade, tidsskrifter, kataloger og andet grafisk papir samt af emballagepapir. Til tryk på dette papir anvendes trykfarver, der afhængigt af trykteknikken og anvendelsesområdet også indeholder mineralolie.</w:t>
      </w:r>
    </w:p>
    <w:p w14:paraId="5AD4C587" w14:textId="1F6D1D80" w:rsidR="00CB5E99" w:rsidRPr="008B2724" w:rsidRDefault="00CB5E99" w:rsidP="00CB5E99">
      <w:pPr>
        <w:pStyle w:val="Text"/>
        <w:rPr>
          <w:spacing w:val="-4"/>
        </w:rPr>
      </w:pPr>
      <w:r w:rsidRPr="008B2724">
        <w:rPr>
          <w:spacing w:val="-4"/>
        </w:rPr>
        <w:t>Mineralolie udvindes af råolie og er en kompleks blanding, der hovedsageligt består af mættede (kæde- og ringformede) og aromatiske (for det meste alkylerede) kulbrinter. I nogle tilfælde blev der konstateret ret betydelige mængder mineraloliekulbrinter i fødevarer. Dette inkluderer også aromatiske mineraloliekulbrinter (MOAH). Ifølge det tyske institut for risikovurdering (Bundesinstitut für Risikobewertung, BfR) bør optagelsen af mineraloliekulbrinter minimeres (f.eks. BfR-udtalelse nr. 008/2010, BfR-presseinformation 41/2012, BfR-FAQ af 30. november 2012/26. november 2015), eftersom det ikke kan udelukkes, at mineraloliekulbrinterne indeholder stoffer, der selv i de mindste mængder kan forårsage sundhedsskader, f.eks. kræft. Den Europæiske Fødevaresikkerhedsautoritet (EFSA) udtrykte også bekymring i sin udtalelse af 3. maj 2012 (EFSA Journal 2012, 10(6):2704) med hensyn til eksponering for mineraloliekulbrinter på grund af deres mulige kræftfremkaldende potentiale. EFSA konstaterede endvidere, at fødevareemballager baseret på returpapirmasse i væsentlig grad kan bidrage til mineraloliekulbrinteeksponering fra fødevarer.</w:t>
      </w:r>
    </w:p>
    <w:p w14:paraId="2FAAA0A3" w14:textId="77777777" w:rsidR="00612652" w:rsidRPr="007E01A6" w:rsidRDefault="00612652">
      <w:pPr>
        <w:pStyle w:val="Text"/>
      </w:pPr>
      <w:r>
        <w:t>Med nærværende bekendtgørelse skal der opnås en betydelig forbedring af beskyttelsen af forbrugerne mod mulige sundhedsfarer som følge af materialer og genstande lavet af papir, pap eller karton, der kommer i kontakt med fødevarer, og som fremstilles ved anvendelse af returpapirmasse, og hvorfra mineraloliekulbrinter kan migrere ind i fødevarer.</w:t>
      </w:r>
    </w:p>
    <w:p w14:paraId="3FE169D4" w14:textId="0217AD32" w:rsidR="006444D5" w:rsidRPr="00D43FA1" w:rsidRDefault="006444D5">
      <w:pPr>
        <w:pStyle w:val="berschriftrmischBegrndung"/>
      </w:pPr>
      <w:r>
        <w:lastRenderedPageBreak/>
        <w:t>Væsentligt indhold</w:t>
      </w:r>
    </w:p>
    <w:p w14:paraId="45A5B0F9" w14:textId="2B0307C3" w:rsidR="00F04D45" w:rsidRPr="008B2724" w:rsidRDefault="00F04D45" w:rsidP="008B2724">
      <w:pPr>
        <w:pStyle w:val="Text"/>
        <w:keepLines/>
        <w:rPr>
          <w:spacing w:val="-4"/>
          <w:szCs w:val="24"/>
        </w:rPr>
      </w:pPr>
      <w:r w:rsidRPr="008B2724">
        <w:rPr>
          <w:spacing w:val="-4"/>
        </w:rPr>
        <w:t>Med nærværende bekendtgørelse skal migrationen af mineraloliekulbrinter ind i fødevarer fra materialer og genstande lavet af papir, pap eller karton, der kommer i kontakt med fødevarer, og som er fremstillet ved anvendelse af returpapirmasse, begrænses mest muligt. En egnet mulighed for at foretage en sådan begrænsning er en funktionel barriere. Derfor indføres der en principiel forpligtelse til at udstyre de pågældende materialer og genstande, der kommer i kontakt med fødevarer, med en sådan funktionel barriere. Barrierens funktionalitet fastlægges i henhold til nærværende bekendtgørelse gennem en detektionsgrænse på 0,5 milligram mineraloliekulbrinter pr. kilogram fødevarer for migrationen fra materialet og genstanden, der kommer i kontakt med fødevarer. I forbindelse med kontrollen i fødevaresimulatorer gælder en detektionsgrænse på 0,15 milligram mineraloliekulbrinter pr. kilogram fødevaresimulator. Forpligtelsen for producenten af materialer og genstande, der kommer i kontakt med fødevarer, og for virksomheden, der markedsfører dem, til at udstyre materialerne og genstandene, der kommer i kontakt med fødevarer, med en funktionel barriere bortfalder imidlertid, når fødevarevirksomhedslederen, som anskaffer materialet og genstanden, der kommer i kontakt med fødevarer, før leveringen erklærer at give afkald på en funktionel barriere over for producenten eller markedsføringsvirksomheden. I dette tilfælde skal fødevarevirksomhedslederen træffe egnede foranstaltninger, hvormed det sikres, at en migration af mineraloliekulbrinter ind i fødevarerne ikke finder sted, medmindre der foreligger særlige forudsætninger, f.eks. med hensyn til fødevarernes beskaffenhed, der forhindrer en migration af mineraloliekulbrinter ind i fødevarerne. Forpligtelsen til at udstyre materialer og genstande, der kommer i kontakt med fødevarer, med en funktionel barriere bortfalder også, når producenten af materialer og genstande, der komme i kontakt med fødevarer, eller virksomheden, der markedsfører dem, på end anden måde end ved anvendelse af en funktionel barriere kan sikre, at en migration af mineraloliekulbrinter ind i fødevarer forhindres. Dette kan f.eks. være tilfældet, når mineraloliekulbrinteindholdet i selve papiret, pappet eller kartonen allerede er så lavt, at en migration af mineraloliekulbrinter ind i fødevarer, der ligger over detektionsgrænsen, ikke finder sted.</w:t>
      </w:r>
    </w:p>
    <w:p w14:paraId="00831AD3" w14:textId="77777777" w:rsidR="006444D5" w:rsidRPr="00D43FA1" w:rsidRDefault="006444D5">
      <w:pPr>
        <w:pStyle w:val="berschriftrmischBegrndung"/>
      </w:pPr>
      <w:r>
        <w:t>Alternativer</w:t>
      </w:r>
    </w:p>
    <w:p w14:paraId="40A8C660" w14:textId="77777777" w:rsidR="00CB5E99" w:rsidRPr="00D43FA1" w:rsidRDefault="00E53816" w:rsidP="00CB5E99">
      <w:pPr>
        <w:pStyle w:val="Text"/>
      </w:pPr>
      <w:r>
        <w:t xml:space="preserve">Ingen. For at sikre beskyttelse af forbrugernes sundhed og opnå en ensartet håndtering er passende retlige bestemmelser og bindende anvendelse af en detektionsgrænse for mineraloliekulbrinter nødvendig. </w:t>
      </w:r>
    </w:p>
    <w:p w14:paraId="25CF33C9" w14:textId="77777777" w:rsidR="00F279DE" w:rsidRPr="00D43FA1" w:rsidRDefault="00F279DE">
      <w:pPr>
        <w:pStyle w:val="berschriftrmischBegrndung"/>
      </w:pPr>
      <w:r>
        <w:t>Lovgivende kompetence</w:t>
      </w:r>
    </w:p>
    <w:p w14:paraId="19025BF8" w14:textId="613F8FF1" w:rsidR="00F279DE" w:rsidRPr="00D43FA1" w:rsidRDefault="007525FC" w:rsidP="00F279DE">
      <w:pPr>
        <w:pStyle w:val="Text"/>
      </w:pPr>
      <w:r>
        <w:t>Forbundsministeriet for fødevarer og landbrug bemyndiges til at udstede nærværende bestemmelser i medfør af § 31, stk. 2, 1. punktum, nr. 2, i lov om levnedes- og fodermidler også sammenholdt med § 4, stk. 2, nr. 2, og § 46, stk. 2, 1. punktum, nr. 1, litra a), i lov om levneds- og fodermidler samt § 34, 1. punktum, nr. 2, også sammenholdt med § 4, stk. 2, nr. 2, i lov om levnedes- og fodermidler.</w:t>
      </w:r>
    </w:p>
    <w:p w14:paraId="0A8F0A8B" w14:textId="77777777" w:rsidR="00CD79FA" w:rsidRPr="00D43FA1" w:rsidRDefault="00CD79FA">
      <w:pPr>
        <w:pStyle w:val="berschriftrmischBegrndung"/>
      </w:pPr>
      <w:r>
        <w:t>Forenelighed med Den Europæiske Unions ret og folkeretlige traktater</w:t>
      </w:r>
    </w:p>
    <w:p w14:paraId="2C943AFB" w14:textId="0C4761B7" w:rsidR="00CD79FA" w:rsidRPr="00D43FA1" w:rsidRDefault="00CD79FA" w:rsidP="00CD79FA">
      <w:pPr>
        <w:pStyle w:val="Text"/>
      </w:pPr>
      <w:r>
        <w:t>EU-retten for materialer og genstande, der kommer i kontakt med fødevarer, er hidtil ikke fuldstændigt harmoniseret. Forordning (EF) nr. 1935/2004 indeholder ganske vist generelle krav. Hidtil findes der imidlertid kun enkeltforanstaltning for enkelte materialegrupper. Artikel 6 i forordning (EF) nr. 1935/2004 tillader medlemsstaterne at kunne opretholde eller vedtage nationale bestemmelser for sådanne grupper af materialer og genstande, for hvilke der hidtil på EU-plan ikke er truffet enkeltforanstaltninger. Der findes ikke sådanne EU-enkeltforanstaltninger for materialer og genstande lavet af papir, pap eller karton, der kommer i kontakt med fødevarer, og som er lavet af både frisk fiber og returpapirmasse. Hermed er der en forenelighed med EU-retten. Folkeretlige traktater berøres ikke.</w:t>
      </w:r>
    </w:p>
    <w:p w14:paraId="4DA789C5" w14:textId="77777777" w:rsidR="006444D5" w:rsidRPr="00D43FA1" w:rsidRDefault="006444D5">
      <w:pPr>
        <w:pStyle w:val="berschriftrmischBegrndung"/>
      </w:pPr>
      <w:r>
        <w:lastRenderedPageBreak/>
        <w:t>Lovmæssige konsekvenser</w:t>
      </w:r>
    </w:p>
    <w:p w14:paraId="2F5D3B8F" w14:textId="77777777" w:rsidR="009809AB" w:rsidRPr="00D43FA1" w:rsidRDefault="009809AB">
      <w:pPr>
        <w:pStyle w:val="berschriftarabischBegrndung"/>
      </w:pPr>
      <w:r>
        <w:t>Forenkling af lovgivning og forvaltning</w:t>
      </w:r>
    </w:p>
    <w:p w14:paraId="26C2B37E" w14:textId="16E58B47" w:rsidR="009809AB" w:rsidRPr="00D43FA1" w:rsidRDefault="009809AB" w:rsidP="009809AB">
      <w:pPr>
        <w:pStyle w:val="Text"/>
      </w:pPr>
      <w:r>
        <w:t xml:space="preserve">Der forventes ingen forenkling eller ophævelse af bestemmelser ved nærværende bekendtgørelse. Imidlertid harmoniseres kravene vedrørende undgåelse af en migration af mineraloliekulbrinter fra materialer og genstande lavet af papir, pap eller karton, der kommer i kontakt med fødevarer, og som har en andel af returpapir, og dermed forbedres retssikkerheden både for de ansvarlige myndigheder i delstaterne samt for det berørte erhvervsliv. </w:t>
      </w:r>
    </w:p>
    <w:p w14:paraId="166CBABF" w14:textId="77777777" w:rsidR="006444D5" w:rsidRPr="00D43FA1" w:rsidRDefault="006444D5">
      <w:pPr>
        <w:pStyle w:val="berschriftarabischBegrndung"/>
      </w:pPr>
      <w:r>
        <w:t>Bæredygtighedsaspekter</w:t>
      </w:r>
    </w:p>
    <w:p w14:paraId="64450049" w14:textId="6C431023" w:rsidR="00612652" w:rsidRPr="008B2724" w:rsidRDefault="00B269E6">
      <w:pPr>
        <w:pStyle w:val="Text"/>
        <w:rPr>
          <w:spacing w:val="-4"/>
        </w:rPr>
      </w:pPr>
      <w:r w:rsidRPr="008B2724">
        <w:rPr>
          <w:spacing w:val="-4"/>
        </w:rPr>
        <w:t xml:space="preserve">Der er foretaget en bæredygtighedsvurdering i henhold til § 44, stk. 1, 4. punktum, i forbundsministeriernes fælles forretningsorden (GGO). De nærværende bestemmelser er bæredygtige på længere sigt i henhold til den tyske bæredygtighedsstrategi. Relevant er især verdensmål 3 om at "sikre et sundt liv for alle og fremme trivsel for alle aldersgrupper". Endvidere tages der højde for princippet for en bæredygtig udvikling nr. 3.b. om at "undgå farer og uacceptable risici for menneskers sundhed". Derudover bidrages der til verdensmål 12 om at "sikre bæredygtigt forbrug og produktionsformer". I henhold til bæredygtighed bliver det også i fremtiden muligt at anvende genbrugsmaterialer til materialer og genstande lavet af papir, pap eller karton, der kommer i kontakt med fødevarer, såfremt de konkretiserede krav til forbrugerbeskyttelse i nærværende bekendtgørelse opfyldes. Bekendtgørelsen sikrer, at forbrugerne ikke på negativ vis udsættes for mineraloliebestanddele fra materialer og genstande lavet af papir, pap eller karton, der kommer i kontakt med fødevarer, og som er fremstillet ved anvendelse af returpapirmasse. Den tjener den sundhedsmæssige forbrugerbeskyttelse og bidrager dermed til en bæredygtig udvikling. </w:t>
      </w:r>
    </w:p>
    <w:p w14:paraId="4628D4A0" w14:textId="77777777" w:rsidR="006444D5" w:rsidRPr="00D43FA1" w:rsidRDefault="006444D5">
      <w:pPr>
        <w:pStyle w:val="berschriftarabischBegrndung"/>
      </w:pPr>
      <w:r>
        <w:t>Budgetudgifter uden tilpasningsomkostninger</w:t>
      </w:r>
    </w:p>
    <w:p w14:paraId="2771CB61" w14:textId="77777777" w:rsidR="003923C4" w:rsidRPr="00D43FA1" w:rsidRDefault="00CB5E99">
      <w:pPr>
        <w:pStyle w:val="Text"/>
      </w:pPr>
      <w:r>
        <w:t>Der opstår ingen omkostninger for de offentlige budgetter på grund af budgetudgifter uden gennemførelsesomkostninger.</w:t>
      </w:r>
    </w:p>
    <w:p w14:paraId="53940621" w14:textId="77777777" w:rsidR="006444D5" w:rsidRPr="00D43FA1" w:rsidRDefault="006444D5" w:rsidP="0070360F">
      <w:pPr>
        <w:pStyle w:val="berschriftarabischBegrndung"/>
        <w:keepLines/>
      </w:pPr>
      <w:r>
        <w:t>Tilpasningsomkostninger</w:t>
      </w:r>
    </w:p>
    <w:p w14:paraId="70BBFB2C" w14:textId="77777777" w:rsidR="00D25113" w:rsidRPr="00D43FA1" w:rsidRDefault="00D25113" w:rsidP="0070360F">
      <w:pPr>
        <w:pStyle w:val="Text"/>
        <w:keepNext/>
        <w:keepLines/>
        <w:rPr>
          <w:u w:val="single"/>
        </w:rPr>
      </w:pPr>
      <w:r>
        <w:rPr>
          <w:u w:val="single"/>
        </w:rPr>
        <w:t>a) Tilpasningsomkostninger for forvaltningen</w:t>
      </w:r>
    </w:p>
    <w:p w14:paraId="769FC95B" w14:textId="77777777" w:rsidR="00612652" w:rsidRPr="00D43FA1" w:rsidRDefault="00612652" w:rsidP="0070360F">
      <w:pPr>
        <w:pStyle w:val="Text"/>
        <w:keepNext/>
        <w:keepLines/>
      </w:pPr>
      <w:r>
        <w:t xml:space="preserve">Der opstår ingen ekstra omkostninger for forbundsstaten til forvaltningen som følge af bekendtgørelsen. </w:t>
      </w:r>
    </w:p>
    <w:p w14:paraId="6AFCAA5B" w14:textId="77777777" w:rsidR="00AD0A9D" w:rsidRPr="00D43FA1" w:rsidRDefault="006A578D" w:rsidP="0070360F">
      <w:pPr>
        <w:pStyle w:val="Text"/>
        <w:keepNext/>
        <w:keepLines/>
      </w:pPr>
      <w:r>
        <w:t>På grundlag af oplysningerne, som delstaterne har indgivet, opstår der følgende ekstra tilpasningsomkostninger for delstaternes forvaltning på grund af ekstra overvågnings- og kontrolaktiviteter som følge af bekendtgørelsen:</w:t>
      </w:r>
    </w:p>
    <w:tbl>
      <w:tblPr>
        <w:tblStyle w:val="TableGrid"/>
        <w:tblW w:w="0" w:type="auto"/>
        <w:tblLook w:val="04A0" w:firstRow="1" w:lastRow="0" w:firstColumn="1" w:lastColumn="0" w:noHBand="0" w:noVBand="1"/>
      </w:tblPr>
      <w:tblGrid>
        <w:gridCol w:w="4430"/>
        <w:gridCol w:w="4349"/>
      </w:tblGrid>
      <w:tr w:rsidR="00AD0A9D" w:rsidRPr="00D43FA1" w14:paraId="6E6BEC6C" w14:textId="77777777" w:rsidTr="007905CF">
        <w:tc>
          <w:tcPr>
            <w:tcW w:w="4464" w:type="dxa"/>
          </w:tcPr>
          <w:p w14:paraId="7A206076" w14:textId="77777777" w:rsidR="00AD0A9D" w:rsidRPr="00D43FA1" w:rsidRDefault="00E77C05" w:rsidP="007905CF">
            <w:pPr>
              <w:pStyle w:val="Text"/>
            </w:pPr>
            <w:r>
              <w:t>Materielle engangsomkostninger</w:t>
            </w:r>
          </w:p>
        </w:tc>
        <w:tc>
          <w:tcPr>
            <w:tcW w:w="4465" w:type="dxa"/>
          </w:tcPr>
          <w:p w14:paraId="4721955D" w14:textId="77777777" w:rsidR="00AD0A9D" w:rsidRPr="00D43FA1" w:rsidRDefault="00AD0A9D" w:rsidP="009969BE">
            <w:pPr>
              <w:pStyle w:val="Text"/>
              <w:jc w:val="left"/>
            </w:pPr>
            <w:r>
              <w:t>Ca. 1 058 000 EUR</w:t>
            </w:r>
          </w:p>
        </w:tc>
      </w:tr>
      <w:tr w:rsidR="00AD0A9D" w:rsidRPr="00D43FA1" w14:paraId="7EA31554" w14:textId="77777777" w:rsidTr="007905CF">
        <w:tc>
          <w:tcPr>
            <w:tcW w:w="4464" w:type="dxa"/>
          </w:tcPr>
          <w:p w14:paraId="3D59CAB2" w14:textId="77777777" w:rsidR="00AD0A9D" w:rsidRPr="00D43FA1" w:rsidRDefault="00E77C05" w:rsidP="007905CF">
            <w:pPr>
              <w:pStyle w:val="Text"/>
            </w:pPr>
            <w:r>
              <w:t>Engangspersonaleomkostninger</w:t>
            </w:r>
          </w:p>
        </w:tc>
        <w:tc>
          <w:tcPr>
            <w:tcW w:w="4465" w:type="dxa"/>
          </w:tcPr>
          <w:p w14:paraId="38C1D206" w14:textId="77777777" w:rsidR="00AD0A9D" w:rsidRPr="00D43FA1" w:rsidRDefault="00AD0A9D" w:rsidP="009969BE">
            <w:pPr>
              <w:pStyle w:val="Text"/>
              <w:jc w:val="left"/>
            </w:pPr>
            <w:r>
              <w:t>Ca. 123 000 EUR</w:t>
            </w:r>
          </w:p>
        </w:tc>
      </w:tr>
      <w:tr w:rsidR="00AD0A9D" w:rsidRPr="00D43FA1" w14:paraId="1F558430" w14:textId="77777777" w:rsidTr="007905CF">
        <w:tc>
          <w:tcPr>
            <w:tcW w:w="4464" w:type="dxa"/>
          </w:tcPr>
          <w:p w14:paraId="51763FF6" w14:textId="77777777" w:rsidR="00AD0A9D" w:rsidRPr="00D43FA1" w:rsidRDefault="00E77C05" w:rsidP="007905CF">
            <w:pPr>
              <w:pStyle w:val="Text"/>
            </w:pPr>
            <w:r>
              <w:t>Årlige materielle omkostninger</w:t>
            </w:r>
          </w:p>
        </w:tc>
        <w:tc>
          <w:tcPr>
            <w:tcW w:w="4465" w:type="dxa"/>
          </w:tcPr>
          <w:p w14:paraId="4080915D" w14:textId="77777777" w:rsidR="00AD0A9D" w:rsidRPr="00D43FA1" w:rsidRDefault="00AD0A9D" w:rsidP="009969BE">
            <w:pPr>
              <w:pStyle w:val="Text"/>
              <w:jc w:val="left"/>
            </w:pPr>
            <w:r>
              <w:t>Ca. 80 000 EUR</w:t>
            </w:r>
          </w:p>
        </w:tc>
      </w:tr>
      <w:tr w:rsidR="00AD0A9D" w:rsidRPr="00D43FA1" w14:paraId="525A416D" w14:textId="77777777" w:rsidTr="007905CF">
        <w:tc>
          <w:tcPr>
            <w:tcW w:w="4464" w:type="dxa"/>
          </w:tcPr>
          <w:p w14:paraId="2EBCF264" w14:textId="77777777" w:rsidR="00AD0A9D" w:rsidRPr="00D43FA1" w:rsidRDefault="00E77C05" w:rsidP="007905CF">
            <w:pPr>
              <w:pStyle w:val="Text"/>
            </w:pPr>
            <w:r>
              <w:t>Årlige personaleomkostninger</w:t>
            </w:r>
          </w:p>
        </w:tc>
        <w:tc>
          <w:tcPr>
            <w:tcW w:w="4465" w:type="dxa"/>
          </w:tcPr>
          <w:p w14:paraId="21ABAEB6" w14:textId="77777777" w:rsidR="00AD0A9D" w:rsidRPr="00D43FA1" w:rsidRDefault="00AD0A9D" w:rsidP="000636B3">
            <w:pPr>
              <w:pStyle w:val="Text"/>
              <w:jc w:val="left"/>
            </w:pPr>
            <w:r>
              <w:t>Ca. 292 000 EUR</w:t>
            </w:r>
          </w:p>
        </w:tc>
      </w:tr>
    </w:tbl>
    <w:p w14:paraId="6B8CCD1C" w14:textId="77777777" w:rsidR="00E6133B" w:rsidRPr="00D43FA1" w:rsidRDefault="00E6133B" w:rsidP="00612652">
      <w:pPr>
        <w:pStyle w:val="Text"/>
      </w:pPr>
      <w:r>
        <w:t xml:space="preserve">Deraf resulterer gennemsnitlige engangstilpasningsomkostninger på 236 200 euro og gennemsnitlige årlige tilpasningsomkostninger på 74 400 euro. </w:t>
      </w:r>
    </w:p>
    <w:p w14:paraId="525979E7" w14:textId="108FCA64" w:rsidR="00891D8C" w:rsidRPr="007E01A6" w:rsidRDefault="007C7B00" w:rsidP="008B2724">
      <w:pPr>
        <w:pStyle w:val="Text"/>
        <w:keepLines/>
      </w:pPr>
      <w:r>
        <w:lastRenderedPageBreak/>
        <w:t xml:space="preserve">Disse omkostninger er sammensat af de følgende poster i henhold til de efterfølgende enkeltoplysninger fra delstaterne. Ikke alle delstater har indberettet betingede omkostningsmæssige indvirkninger som følge af bekendtgørelsen. Dette kan f.eks. være begrundet med, at relevante undersøgelser i første omgang ikke gennemføres, eller at disse finder sted i samarbejde med andre delstater. </w:t>
      </w:r>
    </w:p>
    <w:p w14:paraId="4DA66B7C" w14:textId="77777777" w:rsidR="007C7B00" w:rsidRPr="00D43FA1" w:rsidRDefault="007C7B00" w:rsidP="0070360F">
      <w:pPr>
        <w:pStyle w:val="Text"/>
        <w:keepNext/>
        <w:keepLines/>
        <w:tabs>
          <w:tab w:val="left" w:pos="0"/>
        </w:tabs>
        <w:spacing w:before="0" w:after="0"/>
        <w:rPr>
          <w:u w:val="single"/>
        </w:rPr>
      </w:pPr>
      <w:r>
        <w:rPr>
          <w:u w:val="single"/>
        </w:rPr>
        <w:t>Baden-Württemberg:</w:t>
      </w:r>
    </w:p>
    <w:p w14:paraId="0476425A" w14:textId="77777777" w:rsidR="009969BE" w:rsidRPr="00D43FA1" w:rsidRDefault="009969BE" w:rsidP="0070360F">
      <w:pPr>
        <w:pStyle w:val="Text"/>
        <w:keepNext/>
        <w:keepLines/>
        <w:tabs>
          <w:tab w:val="left" w:pos="0"/>
        </w:tabs>
        <w:spacing w:before="0" w:after="0"/>
      </w:pPr>
    </w:p>
    <w:tbl>
      <w:tblPr>
        <w:tblStyle w:val="TableGrid"/>
        <w:tblW w:w="0" w:type="auto"/>
        <w:tblLook w:val="04A0" w:firstRow="1" w:lastRow="0" w:firstColumn="1" w:lastColumn="0" w:noHBand="0" w:noVBand="1"/>
      </w:tblPr>
      <w:tblGrid>
        <w:gridCol w:w="4411"/>
        <w:gridCol w:w="4368"/>
      </w:tblGrid>
      <w:tr w:rsidR="009969BE" w:rsidRPr="00D43FA1" w14:paraId="3386D9CF" w14:textId="77777777" w:rsidTr="0070360F">
        <w:tc>
          <w:tcPr>
            <w:tcW w:w="4464" w:type="dxa"/>
          </w:tcPr>
          <w:p w14:paraId="47DC230D" w14:textId="0F7E0FFB" w:rsidR="009969BE" w:rsidRPr="00D43FA1" w:rsidRDefault="009969BE" w:rsidP="00E24BD3">
            <w:pPr>
              <w:pStyle w:val="Text"/>
              <w:tabs>
                <w:tab w:val="left" w:pos="0"/>
              </w:tabs>
            </w:pPr>
            <w:r>
              <w:t>Materielle engangsomkostninger:</w:t>
            </w:r>
          </w:p>
        </w:tc>
        <w:tc>
          <w:tcPr>
            <w:tcW w:w="4465" w:type="dxa"/>
          </w:tcPr>
          <w:p w14:paraId="633997F1" w14:textId="77777777" w:rsidR="009969BE" w:rsidRPr="00D43FA1" w:rsidRDefault="000636B3" w:rsidP="000636B3">
            <w:pPr>
              <w:pStyle w:val="Text"/>
            </w:pPr>
            <w:r>
              <w:t xml:space="preserve">220 000 EUR (anskaffelse af udstyr) </w:t>
            </w:r>
          </w:p>
        </w:tc>
      </w:tr>
      <w:tr w:rsidR="009969BE" w:rsidRPr="00D43FA1" w14:paraId="0B1C7BA1" w14:textId="77777777" w:rsidTr="0070360F">
        <w:tc>
          <w:tcPr>
            <w:tcW w:w="4464" w:type="dxa"/>
          </w:tcPr>
          <w:p w14:paraId="575EAB32" w14:textId="77777777" w:rsidR="009969BE" w:rsidRPr="00D43FA1" w:rsidRDefault="009969BE" w:rsidP="000636B3">
            <w:pPr>
              <w:pStyle w:val="Text"/>
              <w:tabs>
                <w:tab w:val="left" w:pos="0"/>
              </w:tabs>
            </w:pPr>
            <w:r>
              <w:t xml:space="preserve">Engangspersonaleomkostninger: </w:t>
            </w:r>
          </w:p>
        </w:tc>
        <w:tc>
          <w:tcPr>
            <w:tcW w:w="4465" w:type="dxa"/>
          </w:tcPr>
          <w:p w14:paraId="65DA8490" w14:textId="77777777" w:rsidR="009969BE" w:rsidRPr="00D43FA1" w:rsidRDefault="000636B3" w:rsidP="000636B3">
            <w:pPr>
              <w:pStyle w:val="Text"/>
              <w:tabs>
                <w:tab w:val="left" w:pos="0"/>
              </w:tabs>
              <w:jc w:val="left"/>
            </w:pPr>
            <w:r>
              <w:t>35 000 EUR (etablering af en standardiseret analyse uden måling af rutineprøver)</w:t>
            </w:r>
          </w:p>
        </w:tc>
      </w:tr>
      <w:tr w:rsidR="009969BE" w:rsidRPr="00D43FA1" w14:paraId="55E9234D" w14:textId="77777777" w:rsidTr="0070360F">
        <w:tc>
          <w:tcPr>
            <w:tcW w:w="4464" w:type="dxa"/>
          </w:tcPr>
          <w:p w14:paraId="5EBF97DE" w14:textId="117BCA06" w:rsidR="009969BE" w:rsidRPr="00D43FA1" w:rsidRDefault="009969BE" w:rsidP="00E24BD3">
            <w:pPr>
              <w:pStyle w:val="Text"/>
              <w:tabs>
                <w:tab w:val="left" w:pos="0"/>
              </w:tabs>
            </w:pPr>
            <w:r>
              <w:t>Årlige materielle omkostninger:</w:t>
            </w:r>
          </w:p>
        </w:tc>
        <w:tc>
          <w:tcPr>
            <w:tcW w:w="4465" w:type="dxa"/>
          </w:tcPr>
          <w:p w14:paraId="77320B51" w14:textId="77777777" w:rsidR="009969BE" w:rsidRPr="00D43FA1" w:rsidRDefault="009969BE" w:rsidP="000636B3">
            <w:pPr>
              <w:pStyle w:val="Text"/>
              <w:jc w:val="left"/>
            </w:pPr>
            <w:r>
              <w:t>Ca. 10 000 EUR (skøn) (udstyrsvedligeholdelse, forbrugsmateriale, reparationer osv.)</w:t>
            </w:r>
          </w:p>
        </w:tc>
      </w:tr>
      <w:tr w:rsidR="009969BE" w:rsidRPr="00D43FA1" w14:paraId="5B2A82B8" w14:textId="77777777" w:rsidTr="0070360F">
        <w:tc>
          <w:tcPr>
            <w:tcW w:w="4464" w:type="dxa"/>
          </w:tcPr>
          <w:p w14:paraId="6BFC2AFE" w14:textId="76CDD47F" w:rsidR="009969BE" w:rsidRPr="00D43FA1" w:rsidRDefault="009969BE" w:rsidP="00E24BD3">
            <w:pPr>
              <w:pStyle w:val="Text"/>
              <w:tabs>
                <w:tab w:val="left" w:pos="0"/>
              </w:tabs>
            </w:pPr>
            <w:r>
              <w:t>Årlige personaleomkostninger:</w:t>
            </w:r>
          </w:p>
        </w:tc>
        <w:tc>
          <w:tcPr>
            <w:tcW w:w="4465" w:type="dxa"/>
          </w:tcPr>
          <w:p w14:paraId="440A534D" w14:textId="6BDB973C" w:rsidR="000636B3" w:rsidRPr="00D43FA1" w:rsidRDefault="000636B3" w:rsidP="00E24BD3">
            <w:pPr>
              <w:contextualSpacing/>
              <w:jc w:val="left"/>
            </w:pPr>
            <w:r>
              <w:t>Ca. 60 000 EUR (under antagelse af 50 % anvendelse af en kemi-teknisk assistent og en laboratorieleder. De faktiske årlige personaleomkostninger vil afhænge af det faktiske antal prøver og den faktiske indsats til dokumentkontrollen).</w:t>
            </w:r>
          </w:p>
        </w:tc>
      </w:tr>
    </w:tbl>
    <w:p w14:paraId="08E5AD35" w14:textId="2F20F6E7" w:rsidR="007C7B00" w:rsidRPr="00D43FA1" w:rsidRDefault="007C7B00" w:rsidP="009969BE">
      <w:pPr>
        <w:pStyle w:val="Text"/>
        <w:spacing w:before="0" w:after="0"/>
      </w:pPr>
    </w:p>
    <w:p w14:paraId="37B8C963" w14:textId="77777777" w:rsidR="00D43FA1" w:rsidRPr="008B2724" w:rsidRDefault="007C7B00" w:rsidP="00BE6637">
      <w:pPr>
        <w:pStyle w:val="ListParagraph"/>
        <w:ind w:left="0"/>
        <w:contextualSpacing/>
        <w:rPr>
          <w:rFonts w:ascii="Arial" w:hAnsi="Arial" w:cs="Arial"/>
          <w:spacing w:val="-4"/>
          <w:sz w:val="22"/>
          <w:szCs w:val="22"/>
        </w:rPr>
      </w:pPr>
      <w:r w:rsidRPr="008B2724">
        <w:rPr>
          <w:rFonts w:ascii="Arial" w:hAnsi="Arial"/>
          <w:spacing w:val="-4"/>
          <w:sz w:val="22"/>
        </w:rPr>
        <w:t xml:space="preserve">De kendte omkostninger omfatter indsatsen til analysen og omkostningerne for kun en del af dokumentkontrollen hos undersøgelsesenheden, eftersom der på området for fremstilling og markedsføring af materialer og genstande, der kommer i kontakt med fødevarer, ikke er nogen pligt til registrering af virksomheder og dermed ikke foreligger nogen fuldstændige data om tal for producenter af materialer og genstande, der kommer i kontakt med fødevarer, og som er omfattet af bekendtgørelsen, og for virksomheder, der markedsfører dem. </w:t>
      </w:r>
    </w:p>
    <w:p w14:paraId="2817F13E" w14:textId="50A3D1E9" w:rsidR="00BE6637" w:rsidRPr="00D43FA1" w:rsidRDefault="00BE6637" w:rsidP="00BE6637">
      <w:pPr>
        <w:pStyle w:val="ListParagraph"/>
        <w:ind w:left="0"/>
        <w:contextualSpacing/>
        <w:rPr>
          <w:rFonts w:ascii="Arial" w:hAnsi="Arial" w:cs="Arial"/>
          <w:sz w:val="22"/>
          <w:szCs w:val="22"/>
        </w:rPr>
      </w:pPr>
    </w:p>
    <w:p w14:paraId="151285E1" w14:textId="733E5B75" w:rsidR="007C7B00" w:rsidRPr="00D43FA1" w:rsidRDefault="007C7B00" w:rsidP="0070360F">
      <w:pPr>
        <w:pStyle w:val="Text"/>
        <w:keepNext/>
        <w:keepLines/>
        <w:spacing w:before="0" w:after="0"/>
        <w:rPr>
          <w:u w:val="single"/>
        </w:rPr>
      </w:pPr>
      <w:r>
        <w:rPr>
          <w:u w:val="single"/>
        </w:rPr>
        <w:t>Bayern:</w:t>
      </w:r>
    </w:p>
    <w:p w14:paraId="02A6CCC7" w14:textId="77777777" w:rsidR="007C7B00" w:rsidRPr="00D43FA1" w:rsidRDefault="007C7B00" w:rsidP="0070360F">
      <w:pPr>
        <w:pStyle w:val="Text"/>
        <w:keepNext/>
        <w:keepLines/>
        <w:spacing w:before="0" w:after="0"/>
        <w:rPr>
          <w:u w:val="single"/>
        </w:rPr>
      </w:pPr>
    </w:p>
    <w:tbl>
      <w:tblPr>
        <w:tblStyle w:val="TableGrid"/>
        <w:tblW w:w="0" w:type="auto"/>
        <w:tblLook w:val="04A0" w:firstRow="1" w:lastRow="0" w:firstColumn="1" w:lastColumn="0" w:noHBand="0" w:noVBand="1"/>
      </w:tblPr>
      <w:tblGrid>
        <w:gridCol w:w="4414"/>
        <w:gridCol w:w="4365"/>
      </w:tblGrid>
      <w:tr w:rsidR="00C27F02" w:rsidRPr="00D43FA1" w14:paraId="34B0347D" w14:textId="77777777" w:rsidTr="00C27F02">
        <w:tc>
          <w:tcPr>
            <w:tcW w:w="4464" w:type="dxa"/>
          </w:tcPr>
          <w:p w14:paraId="540A9F12" w14:textId="26DBDA32" w:rsidR="00C27F02" w:rsidRPr="00D43FA1" w:rsidRDefault="00C27F02" w:rsidP="00E24BD3">
            <w:pPr>
              <w:pStyle w:val="Text"/>
              <w:rPr>
                <w:u w:val="single"/>
              </w:rPr>
            </w:pPr>
            <w:r>
              <w:rPr>
                <w:color w:val="000000"/>
              </w:rPr>
              <w:t>Materielle engangsomkostninger:</w:t>
            </w:r>
          </w:p>
        </w:tc>
        <w:tc>
          <w:tcPr>
            <w:tcW w:w="4465" w:type="dxa"/>
          </w:tcPr>
          <w:p w14:paraId="368558E6" w14:textId="77777777" w:rsidR="000636B3" w:rsidRPr="00D43FA1" w:rsidRDefault="000636B3" w:rsidP="000636B3">
            <w:pPr>
              <w:pStyle w:val="Text"/>
              <w:rPr>
                <w:color w:val="000000"/>
              </w:rPr>
            </w:pPr>
            <w:r>
              <w:rPr>
                <w:color w:val="000000"/>
              </w:rPr>
              <w:t xml:space="preserve">Ca. 200 000 EUR </w:t>
            </w:r>
          </w:p>
        </w:tc>
      </w:tr>
      <w:tr w:rsidR="00C27F02" w:rsidRPr="00D43FA1" w14:paraId="39092A00" w14:textId="77777777" w:rsidTr="00C27F02">
        <w:tc>
          <w:tcPr>
            <w:tcW w:w="4464" w:type="dxa"/>
          </w:tcPr>
          <w:p w14:paraId="66DA7D71" w14:textId="368D4C6E" w:rsidR="00C27F02" w:rsidRPr="00D43FA1" w:rsidRDefault="00C27F02" w:rsidP="00E24BD3">
            <w:pPr>
              <w:pStyle w:val="Text"/>
              <w:rPr>
                <w:u w:val="single"/>
              </w:rPr>
            </w:pPr>
            <w:r>
              <w:rPr>
                <w:color w:val="000000"/>
              </w:rPr>
              <w:t>Årlige personaleomkostninger:</w:t>
            </w:r>
          </w:p>
        </w:tc>
        <w:tc>
          <w:tcPr>
            <w:tcW w:w="4465" w:type="dxa"/>
          </w:tcPr>
          <w:p w14:paraId="670B56AD" w14:textId="77777777" w:rsidR="000636B3" w:rsidRPr="00D43FA1" w:rsidRDefault="000636B3" w:rsidP="000636B3">
            <w:pPr>
              <w:pStyle w:val="Text"/>
              <w:rPr>
                <w:color w:val="000000"/>
              </w:rPr>
            </w:pPr>
            <w:r>
              <w:rPr>
                <w:color w:val="000000"/>
              </w:rPr>
              <w:t xml:space="preserve">Ca. 72 000 EUR </w:t>
            </w:r>
          </w:p>
        </w:tc>
      </w:tr>
      <w:tr w:rsidR="00C27F02" w:rsidRPr="00D43FA1" w14:paraId="0687D805" w14:textId="77777777" w:rsidTr="00C27F02">
        <w:tc>
          <w:tcPr>
            <w:tcW w:w="4464" w:type="dxa"/>
          </w:tcPr>
          <w:p w14:paraId="2F9D2535" w14:textId="77777777" w:rsidR="00C27F02" w:rsidRPr="00D43FA1" w:rsidRDefault="00C27F02" w:rsidP="000636B3">
            <w:pPr>
              <w:pStyle w:val="Text"/>
              <w:rPr>
                <w:u w:val="single"/>
              </w:rPr>
            </w:pPr>
            <w:r>
              <w:rPr>
                <w:color w:val="000000"/>
              </w:rPr>
              <w:t xml:space="preserve">Årlige materielle omkostninger: </w:t>
            </w:r>
          </w:p>
        </w:tc>
        <w:tc>
          <w:tcPr>
            <w:tcW w:w="4465" w:type="dxa"/>
          </w:tcPr>
          <w:p w14:paraId="3AA9289D" w14:textId="77777777" w:rsidR="000636B3" w:rsidRPr="00D43FA1" w:rsidRDefault="000636B3" w:rsidP="000636B3">
            <w:pPr>
              <w:pStyle w:val="Text"/>
              <w:rPr>
                <w:color w:val="000000"/>
              </w:rPr>
            </w:pPr>
            <w:r>
              <w:rPr>
                <w:color w:val="000000"/>
              </w:rPr>
              <w:t xml:space="preserve">Ca. 10 000 EUR </w:t>
            </w:r>
          </w:p>
        </w:tc>
      </w:tr>
    </w:tbl>
    <w:p w14:paraId="2476E826" w14:textId="77777777" w:rsidR="00C27F02" w:rsidRPr="00D43FA1" w:rsidRDefault="00C27F02" w:rsidP="001D09DD">
      <w:pPr>
        <w:pStyle w:val="Text"/>
        <w:spacing w:before="0" w:after="0"/>
        <w:rPr>
          <w:u w:val="single"/>
        </w:rPr>
      </w:pPr>
    </w:p>
    <w:p w14:paraId="00B4B35B" w14:textId="77777777" w:rsidR="00042625" w:rsidRPr="00D43FA1" w:rsidRDefault="00042625" w:rsidP="0070360F">
      <w:pPr>
        <w:pStyle w:val="Text"/>
        <w:keepNext/>
        <w:keepLines/>
        <w:spacing w:before="0" w:after="0"/>
        <w:rPr>
          <w:u w:val="single"/>
        </w:rPr>
      </w:pPr>
      <w:r>
        <w:rPr>
          <w:u w:val="single"/>
        </w:rPr>
        <w:t>Niedersachsen:</w:t>
      </w:r>
    </w:p>
    <w:p w14:paraId="2F514A5B" w14:textId="77777777" w:rsidR="00042625" w:rsidRPr="00D43FA1" w:rsidRDefault="00042625" w:rsidP="0070360F">
      <w:pPr>
        <w:pStyle w:val="Text"/>
        <w:keepNext/>
        <w:keepLines/>
        <w:spacing w:before="0" w:after="0"/>
        <w:rPr>
          <w:u w:val="single"/>
        </w:rPr>
      </w:pPr>
    </w:p>
    <w:tbl>
      <w:tblPr>
        <w:tblStyle w:val="TableGrid"/>
        <w:tblW w:w="0" w:type="auto"/>
        <w:tblLook w:val="04A0" w:firstRow="1" w:lastRow="0" w:firstColumn="1" w:lastColumn="0" w:noHBand="0" w:noVBand="1"/>
      </w:tblPr>
      <w:tblGrid>
        <w:gridCol w:w="4392"/>
        <w:gridCol w:w="4387"/>
      </w:tblGrid>
      <w:tr w:rsidR="0092712D" w:rsidRPr="00D43FA1" w14:paraId="4A665A3C" w14:textId="77777777" w:rsidTr="0092712D">
        <w:tc>
          <w:tcPr>
            <w:tcW w:w="4464" w:type="dxa"/>
          </w:tcPr>
          <w:p w14:paraId="5C9E438C" w14:textId="77777777" w:rsidR="0092712D" w:rsidRPr="00D43FA1" w:rsidRDefault="0092712D" w:rsidP="001D09DD">
            <w:pPr>
              <w:pStyle w:val="Text"/>
              <w:spacing w:before="0" w:after="0"/>
              <w:rPr>
                <w:u w:val="single"/>
              </w:rPr>
            </w:pPr>
            <w:r>
              <w:t>Materielle engangsomkostninger: </w:t>
            </w:r>
          </w:p>
        </w:tc>
        <w:tc>
          <w:tcPr>
            <w:tcW w:w="4465" w:type="dxa"/>
          </w:tcPr>
          <w:p w14:paraId="3E9249EF" w14:textId="7A6FADAD" w:rsidR="0092712D" w:rsidRPr="00D43FA1" w:rsidRDefault="0092712D" w:rsidP="00CB2B7C">
            <w:pPr>
              <w:spacing w:before="0" w:after="0"/>
              <w:jc w:val="left"/>
            </w:pPr>
            <w:r>
              <w:t>170 000 EUR (udstyrsomkostninger for HPLC-GC-kobling)</w:t>
            </w:r>
          </w:p>
          <w:p w14:paraId="0D2B1F8F" w14:textId="77777777" w:rsidR="0092712D" w:rsidRPr="00D43FA1" w:rsidRDefault="0092712D" w:rsidP="00CB2B7C">
            <w:pPr>
              <w:pStyle w:val="Text"/>
              <w:spacing w:before="0" w:after="0"/>
              <w:jc w:val="left"/>
              <w:rPr>
                <w:u w:val="single"/>
              </w:rPr>
            </w:pPr>
          </w:p>
        </w:tc>
      </w:tr>
      <w:tr w:rsidR="0092712D" w:rsidRPr="00D43FA1" w14:paraId="69EEBE27" w14:textId="77777777" w:rsidTr="0092712D">
        <w:tc>
          <w:tcPr>
            <w:tcW w:w="4464" w:type="dxa"/>
          </w:tcPr>
          <w:p w14:paraId="53A08CDB" w14:textId="72CBA0D6" w:rsidR="0092712D" w:rsidRPr="00D43FA1" w:rsidRDefault="0092712D" w:rsidP="00E24BD3">
            <w:pPr>
              <w:pStyle w:val="Text"/>
              <w:spacing w:before="0" w:after="0"/>
              <w:rPr>
                <w:u w:val="single"/>
              </w:rPr>
            </w:pPr>
            <w:r>
              <w:t>Årlige omkostninger:</w:t>
            </w:r>
          </w:p>
        </w:tc>
        <w:tc>
          <w:tcPr>
            <w:tcW w:w="4465" w:type="dxa"/>
          </w:tcPr>
          <w:p w14:paraId="51489E53" w14:textId="640CCC19" w:rsidR="0092712D" w:rsidRPr="00D43FA1" w:rsidRDefault="0092712D" w:rsidP="00CB2B7C">
            <w:pPr>
              <w:pStyle w:val="Text"/>
              <w:spacing w:before="0" w:after="0"/>
              <w:jc w:val="left"/>
              <w:rPr>
                <w:u w:val="single"/>
              </w:rPr>
            </w:pPr>
            <w:r>
              <w:t>52 000 EUR (med udgangspunkt i 200 prøver, der skal undersøges, og 40 dokumentkontroller pr. år</w:t>
            </w:r>
            <w:r>
              <w:rPr>
                <w:rFonts w:ascii="Calibri" w:hAnsi="Calibri"/>
              </w:rPr>
              <w:t>)</w:t>
            </w:r>
          </w:p>
        </w:tc>
      </w:tr>
    </w:tbl>
    <w:p w14:paraId="0701BC82" w14:textId="44B2969E" w:rsidR="00042625" w:rsidRPr="00D43FA1" w:rsidRDefault="00042625" w:rsidP="00891D8C">
      <w:pPr>
        <w:spacing w:before="0" w:after="0"/>
        <w:rPr>
          <w:rFonts w:ascii="Calibri" w:hAnsi="Calibri"/>
        </w:rPr>
      </w:pPr>
    </w:p>
    <w:p w14:paraId="68A96EA3" w14:textId="77777777" w:rsidR="007C7B00" w:rsidRPr="00D43FA1" w:rsidRDefault="007C7B00" w:rsidP="0070360F">
      <w:pPr>
        <w:pStyle w:val="Text"/>
        <w:keepNext/>
        <w:keepLines/>
        <w:spacing w:before="0" w:after="0"/>
        <w:rPr>
          <w:u w:val="single"/>
        </w:rPr>
      </w:pPr>
      <w:r>
        <w:rPr>
          <w:u w:val="single"/>
        </w:rPr>
        <w:t>Slesvig-Holsten:</w:t>
      </w:r>
    </w:p>
    <w:p w14:paraId="470651E2" w14:textId="77777777" w:rsidR="007C7B00" w:rsidRPr="00D43FA1" w:rsidRDefault="007C7B00" w:rsidP="0070360F">
      <w:pPr>
        <w:pStyle w:val="Text"/>
        <w:keepNext/>
        <w:keepLines/>
        <w:spacing w:before="0" w:after="0"/>
        <w:rPr>
          <w:u w:val="single"/>
        </w:rPr>
      </w:pPr>
    </w:p>
    <w:tbl>
      <w:tblPr>
        <w:tblStyle w:val="TableGrid"/>
        <w:tblW w:w="0" w:type="auto"/>
        <w:tblLook w:val="04A0" w:firstRow="1" w:lastRow="0" w:firstColumn="1" w:lastColumn="0" w:noHBand="0" w:noVBand="1"/>
      </w:tblPr>
      <w:tblGrid>
        <w:gridCol w:w="4415"/>
        <w:gridCol w:w="4364"/>
      </w:tblGrid>
      <w:tr w:rsidR="0092712D" w:rsidRPr="00D43FA1" w14:paraId="2868753F" w14:textId="77777777" w:rsidTr="00CB2B7C">
        <w:tc>
          <w:tcPr>
            <w:tcW w:w="4464" w:type="dxa"/>
          </w:tcPr>
          <w:p w14:paraId="58802FCE" w14:textId="584D20E4" w:rsidR="0092712D" w:rsidRPr="00D43FA1" w:rsidRDefault="0092712D" w:rsidP="00E24BD3">
            <w:pPr>
              <w:pStyle w:val="Text"/>
              <w:rPr>
                <w:u w:val="single"/>
              </w:rPr>
            </w:pPr>
            <w:r>
              <w:rPr>
                <w:color w:val="000000"/>
              </w:rPr>
              <w:t>Materielle engangsomkostninger:</w:t>
            </w:r>
          </w:p>
        </w:tc>
        <w:tc>
          <w:tcPr>
            <w:tcW w:w="4465" w:type="dxa"/>
          </w:tcPr>
          <w:p w14:paraId="48B6D078" w14:textId="77777777" w:rsidR="0092712D" w:rsidRPr="00D43FA1" w:rsidRDefault="0092712D" w:rsidP="00CB2B7C">
            <w:pPr>
              <w:pStyle w:val="Text"/>
              <w:jc w:val="left"/>
              <w:rPr>
                <w:color w:val="000000"/>
              </w:rPr>
            </w:pPr>
            <w:r>
              <w:rPr>
                <w:color w:val="000000"/>
              </w:rPr>
              <w:t>238 000 EUR (udstyrsomkostninger for LC-GC-kobling, udstyret blev anskaffet i marts/april 2017)</w:t>
            </w:r>
          </w:p>
        </w:tc>
      </w:tr>
      <w:tr w:rsidR="0092712D" w:rsidRPr="00D43FA1" w14:paraId="35D9098E" w14:textId="77777777" w:rsidTr="00CB2B7C">
        <w:tc>
          <w:tcPr>
            <w:tcW w:w="4464" w:type="dxa"/>
          </w:tcPr>
          <w:p w14:paraId="4A66A9B5" w14:textId="1366BFA4" w:rsidR="0092712D" w:rsidRPr="00D43FA1" w:rsidRDefault="0092712D" w:rsidP="00E24BD3">
            <w:pPr>
              <w:pStyle w:val="Text"/>
              <w:rPr>
                <w:u w:val="single"/>
              </w:rPr>
            </w:pPr>
            <w:r>
              <w:rPr>
                <w:color w:val="000000"/>
              </w:rPr>
              <w:lastRenderedPageBreak/>
              <w:t xml:space="preserve">Engangspersonaleomkostninger: </w:t>
            </w:r>
          </w:p>
        </w:tc>
        <w:tc>
          <w:tcPr>
            <w:tcW w:w="4465" w:type="dxa"/>
          </w:tcPr>
          <w:p w14:paraId="5F896AF4" w14:textId="77777777" w:rsidR="0092712D" w:rsidRPr="00D43FA1" w:rsidRDefault="0092712D" w:rsidP="0092712D">
            <w:pPr>
              <w:pStyle w:val="Text"/>
              <w:rPr>
                <w:color w:val="000000"/>
              </w:rPr>
            </w:pPr>
            <w:r>
              <w:rPr>
                <w:color w:val="000000"/>
              </w:rPr>
              <w:t>5 000 EUR (videreuddannelse)</w:t>
            </w:r>
          </w:p>
        </w:tc>
      </w:tr>
      <w:tr w:rsidR="0092712D" w:rsidRPr="00D43FA1" w14:paraId="3E394749" w14:textId="77777777" w:rsidTr="00CB2B7C">
        <w:tc>
          <w:tcPr>
            <w:tcW w:w="4464" w:type="dxa"/>
          </w:tcPr>
          <w:p w14:paraId="62504A2D" w14:textId="77777777" w:rsidR="0092712D" w:rsidRPr="00D43FA1" w:rsidRDefault="0092712D" w:rsidP="0092712D">
            <w:pPr>
              <w:pStyle w:val="Text"/>
              <w:rPr>
                <w:u w:val="single"/>
              </w:rPr>
            </w:pPr>
            <w:r>
              <w:rPr>
                <w:color w:val="000000"/>
              </w:rPr>
              <w:t xml:space="preserve">Årlige personaleomkostninger: </w:t>
            </w:r>
          </w:p>
        </w:tc>
        <w:tc>
          <w:tcPr>
            <w:tcW w:w="4465" w:type="dxa"/>
          </w:tcPr>
          <w:p w14:paraId="3D3A8607" w14:textId="77777777" w:rsidR="0092712D" w:rsidRPr="00D43FA1" w:rsidRDefault="00234C16" w:rsidP="00CB2B7C">
            <w:pPr>
              <w:pStyle w:val="Text"/>
              <w:tabs>
                <w:tab w:val="left" w:pos="2694"/>
              </w:tabs>
              <w:spacing w:after="0"/>
              <w:jc w:val="left"/>
              <w:rPr>
                <w:color w:val="000000"/>
              </w:rPr>
            </w:pPr>
            <w:r>
              <w:rPr>
                <w:color w:val="000000"/>
              </w:rPr>
              <w:t>Ca. 70 000 EUR (0,5 stilling til videnskabelig medarbejder E14</w:t>
            </w:r>
          </w:p>
          <w:p w14:paraId="093480AE" w14:textId="77777777" w:rsidR="0092712D" w:rsidRPr="00D43FA1" w:rsidRDefault="0092712D" w:rsidP="0092712D">
            <w:pPr>
              <w:pStyle w:val="Text"/>
              <w:tabs>
                <w:tab w:val="left" w:pos="2694"/>
              </w:tabs>
              <w:spacing w:before="0"/>
              <w:rPr>
                <w:color w:val="000000"/>
              </w:rPr>
            </w:pPr>
            <w:r>
              <w:rPr>
                <w:color w:val="000000"/>
              </w:rPr>
              <w:t>1 stilling til teknisk medarbejder E9)</w:t>
            </w:r>
          </w:p>
        </w:tc>
      </w:tr>
    </w:tbl>
    <w:p w14:paraId="36709E93" w14:textId="1D323CAC" w:rsidR="007C7B00" w:rsidRPr="00D43FA1" w:rsidRDefault="007C7B00" w:rsidP="0092712D">
      <w:pPr>
        <w:pStyle w:val="Text"/>
        <w:tabs>
          <w:tab w:val="left" w:pos="2694"/>
        </w:tabs>
        <w:spacing w:before="0" w:after="0"/>
        <w:rPr>
          <w:color w:val="000000"/>
        </w:rPr>
      </w:pPr>
    </w:p>
    <w:p w14:paraId="19804C30" w14:textId="77777777" w:rsidR="00F063FD" w:rsidRPr="00D43FA1" w:rsidRDefault="00042625" w:rsidP="0070360F">
      <w:pPr>
        <w:pStyle w:val="Text"/>
        <w:keepNext/>
        <w:keepLines/>
        <w:tabs>
          <w:tab w:val="left" w:pos="0"/>
        </w:tabs>
        <w:spacing w:before="0" w:after="0"/>
        <w:rPr>
          <w:color w:val="000000"/>
          <w:u w:val="single"/>
        </w:rPr>
      </w:pPr>
      <w:r>
        <w:rPr>
          <w:color w:val="000000"/>
          <w:u w:val="single"/>
        </w:rPr>
        <w:t>Sachsen:</w:t>
      </w:r>
    </w:p>
    <w:p w14:paraId="69F79EA8" w14:textId="77777777" w:rsidR="00891D8C" w:rsidRPr="00D43FA1" w:rsidRDefault="00891D8C" w:rsidP="0070360F">
      <w:pPr>
        <w:pStyle w:val="Text"/>
        <w:keepNext/>
        <w:keepLines/>
        <w:tabs>
          <w:tab w:val="left" w:pos="0"/>
        </w:tabs>
        <w:spacing w:before="0" w:after="0"/>
        <w:rPr>
          <w:color w:val="000000"/>
          <w:u w:val="single"/>
        </w:rPr>
      </w:pPr>
    </w:p>
    <w:tbl>
      <w:tblPr>
        <w:tblStyle w:val="TableGrid"/>
        <w:tblW w:w="0" w:type="auto"/>
        <w:tblLook w:val="04A0" w:firstRow="1" w:lastRow="0" w:firstColumn="1" w:lastColumn="0" w:noHBand="0" w:noVBand="1"/>
      </w:tblPr>
      <w:tblGrid>
        <w:gridCol w:w="4411"/>
        <w:gridCol w:w="4368"/>
      </w:tblGrid>
      <w:tr w:rsidR="00891D8C" w:rsidRPr="00D43FA1" w14:paraId="01F0B13B" w14:textId="77777777" w:rsidTr="00891D8C">
        <w:tc>
          <w:tcPr>
            <w:tcW w:w="4464" w:type="dxa"/>
          </w:tcPr>
          <w:p w14:paraId="5B8E8F56" w14:textId="27013CAF" w:rsidR="00891D8C" w:rsidRPr="00D43FA1" w:rsidRDefault="00891D8C" w:rsidP="00E24BD3">
            <w:pPr>
              <w:pStyle w:val="Text"/>
              <w:tabs>
                <w:tab w:val="left" w:pos="0"/>
              </w:tabs>
              <w:rPr>
                <w:color w:val="000000"/>
                <w:u w:val="single"/>
              </w:rPr>
            </w:pPr>
            <w:r>
              <w:t>Materielle engangsomkostninger:</w:t>
            </w:r>
          </w:p>
        </w:tc>
        <w:tc>
          <w:tcPr>
            <w:tcW w:w="4465" w:type="dxa"/>
          </w:tcPr>
          <w:p w14:paraId="071DBD33" w14:textId="77777777" w:rsidR="00891D8C" w:rsidRPr="00D43FA1" w:rsidRDefault="00891D8C" w:rsidP="00CB2B7C">
            <w:pPr>
              <w:pStyle w:val="Text"/>
              <w:tabs>
                <w:tab w:val="left" w:pos="0"/>
              </w:tabs>
              <w:jc w:val="left"/>
            </w:pPr>
            <w:r>
              <w:t>230 000 EUR (anskaffelse af udstyr)</w:t>
            </w:r>
          </w:p>
          <w:p w14:paraId="1AEFF0AC" w14:textId="77777777" w:rsidR="00891D8C" w:rsidRPr="00D43FA1" w:rsidRDefault="00891D8C" w:rsidP="00CB2B7C">
            <w:pPr>
              <w:pStyle w:val="Text"/>
              <w:tabs>
                <w:tab w:val="left" w:pos="0"/>
              </w:tabs>
              <w:jc w:val="left"/>
              <w:rPr>
                <w:color w:val="000000"/>
                <w:u w:val="single"/>
              </w:rPr>
            </w:pPr>
          </w:p>
        </w:tc>
      </w:tr>
      <w:tr w:rsidR="00891D8C" w:rsidRPr="00D43FA1" w14:paraId="5A54C1C3" w14:textId="77777777" w:rsidTr="00891D8C">
        <w:tc>
          <w:tcPr>
            <w:tcW w:w="4464" w:type="dxa"/>
          </w:tcPr>
          <w:p w14:paraId="09CBE780" w14:textId="77777777" w:rsidR="00891D8C" w:rsidRPr="00D43FA1" w:rsidRDefault="00891D8C" w:rsidP="00891D8C">
            <w:pPr>
              <w:pStyle w:val="Text"/>
              <w:tabs>
                <w:tab w:val="left" w:pos="0"/>
              </w:tabs>
              <w:rPr>
                <w:color w:val="000000"/>
                <w:u w:val="single"/>
              </w:rPr>
            </w:pPr>
            <w:r>
              <w:t>Engangspersonaleomkostninger:</w:t>
            </w:r>
          </w:p>
        </w:tc>
        <w:tc>
          <w:tcPr>
            <w:tcW w:w="4465" w:type="dxa"/>
          </w:tcPr>
          <w:p w14:paraId="6E7CBC6B" w14:textId="77777777" w:rsidR="00891D8C" w:rsidRPr="00D43FA1" w:rsidRDefault="00891D8C" w:rsidP="00CB2B7C">
            <w:pPr>
              <w:pStyle w:val="Text"/>
              <w:jc w:val="left"/>
              <w:rPr>
                <w:color w:val="000000"/>
                <w:u w:val="single"/>
              </w:rPr>
            </w:pPr>
            <w:r>
              <w:t>83 000 EUR (0,5 fuldtidsækvivalent, løngruppe Ü13, og 1,0 fuldtidsækvivalent, løngruppe 6, i indkøringsfasen til det relevante analyseudstyr og anvendelse af metoden)</w:t>
            </w:r>
          </w:p>
          <w:p w14:paraId="42553811" w14:textId="77777777" w:rsidR="00891D8C" w:rsidRPr="00D43FA1" w:rsidRDefault="00891D8C" w:rsidP="00CB2B7C">
            <w:pPr>
              <w:pStyle w:val="Text"/>
              <w:tabs>
                <w:tab w:val="left" w:pos="0"/>
              </w:tabs>
              <w:jc w:val="left"/>
              <w:rPr>
                <w:color w:val="000000"/>
                <w:u w:val="single"/>
              </w:rPr>
            </w:pPr>
          </w:p>
        </w:tc>
      </w:tr>
      <w:tr w:rsidR="00891D8C" w:rsidRPr="00D43FA1" w14:paraId="407BBBD1" w14:textId="77777777" w:rsidTr="00891D8C">
        <w:tc>
          <w:tcPr>
            <w:tcW w:w="4464" w:type="dxa"/>
          </w:tcPr>
          <w:p w14:paraId="009A2AAA" w14:textId="77777777" w:rsidR="00891D8C" w:rsidRPr="00D43FA1" w:rsidRDefault="00891D8C" w:rsidP="00891D8C">
            <w:pPr>
              <w:pStyle w:val="Text"/>
              <w:tabs>
                <w:tab w:val="left" w:pos="0"/>
              </w:tabs>
              <w:rPr>
                <w:color w:val="000000"/>
                <w:u w:val="single"/>
              </w:rPr>
            </w:pPr>
            <w:r>
              <w:t xml:space="preserve">Årlige materielle omkostninger: </w:t>
            </w:r>
          </w:p>
        </w:tc>
        <w:tc>
          <w:tcPr>
            <w:tcW w:w="4465" w:type="dxa"/>
          </w:tcPr>
          <w:p w14:paraId="3563608C" w14:textId="77777777" w:rsidR="00891D8C" w:rsidRPr="00D43FA1" w:rsidRDefault="00891D8C" w:rsidP="00CB2B7C">
            <w:pPr>
              <w:pStyle w:val="Text"/>
              <w:tabs>
                <w:tab w:val="left" w:pos="0"/>
              </w:tabs>
              <w:jc w:val="left"/>
              <w:rPr>
                <w:color w:val="000000"/>
                <w:u w:val="single"/>
              </w:rPr>
            </w:pPr>
            <w:r>
              <w:t>Ca. 6 000 til 8 000 EUR (udstyrsvedligeholdelse, forbrugsmateriale, reparation)</w:t>
            </w:r>
          </w:p>
        </w:tc>
      </w:tr>
      <w:tr w:rsidR="00891D8C" w:rsidRPr="00D43FA1" w14:paraId="32B3A7A2" w14:textId="77777777" w:rsidTr="00891D8C">
        <w:tc>
          <w:tcPr>
            <w:tcW w:w="4464" w:type="dxa"/>
          </w:tcPr>
          <w:p w14:paraId="65E127E0" w14:textId="77777777" w:rsidR="00891D8C" w:rsidRPr="00D43FA1" w:rsidRDefault="00891D8C" w:rsidP="00891D8C">
            <w:pPr>
              <w:pStyle w:val="Text"/>
              <w:tabs>
                <w:tab w:val="left" w:pos="0"/>
              </w:tabs>
              <w:rPr>
                <w:color w:val="000000"/>
                <w:u w:val="single"/>
              </w:rPr>
            </w:pPr>
            <w:r>
              <w:t xml:space="preserve">Årlige personaleomkostninger: </w:t>
            </w:r>
          </w:p>
        </w:tc>
        <w:tc>
          <w:tcPr>
            <w:tcW w:w="4465" w:type="dxa"/>
          </w:tcPr>
          <w:p w14:paraId="09C3AC3F" w14:textId="77777777" w:rsidR="00891D8C" w:rsidRPr="00D43FA1" w:rsidRDefault="00891D8C" w:rsidP="00CB2B7C">
            <w:pPr>
              <w:pStyle w:val="Text"/>
              <w:tabs>
                <w:tab w:val="left" w:pos="0"/>
              </w:tabs>
              <w:jc w:val="left"/>
              <w:rPr>
                <w:color w:val="000000"/>
                <w:u w:val="single"/>
              </w:rPr>
            </w:pPr>
            <w:r>
              <w:t>Ca. 90 000 EUR (2,0 fuldtidsækvivalenter, løngruppe 6, under rutinedrift)</w:t>
            </w:r>
          </w:p>
        </w:tc>
      </w:tr>
    </w:tbl>
    <w:p w14:paraId="01533E4B" w14:textId="093896D0" w:rsidR="007C7B00" w:rsidRPr="00D43FA1" w:rsidRDefault="007C7B00" w:rsidP="00891D8C">
      <w:pPr>
        <w:pStyle w:val="Text"/>
        <w:spacing w:before="0" w:after="0"/>
        <w:ind w:left="2694" w:hanging="2694"/>
      </w:pPr>
    </w:p>
    <w:p w14:paraId="00EEF1D6" w14:textId="77777777" w:rsidR="00D43FA1" w:rsidRDefault="00042625" w:rsidP="00E24BD3">
      <w:pPr>
        <w:pStyle w:val="Text"/>
        <w:spacing w:before="0" w:after="0"/>
      </w:pPr>
      <w:r>
        <w:rPr>
          <w:color w:val="000000"/>
          <w:u w:val="single"/>
        </w:rPr>
        <w:t>Sachsen-Anhalt</w:t>
      </w:r>
      <w:r>
        <w:rPr>
          <w:color w:val="000000"/>
        </w:rPr>
        <w:t xml:space="preserve"> </w:t>
      </w:r>
      <w:r>
        <w:t>kunne hidtil ikke sætte tal på de opstående engangsomkostninger og tilbagevendende omkostninger.</w:t>
      </w:r>
    </w:p>
    <w:p w14:paraId="3F91406B" w14:textId="494897A8" w:rsidR="00977AB9" w:rsidRPr="00D43FA1" w:rsidRDefault="00042625" w:rsidP="00E24BD3">
      <w:pPr>
        <w:pStyle w:val="Text"/>
        <w:spacing w:before="0" w:after="0"/>
      </w:pPr>
      <w:r>
        <w:t xml:space="preserve"> </w:t>
      </w:r>
    </w:p>
    <w:p w14:paraId="2291BC65" w14:textId="0F1CA2AE" w:rsidR="00042625" w:rsidRDefault="00042625" w:rsidP="00E24BD3">
      <w:pPr>
        <w:pStyle w:val="Text"/>
        <w:spacing w:before="0" w:after="0"/>
        <w:rPr>
          <w:color w:val="000000"/>
        </w:rPr>
      </w:pPr>
      <w:r>
        <w:rPr>
          <w:color w:val="000000"/>
          <w:u w:val="single"/>
        </w:rPr>
        <w:t>Thüringen</w:t>
      </w:r>
      <w:r>
        <w:rPr>
          <w:color w:val="000000"/>
        </w:rPr>
        <w:t xml:space="preserve"> meddelte, at engangsomkostninger i ikke ubetydeligt omfang vil være sandsynlige. Thüringen kunne imidlertid ikke give en detaljeret oplysning om omkostningerne på dette stadie. </w:t>
      </w:r>
    </w:p>
    <w:p w14:paraId="5899A39C" w14:textId="77777777" w:rsidR="00D43FA1" w:rsidRPr="00D43FA1" w:rsidRDefault="00D43FA1" w:rsidP="00E24BD3">
      <w:pPr>
        <w:pStyle w:val="Text"/>
        <w:spacing w:before="0" w:after="0"/>
        <w:rPr>
          <w:color w:val="000000"/>
          <w:u w:val="single"/>
        </w:rPr>
      </w:pPr>
    </w:p>
    <w:p w14:paraId="4BF540BD" w14:textId="77777777" w:rsidR="00D25113" w:rsidRPr="00D43FA1" w:rsidRDefault="00D25113" w:rsidP="0070360F">
      <w:pPr>
        <w:pStyle w:val="Text"/>
        <w:keepNext/>
        <w:keepLines/>
        <w:rPr>
          <w:u w:val="single"/>
        </w:rPr>
      </w:pPr>
      <w:r>
        <w:rPr>
          <w:u w:val="single"/>
        </w:rPr>
        <w:t>b) Tilpasningsomkostninger for erhvervslivet</w:t>
      </w:r>
    </w:p>
    <w:p w14:paraId="1AC16888" w14:textId="187C182C" w:rsidR="00755B7A" w:rsidRPr="00D43FA1" w:rsidRDefault="004D5050" w:rsidP="007C7B00">
      <w:pPr>
        <w:pStyle w:val="Text"/>
      </w:pPr>
      <w:r>
        <w:t>For så vidt angår tilpasningsomkostningerne for erhvervslivet, opstår der især ekstra omkostninger for de mellemstore virksomheder som følge af bekendtgørelsen. Eftersom problemet med forurening af fødevarer med mineraloliebestanddele fra materialer og genstande, der kommer i kontakt med fødevarer, har været kendt længe, er en række af emballager ganske vist blevet omstillet ved, at der f.eks. anvendes en mellempose, belægninger eller friske fibre i stedet for fibre baseret på returpapirmasse. Det vil imidlertid nu også være nødvendigt med ændringer for en nævneværdig yderligere andel af materialer og genstande, der kommer i kontakt med fødevarer, såfremt den fastlagte undtagelsesbestemmelse ikke finder anvendelse.</w:t>
      </w:r>
    </w:p>
    <w:p w14:paraId="08D3E308" w14:textId="77777777" w:rsidR="0082568F" w:rsidRPr="00D43FA1" w:rsidRDefault="0082568F" w:rsidP="007C7B00">
      <w:pPr>
        <w:pStyle w:val="Text"/>
      </w:pPr>
      <w:r>
        <w:t xml:space="preserve">Et forhåndsestimat fra det statistiske forbundskontor viste engangstilpasningsomkostninger (omstillingsomkostninger) på ca. 9 280 000 euro og årlige ekstra tilpasningsomkostninger på ca. 8 160 000 euro. Ifølge estimatet fra det statistiske forbundskontor opstår der kun ubetydelige omkostninger som følge af de to påtænkte nye informationspligter i form af den skriftlige eller elektroniske erklæring i tilfælde af afkald på en funktionel barriere i henhold til § 6a, stk. 3, samt dokumentationspligten vedrørende udelukkelse af migration af mineraloliekulbrinter i henhold til § 6a, stk. 5. </w:t>
      </w:r>
    </w:p>
    <w:p w14:paraId="43B9512B" w14:textId="77777777" w:rsidR="006B7BFE" w:rsidRPr="00D43FA1" w:rsidRDefault="006B7BFE" w:rsidP="0070360F">
      <w:pPr>
        <w:pStyle w:val="Text"/>
        <w:keepNext/>
        <w:keepLines/>
      </w:pPr>
      <w:r>
        <w:rPr>
          <w:b/>
        </w:rPr>
        <w:lastRenderedPageBreak/>
        <w:t xml:space="preserve">Tabel 1: Sammenfatning af tilpasningsomkostningerne </w:t>
      </w:r>
    </w:p>
    <w:tbl>
      <w:tblPr>
        <w:tblStyle w:val="TableGrid"/>
        <w:tblW w:w="9241" w:type="dxa"/>
        <w:tblLayout w:type="fixed"/>
        <w:tblLook w:val="04A0" w:firstRow="1" w:lastRow="0" w:firstColumn="1" w:lastColumn="0" w:noHBand="0" w:noVBand="1"/>
      </w:tblPr>
      <w:tblGrid>
        <w:gridCol w:w="1766"/>
        <w:gridCol w:w="3470"/>
        <w:gridCol w:w="1912"/>
        <w:gridCol w:w="2093"/>
      </w:tblGrid>
      <w:tr w:rsidR="0082568F" w:rsidRPr="008B2724" w14:paraId="720AC6FB" w14:textId="77777777" w:rsidTr="008B2724">
        <w:tc>
          <w:tcPr>
            <w:tcW w:w="1766" w:type="dxa"/>
          </w:tcPr>
          <w:p w14:paraId="376BBF5B" w14:textId="77777777" w:rsidR="0082568F" w:rsidRPr="008B2724" w:rsidRDefault="0082568F" w:rsidP="0070360F">
            <w:pPr>
              <w:pStyle w:val="Text"/>
              <w:keepNext/>
              <w:keepLines/>
              <w:jc w:val="center"/>
              <w:rPr>
                <w:b/>
                <w:spacing w:val="-4"/>
              </w:rPr>
            </w:pPr>
            <w:r w:rsidRPr="008B2724">
              <w:rPr>
                <w:b/>
                <w:spacing w:val="-4"/>
              </w:rPr>
              <w:t>Bestemmelse</w:t>
            </w:r>
          </w:p>
        </w:tc>
        <w:tc>
          <w:tcPr>
            <w:tcW w:w="3470" w:type="dxa"/>
          </w:tcPr>
          <w:p w14:paraId="3B98CCA4" w14:textId="77777777" w:rsidR="0082568F" w:rsidRPr="008B2724" w:rsidRDefault="0082568F" w:rsidP="0070360F">
            <w:pPr>
              <w:pStyle w:val="Text"/>
              <w:keepNext/>
              <w:keepLines/>
              <w:jc w:val="center"/>
              <w:rPr>
                <w:b/>
                <w:spacing w:val="-4"/>
              </w:rPr>
            </w:pPr>
            <w:r w:rsidRPr="008B2724">
              <w:rPr>
                <w:b/>
                <w:spacing w:val="-4"/>
              </w:rPr>
              <w:t>Retningslinje og informationspligt</w:t>
            </w:r>
          </w:p>
        </w:tc>
        <w:tc>
          <w:tcPr>
            <w:tcW w:w="1912" w:type="dxa"/>
          </w:tcPr>
          <w:p w14:paraId="6FEF8D76" w14:textId="77777777" w:rsidR="0082568F" w:rsidRPr="008B2724" w:rsidRDefault="0082568F" w:rsidP="0070360F">
            <w:pPr>
              <w:pStyle w:val="Text"/>
              <w:keepNext/>
              <w:keepLines/>
              <w:jc w:val="center"/>
              <w:rPr>
                <w:b/>
                <w:spacing w:val="-4"/>
              </w:rPr>
            </w:pPr>
            <w:r w:rsidRPr="008B2724">
              <w:rPr>
                <w:b/>
                <w:spacing w:val="-4"/>
              </w:rPr>
              <w:t xml:space="preserve">Saldo for årlig belastning </w:t>
            </w:r>
          </w:p>
        </w:tc>
        <w:tc>
          <w:tcPr>
            <w:tcW w:w="2093" w:type="dxa"/>
          </w:tcPr>
          <w:p w14:paraId="5412D88F" w14:textId="77777777" w:rsidR="0082568F" w:rsidRPr="008B2724" w:rsidRDefault="00295A54" w:rsidP="0070360F">
            <w:pPr>
              <w:pStyle w:val="Text"/>
              <w:keepNext/>
              <w:keepLines/>
              <w:jc w:val="center"/>
              <w:rPr>
                <w:b/>
                <w:spacing w:val="-4"/>
              </w:rPr>
            </w:pPr>
            <w:r w:rsidRPr="008B2724">
              <w:rPr>
                <w:b/>
                <w:spacing w:val="-4"/>
              </w:rPr>
              <w:t xml:space="preserve">Engangsomstillingsomkostninger </w:t>
            </w:r>
          </w:p>
        </w:tc>
      </w:tr>
      <w:tr w:rsidR="0082568F" w:rsidRPr="008B2724" w14:paraId="28659270" w14:textId="77777777" w:rsidTr="008B2724">
        <w:tc>
          <w:tcPr>
            <w:tcW w:w="1766" w:type="dxa"/>
          </w:tcPr>
          <w:p w14:paraId="22806DA4" w14:textId="2D7CD670" w:rsidR="0082568F" w:rsidRPr="008B2724" w:rsidRDefault="0082568F" w:rsidP="00E24BD3">
            <w:pPr>
              <w:pStyle w:val="Text"/>
              <w:jc w:val="left"/>
              <w:rPr>
                <w:spacing w:val="-4"/>
              </w:rPr>
            </w:pPr>
            <w:r w:rsidRPr="008B2724">
              <w:rPr>
                <w:spacing w:val="-4"/>
              </w:rPr>
              <w:t>§ 6a, stk. 1 og 4</w:t>
            </w:r>
          </w:p>
        </w:tc>
        <w:tc>
          <w:tcPr>
            <w:tcW w:w="3470" w:type="dxa"/>
          </w:tcPr>
          <w:p w14:paraId="33FAFA21" w14:textId="77777777" w:rsidR="0082568F" w:rsidRPr="008B2724" w:rsidRDefault="0082568F" w:rsidP="00295A54">
            <w:pPr>
              <w:pStyle w:val="Text"/>
              <w:jc w:val="left"/>
              <w:rPr>
                <w:spacing w:val="-4"/>
              </w:rPr>
            </w:pPr>
            <w:r w:rsidRPr="008B2724">
              <w:rPr>
                <w:spacing w:val="-4"/>
              </w:rPr>
              <w:t>Funktionel barriere for materialer og genstande, der kommer i kontakt med fødevarer, og som er lavet af returpapirmasse</w:t>
            </w:r>
          </w:p>
        </w:tc>
        <w:tc>
          <w:tcPr>
            <w:tcW w:w="1912" w:type="dxa"/>
          </w:tcPr>
          <w:p w14:paraId="3E5A9DC1" w14:textId="77777777" w:rsidR="0082568F" w:rsidRPr="008B2724" w:rsidRDefault="000F6183" w:rsidP="00295A54">
            <w:pPr>
              <w:pStyle w:val="Text"/>
              <w:jc w:val="left"/>
              <w:rPr>
                <w:spacing w:val="-4"/>
              </w:rPr>
            </w:pPr>
            <w:r w:rsidRPr="008B2724">
              <w:rPr>
                <w:spacing w:val="-4"/>
              </w:rPr>
              <w:t xml:space="preserve"> 8 160 000 EUR</w:t>
            </w:r>
          </w:p>
        </w:tc>
        <w:tc>
          <w:tcPr>
            <w:tcW w:w="2093" w:type="dxa"/>
          </w:tcPr>
          <w:p w14:paraId="3562BFD1" w14:textId="77777777" w:rsidR="0082568F" w:rsidRPr="008B2724" w:rsidRDefault="000F6183" w:rsidP="00295A54">
            <w:pPr>
              <w:pStyle w:val="Text"/>
              <w:jc w:val="left"/>
              <w:rPr>
                <w:spacing w:val="-4"/>
              </w:rPr>
            </w:pPr>
            <w:r w:rsidRPr="008B2724">
              <w:rPr>
                <w:spacing w:val="-4"/>
              </w:rPr>
              <w:t>9 280 000 EUR</w:t>
            </w:r>
          </w:p>
        </w:tc>
      </w:tr>
      <w:tr w:rsidR="0082568F" w:rsidRPr="008B2724" w14:paraId="0106BED3" w14:textId="77777777" w:rsidTr="008B2724">
        <w:tc>
          <w:tcPr>
            <w:tcW w:w="1766" w:type="dxa"/>
          </w:tcPr>
          <w:p w14:paraId="5BAFA089" w14:textId="0EFB06F8" w:rsidR="0082568F" w:rsidRPr="008B2724" w:rsidRDefault="0082568F" w:rsidP="00E24BD3">
            <w:pPr>
              <w:pStyle w:val="Text"/>
              <w:jc w:val="left"/>
              <w:rPr>
                <w:spacing w:val="-4"/>
              </w:rPr>
            </w:pPr>
            <w:r w:rsidRPr="008B2724">
              <w:rPr>
                <w:spacing w:val="-4"/>
              </w:rPr>
              <w:t>§ 6a, stk. 3</w:t>
            </w:r>
          </w:p>
        </w:tc>
        <w:tc>
          <w:tcPr>
            <w:tcW w:w="3470" w:type="dxa"/>
          </w:tcPr>
          <w:p w14:paraId="7BAE9D67" w14:textId="77777777" w:rsidR="0082568F" w:rsidRPr="008B2724" w:rsidRDefault="0082568F" w:rsidP="00295A54">
            <w:pPr>
              <w:pStyle w:val="Text"/>
              <w:jc w:val="left"/>
              <w:rPr>
                <w:spacing w:val="-4"/>
              </w:rPr>
            </w:pPr>
            <w:r w:rsidRPr="008B2724">
              <w:rPr>
                <w:spacing w:val="-4"/>
              </w:rPr>
              <w:t>Skriftlig eller elektronisk erklæring om afkald på en funktionel barriere</w:t>
            </w:r>
          </w:p>
        </w:tc>
        <w:tc>
          <w:tcPr>
            <w:tcW w:w="1912" w:type="dxa"/>
          </w:tcPr>
          <w:p w14:paraId="74D97F5C" w14:textId="77777777" w:rsidR="0082568F" w:rsidRPr="008B2724" w:rsidRDefault="0082568F" w:rsidP="00295A54">
            <w:pPr>
              <w:pStyle w:val="Text"/>
              <w:jc w:val="left"/>
              <w:rPr>
                <w:spacing w:val="-4"/>
              </w:rPr>
            </w:pPr>
            <w:r w:rsidRPr="008B2724">
              <w:rPr>
                <w:spacing w:val="-4"/>
              </w:rPr>
              <w:t>Ubetydelige meromkostninger</w:t>
            </w:r>
          </w:p>
        </w:tc>
        <w:tc>
          <w:tcPr>
            <w:tcW w:w="2093" w:type="dxa"/>
          </w:tcPr>
          <w:p w14:paraId="56F7F1DE" w14:textId="77777777" w:rsidR="0082568F" w:rsidRPr="008B2724" w:rsidRDefault="0082568F" w:rsidP="00295A54">
            <w:pPr>
              <w:pStyle w:val="Text"/>
              <w:jc w:val="left"/>
              <w:rPr>
                <w:spacing w:val="-4"/>
              </w:rPr>
            </w:pPr>
            <w:r w:rsidRPr="008B2724">
              <w:rPr>
                <w:spacing w:val="-4"/>
              </w:rPr>
              <w:t>-</w:t>
            </w:r>
          </w:p>
        </w:tc>
      </w:tr>
      <w:tr w:rsidR="0082568F" w:rsidRPr="008B2724" w14:paraId="3E200EA4" w14:textId="77777777" w:rsidTr="008B2724">
        <w:tc>
          <w:tcPr>
            <w:tcW w:w="1766" w:type="dxa"/>
          </w:tcPr>
          <w:p w14:paraId="7AD34AB6" w14:textId="3F27C1E4" w:rsidR="0082568F" w:rsidRPr="008B2724" w:rsidRDefault="0082568F" w:rsidP="00E24BD3">
            <w:pPr>
              <w:pStyle w:val="Text"/>
              <w:jc w:val="left"/>
              <w:rPr>
                <w:spacing w:val="-4"/>
              </w:rPr>
            </w:pPr>
            <w:r w:rsidRPr="008B2724">
              <w:rPr>
                <w:spacing w:val="-4"/>
              </w:rPr>
              <w:t>§ 6a, stk. 5</w:t>
            </w:r>
          </w:p>
        </w:tc>
        <w:tc>
          <w:tcPr>
            <w:tcW w:w="3470" w:type="dxa"/>
          </w:tcPr>
          <w:p w14:paraId="16E632D0" w14:textId="77777777" w:rsidR="0082568F" w:rsidRPr="008B2724" w:rsidRDefault="0082568F" w:rsidP="00295A54">
            <w:pPr>
              <w:pStyle w:val="Text"/>
              <w:jc w:val="left"/>
              <w:rPr>
                <w:spacing w:val="-4"/>
              </w:rPr>
            </w:pPr>
            <w:r w:rsidRPr="008B2724">
              <w:rPr>
                <w:spacing w:val="-4"/>
              </w:rPr>
              <w:t>Dokumentationspligt vedrørende udelukkelse af migration af mineraloliekulbrinter i henhold til § 6a, stk. 1, 2, 4</w:t>
            </w:r>
          </w:p>
        </w:tc>
        <w:tc>
          <w:tcPr>
            <w:tcW w:w="1912" w:type="dxa"/>
          </w:tcPr>
          <w:p w14:paraId="18381CF9" w14:textId="77777777" w:rsidR="0082568F" w:rsidRPr="008B2724" w:rsidRDefault="0082568F" w:rsidP="00295A54">
            <w:pPr>
              <w:pStyle w:val="Text"/>
              <w:jc w:val="left"/>
              <w:rPr>
                <w:spacing w:val="-4"/>
              </w:rPr>
            </w:pPr>
            <w:r w:rsidRPr="008B2724">
              <w:rPr>
                <w:spacing w:val="-4"/>
              </w:rPr>
              <w:t>Ubetydelige meromkostninger</w:t>
            </w:r>
          </w:p>
        </w:tc>
        <w:tc>
          <w:tcPr>
            <w:tcW w:w="2093" w:type="dxa"/>
          </w:tcPr>
          <w:p w14:paraId="3BBC33E8" w14:textId="77777777" w:rsidR="0082568F" w:rsidRPr="008B2724" w:rsidRDefault="0082568F" w:rsidP="00295A54">
            <w:pPr>
              <w:pStyle w:val="Text"/>
              <w:jc w:val="left"/>
              <w:rPr>
                <w:spacing w:val="-4"/>
              </w:rPr>
            </w:pPr>
            <w:r w:rsidRPr="008B2724">
              <w:rPr>
                <w:spacing w:val="-4"/>
              </w:rPr>
              <w:t>-</w:t>
            </w:r>
          </w:p>
        </w:tc>
      </w:tr>
      <w:tr w:rsidR="0082568F" w:rsidRPr="008B2724" w14:paraId="2CE5F889" w14:textId="77777777" w:rsidTr="008B2724">
        <w:tc>
          <w:tcPr>
            <w:tcW w:w="1766" w:type="dxa"/>
            <w:shd w:val="clear" w:color="auto" w:fill="D9D9D9" w:themeFill="background1" w:themeFillShade="D9"/>
          </w:tcPr>
          <w:p w14:paraId="6EDE8EBB" w14:textId="77777777" w:rsidR="0082568F" w:rsidRPr="008B2724" w:rsidRDefault="0082568F" w:rsidP="00295A54">
            <w:pPr>
              <w:pStyle w:val="Text"/>
              <w:jc w:val="left"/>
              <w:rPr>
                <w:b/>
                <w:spacing w:val="-4"/>
              </w:rPr>
            </w:pPr>
          </w:p>
        </w:tc>
        <w:tc>
          <w:tcPr>
            <w:tcW w:w="3470" w:type="dxa"/>
            <w:shd w:val="clear" w:color="auto" w:fill="D9D9D9" w:themeFill="background1" w:themeFillShade="D9"/>
          </w:tcPr>
          <w:p w14:paraId="6B167E03" w14:textId="77777777" w:rsidR="0082568F" w:rsidRPr="008B2724" w:rsidRDefault="0082568F" w:rsidP="00295A54">
            <w:pPr>
              <w:pStyle w:val="Text"/>
              <w:jc w:val="left"/>
              <w:rPr>
                <w:b/>
                <w:spacing w:val="-4"/>
              </w:rPr>
            </w:pPr>
            <w:r w:rsidRPr="008B2724">
              <w:rPr>
                <w:b/>
                <w:spacing w:val="-4"/>
              </w:rPr>
              <w:t xml:space="preserve">I alt </w:t>
            </w:r>
          </w:p>
        </w:tc>
        <w:tc>
          <w:tcPr>
            <w:tcW w:w="1912" w:type="dxa"/>
            <w:shd w:val="clear" w:color="auto" w:fill="D9D9D9" w:themeFill="background1" w:themeFillShade="D9"/>
          </w:tcPr>
          <w:p w14:paraId="58ED3073" w14:textId="77777777" w:rsidR="0082568F" w:rsidRPr="008B2724" w:rsidRDefault="00AD0A9D" w:rsidP="00295A54">
            <w:pPr>
              <w:pStyle w:val="Text"/>
              <w:jc w:val="left"/>
              <w:rPr>
                <w:b/>
                <w:spacing w:val="-4"/>
              </w:rPr>
            </w:pPr>
            <w:r w:rsidRPr="008B2724">
              <w:rPr>
                <w:b/>
                <w:spacing w:val="-4"/>
              </w:rPr>
              <w:t xml:space="preserve"> 8 160 000 EUR</w:t>
            </w:r>
          </w:p>
        </w:tc>
        <w:tc>
          <w:tcPr>
            <w:tcW w:w="2093" w:type="dxa"/>
            <w:shd w:val="clear" w:color="auto" w:fill="D9D9D9" w:themeFill="background1" w:themeFillShade="D9"/>
          </w:tcPr>
          <w:p w14:paraId="1E689341" w14:textId="77777777" w:rsidR="0082568F" w:rsidRPr="008B2724" w:rsidRDefault="000F6183" w:rsidP="00295A54">
            <w:pPr>
              <w:pStyle w:val="Text"/>
              <w:jc w:val="left"/>
              <w:rPr>
                <w:b/>
                <w:spacing w:val="-4"/>
              </w:rPr>
            </w:pPr>
            <w:r w:rsidRPr="008B2724">
              <w:rPr>
                <w:b/>
                <w:spacing w:val="-4"/>
              </w:rPr>
              <w:t>9 280 000 EUR</w:t>
            </w:r>
          </w:p>
        </w:tc>
      </w:tr>
    </w:tbl>
    <w:p w14:paraId="0D7C6408" w14:textId="77777777" w:rsidR="006B7BFE" w:rsidRPr="00D43FA1" w:rsidRDefault="006B7BFE" w:rsidP="00612652">
      <w:pPr>
        <w:pStyle w:val="Text"/>
      </w:pPr>
    </w:p>
    <w:p w14:paraId="78164C96" w14:textId="211348C1" w:rsidR="009140F6" w:rsidRPr="00D43FA1" w:rsidRDefault="0082568F" w:rsidP="0070360F">
      <w:pPr>
        <w:pStyle w:val="Text"/>
        <w:keepNext/>
        <w:keepLines/>
        <w:tabs>
          <w:tab w:val="left" w:pos="0"/>
        </w:tabs>
      </w:pPr>
      <w:r>
        <w:t>Resultatet af forhåndsestimatet er baseret på følgende grundlag:</w:t>
      </w:r>
    </w:p>
    <w:p w14:paraId="0A8513DA" w14:textId="77777777" w:rsidR="006B7BFE" w:rsidRPr="008B2724" w:rsidRDefault="006B7BFE" w:rsidP="0070360F">
      <w:pPr>
        <w:pStyle w:val="Text"/>
        <w:keepNext/>
        <w:keepLines/>
        <w:tabs>
          <w:tab w:val="left" w:pos="0"/>
        </w:tabs>
        <w:rPr>
          <w:spacing w:val="-4"/>
        </w:rPr>
      </w:pPr>
      <w:r w:rsidRPr="008B2724">
        <w:rPr>
          <w:spacing w:val="-4"/>
        </w:rPr>
        <w:t xml:space="preserve">Forhåndsestimatet vedrører to informationspligter samt en yderligere retningslinje for erhvervslivet, der alle stammer fra den nye § 6a i bekendtgørelsen om materialer og genstande: </w:t>
      </w:r>
    </w:p>
    <w:p w14:paraId="2E574154" w14:textId="77777777" w:rsidR="006B7BFE" w:rsidRPr="00D43FA1" w:rsidRDefault="006B7BFE" w:rsidP="0070360F">
      <w:pPr>
        <w:pStyle w:val="Text"/>
        <w:keepNext/>
        <w:keepLines/>
        <w:numPr>
          <w:ilvl w:val="0"/>
          <w:numId w:val="2"/>
        </w:numPr>
        <w:ind w:left="0" w:firstLine="0"/>
      </w:pPr>
      <w:r>
        <w:t xml:space="preserve">Materialer og genstande, der kommer i kontakt med fødevarer, og som er baseret på returpapirmasse, må kun fremstilles og markedsføres med en funktionel barriere (stk. 1, 1. punktum, og stk. 4). Undtagelser fra denne bestemmelse gælder, </w:t>
      </w:r>
    </w:p>
    <w:p w14:paraId="6471F0A8" w14:textId="77777777" w:rsidR="006B7BFE" w:rsidRPr="00D43FA1" w:rsidRDefault="000F1682" w:rsidP="00557D18">
      <w:pPr>
        <w:pStyle w:val="Text"/>
        <w:numPr>
          <w:ilvl w:val="0"/>
          <w:numId w:val="4"/>
        </w:numPr>
        <w:ind w:left="1134" w:hanging="425"/>
      </w:pPr>
      <w:r>
        <w:t>især når der findes et så lavt indhold af mineraloliekulbrinter i materialer og genstande, der kommer i kontakt med fødevarer, at en migration ind i fødevarerne ikke finder sted (stk. 2, 1. punktum)</w:t>
      </w:r>
    </w:p>
    <w:p w14:paraId="022A3F44" w14:textId="64B85AD9" w:rsidR="006B7BFE" w:rsidRPr="00D43FA1" w:rsidRDefault="006B7BFE" w:rsidP="00557D18">
      <w:pPr>
        <w:pStyle w:val="Text"/>
        <w:numPr>
          <w:ilvl w:val="0"/>
          <w:numId w:val="4"/>
        </w:numPr>
        <w:ind w:left="1134" w:hanging="425"/>
      </w:pPr>
      <w:r>
        <w:t>når der truffet egnede foranstaltninger, der forhindrer en migration af mineraloliekulbrinter ind i fødevarer (stk. 2, 2. punktum).</w:t>
      </w:r>
    </w:p>
    <w:p w14:paraId="29C9CC33" w14:textId="77777777" w:rsidR="006B7BFE" w:rsidRPr="00D43FA1" w:rsidRDefault="006B7BFE" w:rsidP="00557D18">
      <w:pPr>
        <w:pStyle w:val="Text"/>
        <w:numPr>
          <w:ilvl w:val="0"/>
          <w:numId w:val="3"/>
        </w:numPr>
        <w:ind w:left="0" w:firstLine="0"/>
      </w:pPr>
      <w:r>
        <w:t xml:space="preserve">Hvis fødevarevirksomhedslederen selv anvender en funktionel barriere (mellempose eller e.l.) eller træffer andre foranstaltninger til beskyttelse mod migration af mineraloliekulbrinter ind i fødevarer, og vedkommende derfor giver afkald på, at producenten af materialet og genstanden, der kommer i kontakt med fødevarer, eller virksomheden, der markedsfører dem, udstyrer materialet og genstanden, der kommer i kontakt med fødevarer, med en funktionel barriere, skal vedkommende før leveringen af dem fremsende en skriftlig eller elektronisk erklæring om dette til producenten af dem eller til virksomheden, der markedsfører dem (stk. 3). </w:t>
      </w:r>
    </w:p>
    <w:p w14:paraId="3DAB98B9" w14:textId="77777777" w:rsidR="006B7BFE" w:rsidRPr="00D43FA1" w:rsidRDefault="006B7BFE" w:rsidP="0070360F">
      <w:pPr>
        <w:pStyle w:val="Text"/>
        <w:keepNext/>
        <w:keepLines/>
        <w:numPr>
          <w:ilvl w:val="0"/>
          <w:numId w:val="3"/>
        </w:numPr>
        <w:ind w:left="709" w:hanging="709"/>
      </w:pPr>
      <w:r>
        <w:lastRenderedPageBreak/>
        <w:t xml:space="preserve">Dokumentationspligt vedrørende udelukkelse af en migration af mineraloliekulbrinter (stk. 5). </w:t>
      </w:r>
    </w:p>
    <w:p w14:paraId="7B0EB3AA" w14:textId="77777777" w:rsidR="006B7BFE" w:rsidRPr="00D43FA1" w:rsidRDefault="000447FD" w:rsidP="008B2724">
      <w:pPr>
        <w:pStyle w:val="Text"/>
        <w:keepLines/>
      </w:pPr>
      <w:r>
        <w:t>Det nærværende skøn følger "Vejledning om beregning og fremstilling af tilpasningsomkostningerne i forbundsregeringens bestemmelsesudkast".</w:t>
      </w:r>
      <w:r w:rsidR="006B7BFE" w:rsidRPr="00D43FA1">
        <w:rPr>
          <w:rStyle w:val="FootnoteReference"/>
        </w:rPr>
        <w:footnoteReference w:id="2"/>
      </w:r>
      <w:r>
        <w:t xml:space="preserve"> Til estimering af antal tilfælde samt tidsforbrugene og materialeomkostningerne blev virksomheder og forskningsinstitutioner adspurgt telefonisk. Beregningen af antal tilfælde inddrager data fra den officielle statistik. </w:t>
      </w:r>
    </w:p>
    <w:p w14:paraId="7E0F8561" w14:textId="4AAB2740" w:rsidR="006B7BFE" w:rsidRPr="007E01A6" w:rsidRDefault="006B7BFE" w:rsidP="0070360F">
      <w:pPr>
        <w:pStyle w:val="Text"/>
        <w:keepNext/>
        <w:keepLines/>
        <w:rPr>
          <w:b/>
          <w:bCs/>
          <w:u w:val="single"/>
        </w:rPr>
      </w:pPr>
      <w:r>
        <w:rPr>
          <w:b/>
          <w:u w:val="single"/>
        </w:rPr>
        <w:t>Funktionel barriere til materialer og genstande, der kommer i kontakt med fødevarer, i henhold til § 6a, stk. 1 og 4</w:t>
      </w:r>
    </w:p>
    <w:p w14:paraId="347CC78F" w14:textId="77777777" w:rsidR="006B7BFE" w:rsidRPr="00D43FA1" w:rsidRDefault="006B7BFE" w:rsidP="0070360F">
      <w:pPr>
        <w:pStyle w:val="Text"/>
        <w:keepNext/>
        <w:keepLines/>
      </w:pPr>
      <w:r>
        <w:t xml:space="preserve">a) Engangsomstillingsbyrde </w:t>
      </w:r>
    </w:p>
    <w:p w14:paraId="32009364" w14:textId="77777777" w:rsidR="006B7BFE" w:rsidRPr="00D43FA1" w:rsidRDefault="006B7BFE" w:rsidP="009140F6">
      <w:pPr>
        <w:pStyle w:val="Text"/>
      </w:pPr>
      <w:r>
        <w:rPr>
          <w:i/>
        </w:rPr>
        <w:t>Omstillingsbyrden omfatter personale- og materialeomkostninger for førstegangskontrol af fødevarer samt materialer og genstande, der kommer i kontakt med fødevarer, og for udvikling, kontrol og ibrugtagning af en egnet emballage i henhold til § 6a</w:t>
      </w:r>
      <w:r>
        <w:t xml:space="preserve">. </w:t>
      </w:r>
    </w:p>
    <w:p w14:paraId="5B232005" w14:textId="77777777" w:rsidR="006B7BFE" w:rsidRPr="00D43FA1" w:rsidRDefault="006B7BFE" w:rsidP="0070360F">
      <w:pPr>
        <w:pStyle w:val="Text"/>
        <w:keepNext/>
        <w:keepLines/>
        <w:numPr>
          <w:ilvl w:val="0"/>
          <w:numId w:val="5"/>
        </w:numPr>
        <w:ind w:left="714" w:hanging="357"/>
        <w:rPr>
          <w:i/>
          <w:iCs/>
          <w:color w:val="000000"/>
        </w:rPr>
      </w:pPr>
      <w:r>
        <w:rPr>
          <w:i/>
          <w:color w:val="000000"/>
        </w:rPr>
        <w:t xml:space="preserve">Antal tilfælde </w:t>
      </w:r>
    </w:p>
    <w:p w14:paraId="6D903E99" w14:textId="77777777" w:rsidR="006B7BFE" w:rsidRPr="008B2724" w:rsidRDefault="006B7BFE" w:rsidP="0070360F">
      <w:pPr>
        <w:pStyle w:val="Text"/>
        <w:keepNext/>
        <w:keepLines/>
        <w:rPr>
          <w:color w:val="000000"/>
          <w:spacing w:val="-4"/>
        </w:rPr>
      </w:pPr>
      <w:r w:rsidRPr="008B2724">
        <w:rPr>
          <w:color w:val="000000"/>
          <w:spacing w:val="-4"/>
        </w:rPr>
        <w:t>Til udledelsen af antal tilfælde (= berørte produkter: fødevarer plus materialer og genstande, der kommer i berøring med fødevarerne) blev der både anvendt data på baggrund af interviews og omkostningsstrukturundersøgelsen inden for fremstillingssektoren.</w:t>
      </w:r>
      <w:r w:rsidRPr="008B2724">
        <w:rPr>
          <w:rStyle w:val="FootnoteReference"/>
          <w:color w:val="000000"/>
          <w:spacing w:val="-4"/>
        </w:rPr>
        <w:footnoteReference w:id="3"/>
      </w:r>
      <w:r w:rsidRPr="008B2724">
        <w:rPr>
          <w:color w:val="000000"/>
          <w:spacing w:val="-4"/>
          <w:vertAlign w:val="superscript"/>
        </w:rPr>
        <w:t xml:space="preserve"> </w:t>
      </w:r>
      <w:r w:rsidRPr="008B2724">
        <w:rPr>
          <w:color w:val="000000"/>
          <w:spacing w:val="-4"/>
        </w:rPr>
        <w:t xml:space="preserve">Ved hjælp af de gennemførte interviews kunne der opnås data om produktantal for enkelte virksomheder. Virksomhedernes omsætningstal blev fremskaffet fra offentligt tilgængelige kilder. På grundlag af disse værdier blev omsætningen pr. produkt beregnet for fem virksomheder, som er ca. 2,5 millioner euro i medianen. Omkostningsstrukturundersøgelsen indeholder oplysninger om antallet af og omsætningen for virksomheder inden for erhvervsgrenene i fremstillingssektoren (i henhold til "Klassifikation af erhvervsgrene" (Klassifikation der Wirtschaftszweige), udgave 2008). På grundlag af oplysningerne fra interviewene kunne der identificeres syv berørte erhvervsgrene: </w:t>
      </w:r>
    </w:p>
    <w:p w14:paraId="51BE6B2B" w14:textId="77777777" w:rsidR="006B7BFE" w:rsidRPr="00D43FA1" w:rsidRDefault="006B7BFE" w:rsidP="0070360F">
      <w:pPr>
        <w:pStyle w:val="Text"/>
        <w:keepNext/>
        <w:keepLines/>
        <w:spacing w:before="0" w:after="0"/>
        <w:rPr>
          <w:color w:val="000000"/>
        </w:rPr>
      </w:pPr>
      <w:r>
        <w:rPr>
          <w:color w:val="000000"/>
        </w:rPr>
        <w:t xml:space="preserve">Produktion af </w:t>
      </w:r>
    </w:p>
    <w:p w14:paraId="11222691" w14:textId="77777777" w:rsidR="006B7BFE" w:rsidRPr="00D43FA1" w:rsidRDefault="006B7BFE" w:rsidP="009140F6">
      <w:pPr>
        <w:pStyle w:val="Text"/>
        <w:spacing w:before="0" w:after="0"/>
        <w:rPr>
          <w:color w:val="000000"/>
        </w:rPr>
      </w:pPr>
      <w:r>
        <w:rPr>
          <w:color w:val="000000"/>
        </w:rPr>
        <w:t xml:space="preserve">• stivelse og stivelsesprodukter </w:t>
      </w:r>
    </w:p>
    <w:p w14:paraId="662E4943" w14:textId="77777777" w:rsidR="006B7BFE" w:rsidRPr="00D43FA1" w:rsidRDefault="006B7BFE" w:rsidP="009140F6">
      <w:pPr>
        <w:pStyle w:val="Text"/>
        <w:spacing w:before="0" w:after="0"/>
        <w:rPr>
          <w:color w:val="000000"/>
        </w:rPr>
      </w:pPr>
      <w:r>
        <w:rPr>
          <w:color w:val="000000"/>
        </w:rPr>
        <w:t xml:space="preserve">• langtidsholdbart bagværk </w:t>
      </w:r>
    </w:p>
    <w:p w14:paraId="18BD7F36" w14:textId="77777777" w:rsidR="006B7BFE" w:rsidRPr="00D43FA1" w:rsidRDefault="006B7BFE" w:rsidP="009140F6">
      <w:pPr>
        <w:pStyle w:val="Text"/>
        <w:spacing w:before="0" w:after="0"/>
        <w:rPr>
          <w:color w:val="000000"/>
        </w:rPr>
      </w:pPr>
      <w:r>
        <w:rPr>
          <w:color w:val="000000"/>
        </w:rPr>
        <w:t xml:space="preserve">• pastaprodukter </w:t>
      </w:r>
    </w:p>
    <w:p w14:paraId="38C5F55D" w14:textId="77777777" w:rsidR="006B7BFE" w:rsidRPr="00D43FA1" w:rsidRDefault="006B7BFE" w:rsidP="009140F6">
      <w:pPr>
        <w:pStyle w:val="Text"/>
        <w:spacing w:before="0" w:after="0"/>
        <w:rPr>
          <w:color w:val="000000"/>
        </w:rPr>
      </w:pPr>
      <w:r>
        <w:rPr>
          <w:color w:val="000000"/>
        </w:rPr>
        <w:t xml:space="preserve">• slik </w:t>
      </w:r>
    </w:p>
    <w:p w14:paraId="1D62B3D9" w14:textId="77777777" w:rsidR="006B7BFE" w:rsidRPr="00D43FA1" w:rsidRDefault="006B7BFE" w:rsidP="009140F6">
      <w:pPr>
        <w:pStyle w:val="Text"/>
        <w:spacing w:before="0" w:after="0"/>
        <w:rPr>
          <w:color w:val="000000"/>
        </w:rPr>
      </w:pPr>
      <w:r>
        <w:rPr>
          <w:color w:val="000000"/>
        </w:rPr>
        <w:t xml:space="preserve">• kaffe/te </w:t>
      </w:r>
    </w:p>
    <w:p w14:paraId="6E9A551C" w14:textId="77777777" w:rsidR="006B7BFE" w:rsidRPr="00D43FA1" w:rsidRDefault="006B7BFE" w:rsidP="009140F6">
      <w:pPr>
        <w:pStyle w:val="Text"/>
        <w:spacing w:before="0" w:after="0"/>
        <w:rPr>
          <w:color w:val="000000"/>
        </w:rPr>
      </w:pPr>
      <w:r>
        <w:rPr>
          <w:color w:val="000000"/>
        </w:rPr>
        <w:t xml:space="preserve">• formalede produkter og skalprodukter </w:t>
      </w:r>
    </w:p>
    <w:p w14:paraId="31C005BD" w14:textId="3394A96C" w:rsidR="006B7BFE" w:rsidRDefault="006B7BFE" w:rsidP="00557D18">
      <w:pPr>
        <w:pStyle w:val="Text"/>
        <w:spacing w:before="0" w:after="0"/>
        <w:jc w:val="left"/>
        <w:rPr>
          <w:color w:val="000000"/>
        </w:rPr>
      </w:pPr>
      <w:r>
        <w:rPr>
          <w:color w:val="000000"/>
        </w:rPr>
        <w:t xml:space="preserve">• færdigretter. </w:t>
      </w:r>
    </w:p>
    <w:p w14:paraId="69346562" w14:textId="77777777" w:rsidR="00D43FA1" w:rsidRPr="00D43FA1" w:rsidRDefault="00D43FA1" w:rsidP="00557D18">
      <w:pPr>
        <w:pStyle w:val="Text"/>
        <w:spacing w:before="0" w:after="0"/>
        <w:jc w:val="left"/>
        <w:rPr>
          <w:color w:val="000000"/>
        </w:rPr>
      </w:pPr>
    </w:p>
    <w:p w14:paraId="22853B05" w14:textId="02272ACD" w:rsidR="006B7BFE" w:rsidRPr="00D43FA1" w:rsidRDefault="006B7BFE" w:rsidP="009140F6">
      <w:pPr>
        <w:pStyle w:val="Text"/>
        <w:spacing w:before="0" w:after="0"/>
        <w:rPr>
          <w:color w:val="000000"/>
        </w:rPr>
      </w:pPr>
      <w:r>
        <w:rPr>
          <w:color w:val="000000"/>
        </w:rPr>
        <w:t xml:space="preserve">Sammenlagt er omsætningen ca. 26 milliarder euro for de 415 berørte virksomheder. </w:t>
      </w:r>
    </w:p>
    <w:p w14:paraId="6EE2F31E" w14:textId="2FFA7DC6" w:rsidR="006B7BFE" w:rsidRDefault="006B7BFE" w:rsidP="008B2724">
      <w:pPr>
        <w:pStyle w:val="Text"/>
        <w:keepLines/>
        <w:spacing w:before="0" w:after="0"/>
        <w:rPr>
          <w:color w:val="000000"/>
        </w:rPr>
      </w:pPr>
      <w:r>
        <w:rPr>
          <w:color w:val="000000"/>
        </w:rPr>
        <w:lastRenderedPageBreak/>
        <w:t xml:space="preserve">På grundlag af den samlede omsætning, estimeres det, hvor mange produkter (fødevarer plus det tilhørende materiale og genstand, der kommer i kontakt med fødevarerne) disse virksomheder i alt fremstiller til det tyske marked: Ved en samlet omsætning på 26 milliarder euro og en omsætning på 2,5 millioner euro pr. produkt er resultatet </w:t>
      </w:r>
      <w:r>
        <w:rPr>
          <w:b/>
          <w:bCs/>
          <w:color w:val="000000"/>
        </w:rPr>
        <w:t>ca. 10 000 produkter</w:t>
      </w:r>
      <w:r>
        <w:rPr>
          <w:color w:val="000000"/>
        </w:rPr>
        <w:t xml:space="preserve">. Kun en del af produktemballagerne skal faktisk omstilles, eftersom ikke alle virksomhederne berøres i samme omfang: Mens nogle virksomheder skal omstille hele deres produktsortiment, berøres kun få produkter hos andre. Med hensyn til alle produkter skal det imidlertid kontrolleres, om den eksisterende emballage i tilstrækkelig grad forhindrer migrationen af mineraloliekulbrinter ind i fødevaren. Også fødevarer, der udelukkende emballeres i folie skal kontrolleres, efter disse produkter for det meste emballeres yderligere og leveres i kartoner lavet af genbrugt returpapir. </w:t>
      </w:r>
    </w:p>
    <w:p w14:paraId="37B7DEE2" w14:textId="77777777" w:rsidR="00D43FA1" w:rsidRPr="00D43FA1" w:rsidRDefault="00D43FA1" w:rsidP="00557D18">
      <w:pPr>
        <w:pStyle w:val="Text"/>
        <w:spacing w:before="0" w:after="0"/>
        <w:rPr>
          <w:color w:val="000000"/>
        </w:rPr>
      </w:pPr>
    </w:p>
    <w:p w14:paraId="6FDE533B" w14:textId="5E092961" w:rsidR="006B7BFE" w:rsidRPr="00D43FA1" w:rsidRDefault="006B7BFE" w:rsidP="0070360F">
      <w:pPr>
        <w:pStyle w:val="Text"/>
        <w:keepNext/>
        <w:keepLines/>
        <w:numPr>
          <w:ilvl w:val="0"/>
          <w:numId w:val="5"/>
        </w:numPr>
        <w:spacing w:before="0" w:after="0"/>
        <w:rPr>
          <w:i/>
          <w:iCs/>
          <w:color w:val="000000"/>
          <w:u w:val="single"/>
        </w:rPr>
      </w:pPr>
      <w:r>
        <w:rPr>
          <w:i/>
          <w:color w:val="000000"/>
        </w:rPr>
        <w:t xml:space="preserve">Materielle omkostninger </w:t>
      </w:r>
    </w:p>
    <w:p w14:paraId="20856574" w14:textId="77777777" w:rsidR="00D43FA1" w:rsidRPr="00D43FA1" w:rsidRDefault="00D43FA1" w:rsidP="0070360F">
      <w:pPr>
        <w:keepNext/>
        <w:keepLines/>
        <w:spacing w:before="0" w:after="0"/>
      </w:pPr>
    </w:p>
    <w:p w14:paraId="3F2BE815" w14:textId="0DDDAA09" w:rsidR="006B7BFE" w:rsidRPr="00D43FA1" w:rsidRDefault="006B7BFE" w:rsidP="009140F6">
      <w:pPr>
        <w:pStyle w:val="Text"/>
        <w:spacing w:before="0" w:after="0"/>
        <w:rPr>
          <w:color w:val="000000"/>
        </w:rPr>
      </w:pPr>
      <w:r>
        <w:rPr>
          <w:color w:val="000000"/>
        </w:rPr>
        <w:t>De materielle omkostninger er sammensat af analyseomkostningerne for førstegangskontrollen af fødevarer og tilhørende materialer og genstande, der kommer i kontakt med fødevarerne (som regel emballager), samt af udviklingen og anvendelsen af nye emballager. Omkostningerne opstår som følge af hyring af eksterne laboratorier til undersøgelserne. Kun få virksomheder gennemfører selv analyserne fuldstændigt. Der blev spurgt om de samlede omkostninger for alle en virksomheds berørte produkter, og disse samlede omkostninger blev omfordelt på antallet af virksomhedens produkter, der er omfattet af bekendtgørelsens anvendelsesområde.</w:t>
      </w:r>
    </w:p>
    <w:p w14:paraId="12734BF7" w14:textId="0BD0DC03" w:rsidR="006B7BFE" w:rsidRPr="00D43FA1" w:rsidRDefault="006B7BFE" w:rsidP="009140F6">
      <w:pPr>
        <w:pStyle w:val="Text"/>
        <w:spacing w:before="0" w:after="0"/>
        <w:rPr>
          <w:color w:val="000000"/>
        </w:rPr>
      </w:pPr>
      <w:r>
        <w:rPr>
          <w:color w:val="000000"/>
        </w:rPr>
        <w:t xml:space="preserve">På grundlag af de gennemførte interviews kunne det beregnes, at kontrollen af fødevarerne og de tilhørende materialer og genstande, der kommer i kontakt med fødevarerne, vil koste ca. </w:t>
      </w:r>
      <w:r>
        <w:rPr>
          <w:b/>
          <w:color w:val="000000"/>
        </w:rPr>
        <w:t>290 euro pr. produkt</w:t>
      </w:r>
      <w:r>
        <w:rPr>
          <w:color w:val="000000"/>
        </w:rPr>
        <w:t>. Omkostningerne opstår for alle 10 000 produkter.</w:t>
      </w:r>
    </w:p>
    <w:p w14:paraId="6C361081" w14:textId="6695102A" w:rsidR="006B7BFE" w:rsidRPr="00D43FA1" w:rsidRDefault="006B7BFE" w:rsidP="009140F6">
      <w:pPr>
        <w:pStyle w:val="Text"/>
        <w:spacing w:before="0" w:after="0"/>
        <w:rPr>
          <w:color w:val="000000"/>
        </w:rPr>
      </w:pPr>
      <w:r>
        <w:rPr>
          <w:color w:val="000000"/>
        </w:rPr>
        <w:t xml:space="preserve">Det antages, at emballagen skal omstilles ved 50 % af de kontrollerede produkter, dvs. ved 5 000 produkter. For dette ville der gennemsnitligt opstå </w:t>
      </w:r>
      <w:r>
        <w:rPr>
          <w:b/>
          <w:bCs/>
          <w:color w:val="000000"/>
        </w:rPr>
        <w:t>materialeomkostninger på 550 euro pr. produkt</w:t>
      </w:r>
      <w:r>
        <w:rPr>
          <w:color w:val="000000"/>
        </w:rPr>
        <w:t>.</w:t>
      </w:r>
    </w:p>
    <w:p w14:paraId="71241388" w14:textId="7F9A1A7C" w:rsidR="00C23235" w:rsidRPr="00D43FA1" w:rsidRDefault="006B7BFE" w:rsidP="0070360F">
      <w:pPr>
        <w:pStyle w:val="Text"/>
        <w:keepNext/>
        <w:keepLines/>
        <w:spacing w:before="0" w:after="0"/>
        <w:rPr>
          <w:color w:val="000000"/>
        </w:rPr>
      </w:pPr>
      <w:r>
        <w:rPr>
          <w:color w:val="000000"/>
        </w:rPr>
        <w:t>Dermed resulterer de materiale engangsomkostninger af følgende beregning:</w:t>
      </w:r>
    </w:p>
    <w:p w14:paraId="0AE849C1" w14:textId="0BE5CE3F" w:rsidR="006B7BFE" w:rsidRDefault="006B7BFE" w:rsidP="009140F6">
      <w:pPr>
        <w:pStyle w:val="Text"/>
        <w:spacing w:before="0" w:after="0"/>
        <w:rPr>
          <w:color w:val="000000"/>
        </w:rPr>
      </w:pPr>
      <w:r>
        <w:rPr>
          <w:color w:val="000000"/>
        </w:rPr>
        <w:t xml:space="preserve">kontrolomkostninger på 290 euro x 10 000 produkter, der skal kontrolleres + materialeomkostninger på 550 euro x 5 000 produktemballager, der skal omstilles = 5 650 000 Euro. </w:t>
      </w:r>
    </w:p>
    <w:p w14:paraId="0A260EF9" w14:textId="77777777" w:rsidR="00D43FA1" w:rsidRPr="00D43FA1" w:rsidRDefault="00D43FA1" w:rsidP="009140F6">
      <w:pPr>
        <w:pStyle w:val="Text"/>
        <w:spacing w:before="0" w:after="0"/>
        <w:rPr>
          <w:color w:val="000000"/>
        </w:rPr>
      </w:pPr>
    </w:p>
    <w:p w14:paraId="2EEE4654" w14:textId="5E56A404" w:rsidR="006B7BFE" w:rsidRPr="00D43FA1" w:rsidRDefault="006B7BFE" w:rsidP="0070360F">
      <w:pPr>
        <w:pStyle w:val="Text"/>
        <w:keepNext/>
        <w:keepLines/>
        <w:numPr>
          <w:ilvl w:val="0"/>
          <w:numId w:val="5"/>
        </w:numPr>
        <w:spacing w:before="0" w:after="0"/>
        <w:rPr>
          <w:u w:val="single"/>
        </w:rPr>
      </w:pPr>
      <w:r>
        <w:rPr>
          <w:i/>
          <w:color w:val="000000"/>
        </w:rPr>
        <w:t xml:space="preserve">Personaleomkostninger </w:t>
      </w:r>
    </w:p>
    <w:p w14:paraId="3CDF1E12" w14:textId="77777777" w:rsidR="00D43FA1" w:rsidRPr="00D43FA1" w:rsidRDefault="00D43FA1" w:rsidP="0070360F">
      <w:pPr>
        <w:pStyle w:val="Text"/>
        <w:keepNext/>
        <w:keepLines/>
        <w:spacing w:before="0" w:after="0"/>
        <w:ind w:left="360"/>
        <w:rPr>
          <w:u w:val="single"/>
        </w:rPr>
      </w:pPr>
    </w:p>
    <w:p w14:paraId="060CC136" w14:textId="0224181D" w:rsidR="006B7BFE" w:rsidRPr="00D43FA1" w:rsidRDefault="006B7BFE" w:rsidP="009140F6">
      <w:pPr>
        <w:pStyle w:val="Text"/>
        <w:spacing w:before="0" w:after="0"/>
      </w:pPr>
      <w:r>
        <w:t>Personaleomkostningerne er sammensat af tidsforbrugene til kontrollen af fødevarerne og de tilhørende materialer og genstande, der kommer i kontakt med fødevarerne (som regel emballager), samt til omstillingen af emballager (forberedelse og efterbehandling af laboratorieundersøgelser, gennemførelsen af selve analyserne finder overvejende eksternt sted). Der blev spurgt om de samlede omkostninger for alle en virksomheds berørte produkter, og disse samlede omkostninger blev omfordelt på antallet af virksomhedens produkter, der er omfattet af bekendtgørelsens anvendelsesområde.</w:t>
      </w:r>
    </w:p>
    <w:p w14:paraId="325CED0A" w14:textId="3DBDD0D3" w:rsidR="006B7BFE" w:rsidRPr="00D43FA1" w:rsidRDefault="006B7BFE" w:rsidP="009140F6">
      <w:pPr>
        <w:pStyle w:val="Text"/>
        <w:spacing w:before="0" w:after="0"/>
      </w:pPr>
      <w:r>
        <w:t xml:space="preserve">På grundlag af de gennemførte interviews kunne der beregnes et tidsforbrug på ca. </w:t>
      </w:r>
      <w:r>
        <w:rPr>
          <w:b/>
        </w:rPr>
        <w:t>tre timer pr. produkt</w:t>
      </w:r>
      <w:r>
        <w:t xml:space="preserve"> til kontrollen af fødevarerne og de tilhørende materialer og genstande, der kommer i kontakt med fødevarer. Dette omfatter ud over analysen af mineraloliekulbrinter også forberedende arbejde såsom prøvetagningen. Som lønsats fastsættes 60,50 euro/time.</w:t>
      </w:r>
      <w:r>
        <w:rPr>
          <w:rStyle w:val="FootnoteReference"/>
        </w:rPr>
        <w:footnoteReference w:customMarkFollows="1" w:id="4"/>
        <w:t>3</w:t>
      </w:r>
      <w:r>
        <w:rPr>
          <w:vertAlign w:val="superscript"/>
        </w:rPr>
        <w:t xml:space="preserve"> </w:t>
      </w:r>
      <w:r>
        <w:t>Disse omkostninger opstår for alle 10 000 produkter.</w:t>
      </w:r>
    </w:p>
    <w:p w14:paraId="31FE69DB" w14:textId="360102A6" w:rsidR="006B7BFE" w:rsidRPr="00D43FA1" w:rsidRDefault="002201EF" w:rsidP="009140F6">
      <w:pPr>
        <w:pStyle w:val="Text"/>
        <w:spacing w:before="0" w:after="0"/>
      </w:pPr>
      <w:r>
        <w:t xml:space="preserve">Tidsforbruget til omstillingen af en produktemballage er ca. </w:t>
      </w:r>
      <w:r>
        <w:rPr>
          <w:b/>
        </w:rPr>
        <w:t>seks timers arbejdsindsats pr. produkt</w:t>
      </w:r>
      <w:r>
        <w:t>. Som lønsats fastsættes 60,50 euro/time.</w:t>
      </w:r>
      <w:r>
        <w:rPr>
          <w:vertAlign w:val="superscript"/>
        </w:rPr>
        <w:t xml:space="preserve">3 </w:t>
      </w:r>
      <w:r>
        <w:t>Under antagelse af, at ca. 50 % af alle produkter skal omstilles, opstår der lønomkostninger for 5 000 produkter.</w:t>
      </w:r>
    </w:p>
    <w:p w14:paraId="082FCC81" w14:textId="77777777" w:rsidR="002201EF" w:rsidRPr="0086292F" w:rsidRDefault="006B7BFE" w:rsidP="009140F6">
      <w:pPr>
        <w:pStyle w:val="Text"/>
        <w:spacing w:before="0" w:after="0"/>
      </w:pPr>
      <w:r>
        <w:t xml:space="preserve">Dermed resulterer engangspersonaleomkostningerne af følgende beregning: </w:t>
      </w:r>
    </w:p>
    <w:p w14:paraId="0A22DD87" w14:textId="5FCF7C89" w:rsidR="00D43FA1" w:rsidRDefault="006B7BFE" w:rsidP="009140F6">
      <w:pPr>
        <w:pStyle w:val="Text"/>
        <w:spacing w:before="0" w:after="0"/>
      </w:pPr>
      <w:r>
        <w:lastRenderedPageBreak/>
        <w:t>kontrolindsats på 3 timer x lønsats på 60,50 euro x 10 000 produkter, der skal kontrolleres + omstillingsbyrde på 6 timer x lønsats på 60,50 euro x 5 000 produkter, der omstilles = 3 630 000 euro.</w:t>
      </w:r>
    </w:p>
    <w:p w14:paraId="2406F8A6" w14:textId="7A9A3CFE" w:rsidR="006B7BFE" w:rsidRPr="00D43FA1" w:rsidRDefault="006B7BFE" w:rsidP="009140F6">
      <w:pPr>
        <w:pStyle w:val="Text"/>
        <w:spacing w:before="0" w:after="0"/>
      </w:pPr>
    </w:p>
    <w:p w14:paraId="3A7DB30D" w14:textId="77777777" w:rsidR="006B7BFE" w:rsidRPr="00D43FA1" w:rsidRDefault="006B7BFE" w:rsidP="0070360F">
      <w:pPr>
        <w:pStyle w:val="Text"/>
        <w:keepNext/>
        <w:keepLines/>
        <w:spacing w:before="0" w:after="0"/>
        <w:rPr>
          <w:u w:val="single"/>
        </w:rPr>
      </w:pPr>
      <w:r>
        <w:rPr>
          <w:b/>
        </w:rPr>
        <w:t xml:space="preserve">Tabel 2: Oversigt over omstillingsomkostningerne </w:t>
      </w: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1181"/>
        <w:gridCol w:w="1606"/>
        <w:gridCol w:w="1275"/>
        <w:gridCol w:w="1276"/>
        <w:gridCol w:w="1513"/>
        <w:gridCol w:w="1748"/>
      </w:tblGrid>
      <w:tr w:rsidR="006B7BFE" w:rsidRPr="008B2724" w14:paraId="3E0ACA00" w14:textId="77777777" w:rsidTr="008B2724">
        <w:tc>
          <w:tcPr>
            <w:tcW w:w="2547" w:type="dxa"/>
            <w:gridSpan w:val="2"/>
          </w:tcPr>
          <w:p w14:paraId="6539344C" w14:textId="771D9D2E" w:rsidR="006B7BFE" w:rsidRPr="008B2724" w:rsidRDefault="006B7BFE" w:rsidP="0070360F">
            <w:pPr>
              <w:pStyle w:val="Default"/>
              <w:rPr>
                <w:rFonts w:ascii="Arial" w:hAnsi="Arial" w:cs="Arial"/>
                <w:b/>
                <w:spacing w:val="-4"/>
                <w:sz w:val="22"/>
                <w:szCs w:val="22"/>
              </w:rPr>
            </w:pPr>
            <w:r w:rsidRPr="008B2724">
              <w:rPr>
                <w:rFonts w:ascii="Arial" w:hAnsi="Arial"/>
                <w:b/>
                <w:spacing w:val="-4"/>
                <w:sz w:val="22"/>
              </w:rPr>
              <w:t>Retningslinje/</w:t>
            </w:r>
            <w:r w:rsidR="008B2724">
              <w:rPr>
                <w:rFonts w:ascii="Arial" w:hAnsi="Arial"/>
                <w:b/>
                <w:spacing w:val="-4"/>
                <w:sz w:val="22"/>
              </w:rPr>
              <w:t xml:space="preserve"> </w:t>
            </w:r>
            <w:r w:rsidRPr="008B2724">
              <w:rPr>
                <w:rFonts w:ascii="Arial" w:hAnsi="Arial"/>
                <w:b/>
                <w:spacing w:val="-4"/>
                <w:sz w:val="22"/>
              </w:rPr>
              <w:t xml:space="preserve">informationspligt (IP) </w:t>
            </w:r>
          </w:p>
        </w:tc>
        <w:tc>
          <w:tcPr>
            <w:tcW w:w="1606" w:type="dxa"/>
          </w:tcPr>
          <w:p w14:paraId="49FCAF62" w14:textId="31E02EB7" w:rsidR="006B7BFE" w:rsidRPr="008B2724" w:rsidRDefault="006B7BFE" w:rsidP="0070360F">
            <w:pPr>
              <w:pStyle w:val="Default"/>
              <w:rPr>
                <w:rFonts w:ascii="Arial" w:hAnsi="Arial" w:cs="Arial"/>
                <w:b/>
                <w:spacing w:val="-4"/>
                <w:sz w:val="22"/>
                <w:szCs w:val="22"/>
              </w:rPr>
            </w:pPr>
            <w:r w:rsidRPr="008B2724">
              <w:rPr>
                <w:rFonts w:ascii="Arial" w:hAnsi="Arial"/>
                <w:b/>
                <w:spacing w:val="-4"/>
                <w:sz w:val="22"/>
              </w:rPr>
              <w:t>Engangstids</w:t>
            </w:r>
            <w:r w:rsidR="008B2724">
              <w:rPr>
                <w:rFonts w:ascii="Arial" w:hAnsi="Arial"/>
                <w:b/>
                <w:spacing w:val="-4"/>
                <w:sz w:val="22"/>
              </w:rPr>
              <w:t>-</w:t>
            </w:r>
            <w:r w:rsidRPr="008B2724">
              <w:rPr>
                <w:rFonts w:ascii="Arial" w:hAnsi="Arial"/>
                <w:b/>
                <w:spacing w:val="-4"/>
                <w:sz w:val="22"/>
              </w:rPr>
              <w:t xml:space="preserve">forbrug i timer </w:t>
            </w:r>
          </w:p>
        </w:tc>
        <w:tc>
          <w:tcPr>
            <w:tcW w:w="1275" w:type="dxa"/>
          </w:tcPr>
          <w:p w14:paraId="3FB6B09A" w14:textId="6C98ECC7" w:rsidR="006B7BFE" w:rsidRPr="008B2724" w:rsidRDefault="006B7BFE" w:rsidP="0070360F">
            <w:pPr>
              <w:pStyle w:val="Default"/>
              <w:rPr>
                <w:rFonts w:ascii="Arial" w:hAnsi="Arial" w:cs="Arial"/>
                <w:b/>
                <w:spacing w:val="-4"/>
                <w:sz w:val="22"/>
                <w:szCs w:val="22"/>
              </w:rPr>
            </w:pPr>
            <w:r w:rsidRPr="008B2724">
              <w:rPr>
                <w:rFonts w:ascii="Arial" w:hAnsi="Arial"/>
                <w:b/>
                <w:spacing w:val="-4"/>
                <w:sz w:val="22"/>
              </w:rPr>
              <w:t xml:space="preserve">Lønsats i euro/time </w:t>
            </w:r>
          </w:p>
        </w:tc>
        <w:tc>
          <w:tcPr>
            <w:tcW w:w="1276" w:type="dxa"/>
          </w:tcPr>
          <w:p w14:paraId="0F54C0E3" w14:textId="5F666022" w:rsidR="006B7BFE" w:rsidRPr="008B2724" w:rsidRDefault="006B7BFE" w:rsidP="0070360F">
            <w:pPr>
              <w:pStyle w:val="Default"/>
              <w:rPr>
                <w:rFonts w:ascii="Arial" w:hAnsi="Arial" w:cs="Arial"/>
                <w:b/>
                <w:spacing w:val="-4"/>
                <w:sz w:val="22"/>
                <w:szCs w:val="22"/>
              </w:rPr>
            </w:pPr>
            <w:r w:rsidRPr="008B2724">
              <w:rPr>
                <w:rFonts w:ascii="Arial" w:hAnsi="Arial"/>
                <w:b/>
                <w:spacing w:val="-4"/>
                <w:sz w:val="22"/>
              </w:rPr>
              <w:t>Engangs</w:t>
            </w:r>
            <w:r w:rsidR="008B2724">
              <w:rPr>
                <w:rFonts w:ascii="Arial" w:hAnsi="Arial"/>
                <w:b/>
                <w:spacing w:val="-4"/>
                <w:sz w:val="22"/>
              </w:rPr>
              <w:t>-</w:t>
            </w:r>
            <w:r w:rsidRPr="008B2724">
              <w:rPr>
                <w:rFonts w:ascii="Arial" w:hAnsi="Arial"/>
                <w:b/>
                <w:spacing w:val="-4"/>
                <w:sz w:val="22"/>
              </w:rPr>
              <w:t>persona</w:t>
            </w:r>
            <w:r w:rsidR="008B2724">
              <w:rPr>
                <w:rFonts w:ascii="Arial" w:hAnsi="Arial"/>
                <w:b/>
                <w:spacing w:val="-4"/>
                <w:sz w:val="22"/>
              </w:rPr>
              <w:t>-</w:t>
            </w:r>
            <w:r w:rsidRPr="008B2724">
              <w:rPr>
                <w:rFonts w:ascii="Arial" w:hAnsi="Arial"/>
                <w:b/>
                <w:spacing w:val="-4"/>
                <w:sz w:val="22"/>
              </w:rPr>
              <w:t>leomkost</w:t>
            </w:r>
            <w:r w:rsidR="008B2724">
              <w:rPr>
                <w:rFonts w:ascii="Arial" w:hAnsi="Arial"/>
                <w:b/>
                <w:spacing w:val="-4"/>
                <w:sz w:val="22"/>
              </w:rPr>
              <w:t>-</w:t>
            </w:r>
            <w:r w:rsidRPr="008B2724">
              <w:rPr>
                <w:rFonts w:ascii="Arial" w:hAnsi="Arial"/>
                <w:b/>
                <w:spacing w:val="-4"/>
                <w:sz w:val="22"/>
              </w:rPr>
              <w:t xml:space="preserve">ninger i euro </w:t>
            </w:r>
          </w:p>
        </w:tc>
        <w:tc>
          <w:tcPr>
            <w:tcW w:w="1513" w:type="dxa"/>
          </w:tcPr>
          <w:p w14:paraId="2AD81DFC" w14:textId="237C9D40" w:rsidR="006B7BFE" w:rsidRPr="008B2724" w:rsidRDefault="006B7BFE" w:rsidP="0070360F">
            <w:pPr>
              <w:pStyle w:val="Default"/>
              <w:rPr>
                <w:rFonts w:ascii="Arial" w:hAnsi="Arial" w:cs="Arial"/>
                <w:b/>
                <w:spacing w:val="-4"/>
                <w:sz w:val="22"/>
                <w:szCs w:val="22"/>
              </w:rPr>
            </w:pPr>
            <w:r w:rsidRPr="008B2724">
              <w:rPr>
                <w:rFonts w:ascii="Arial" w:hAnsi="Arial"/>
                <w:b/>
                <w:spacing w:val="-4"/>
                <w:sz w:val="22"/>
              </w:rPr>
              <w:t>Materielle engangsom</w:t>
            </w:r>
            <w:r w:rsidR="008B2724">
              <w:rPr>
                <w:rFonts w:ascii="Arial" w:hAnsi="Arial"/>
                <w:b/>
                <w:spacing w:val="-4"/>
                <w:sz w:val="22"/>
              </w:rPr>
              <w:t>-</w:t>
            </w:r>
            <w:r w:rsidRPr="008B2724">
              <w:rPr>
                <w:rFonts w:ascii="Arial" w:hAnsi="Arial"/>
                <w:b/>
                <w:spacing w:val="-4"/>
                <w:sz w:val="22"/>
              </w:rPr>
              <w:t xml:space="preserve">kostninger i euro </w:t>
            </w:r>
          </w:p>
        </w:tc>
        <w:tc>
          <w:tcPr>
            <w:tcW w:w="1748" w:type="dxa"/>
          </w:tcPr>
          <w:p w14:paraId="50C55997" w14:textId="63A8C2BB" w:rsidR="006B7BFE" w:rsidRPr="008B2724" w:rsidRDefault="006B7BFE" w:rsidP="0070360F">
            <w:pPr>
              <w:pStyle w:val="Default"/>
              <w:rPr>
                <w:rFonts w:ascii="Arial" w:hAnsi="Arial" w:cs="Arial"/>
                <w:b/>
                <w:spacing w:val="-4"/>
                <w:sz w:val="22"/>
                <w:szCs w:val="22"/>
              </w:rPr>
            </w:pPr>
            <w:r w:rsidRPr="008B2724">
              <w:rPr>
                <w:rFonts w:ascii="Arial" w:hAnsi="Arial"/>
                <w:b/>
                <w:spacing w:val="-4"/>
                <w:sz w:val="22"/>
              </w:rPr>
              <w:t>Engangstil</w:t>
            </w:r>
            <w:r w:rsidR="008B2724">
              <w:rPr>
                <w:rFonts w:ascii="Arial" w:hAnsi="Arial"/>
                <w:b/>
                <w:spacing w:val="-4"/>
                <w:sz w:val="22"/>
              </w:rPr>
              <w:t>-</w:t>
            </w:r>
            <w:r w:rsidRPr="008B2724">
              <w:rPr>
                <w:rFonts w:ascii="Arial" w:hAnsi="Arial"/>
                <w:b/>
                <w:spacing w:val="-4"/>
                <w:sz w:val="22"/>
              </w:rPr>
              <w:t>pasningsom</w:t>
            </w:r>
            <w:r w:rsidR="008B2724">
              <w:rPr>
                <w:rFonts w:ascii="Arial" w:hAnsi="Arial"/>
                <w:b/>
                <w:spacing w:val="-4"/>
                <w:sz w:val="22"/>
              </w:rPr>
              <w:t>-</w:t>
            </w:r>
            <w:r w:rsidRPr="008B2724">
              <w:rPr>
                <w:rFonts w:ascii="Arial" w:hAnsi="Arial"/>
                <w:b/>
                <w:spacing w:val="-4"/>
                <w:sz w:val="22"/>
              </w:rPr>
              <w:t xml:space="preserve">kostninger i euro </w:t>
            </w:r>
          </w:p>
        </w:tc>
      </w:tr>
      <w:tr w:rsidR="006B7BFE" w:rsidRPr="008B2724" w14:paraId="19635ABD" w14:textId="77777777" w:rsidTr="008B2724">
        <w:tc>
          <w:tcPr>
            <w:tcW w:w="1366" w:type="dxa"/>
          </w:tcPr>
          <w:p w14:paraId="3EF43B2A" w14:textId="77777777" w:rsidR="006B7BFE" w:rsidRPr="008B2724" w:rsidRDefault="006B7BFE" w:rsidP="006B7BFE">
            <w:pPr>
              <w:pStyle w:val="Default"/>
              <w:rPr>
                <w:rFonts w:ascii="Arial" w:hAnsi="Arial" w:cs="Arial"/>
                <w:spacing w:val="-4"/>
                <w:sz w:val="22"/>
                <w:szCs w:val="22"/>
              </w:rPr>
            </w:pPr>
            <w:r w:rsidRPr="008B2724">
              <w:rPr>
                <w:rFonts w:ascii="Arial" w:hAnsi="Arial"/>
                <w:spacing w:val="-4"/>
                <w:sz w:val="22"/>
              </w:rPr>
              <w:t xml:space="preserve">Funktionel barriere </w:t>
            </w:r>
          </w:p>
        </w:tc>
        <w:tc>
          <w:tcPr>
            <w:tcW w:w="1181" w:type="dxa"/>
          </w:tcPr>
          <w:p w14:paraId="3A8E99F1" w14:textId="77777777" w:rsidR="006B7BFE" w:rsidRPr="008B2724" w:rsidRDefault="006B7BFE" w:rsidP="000F1682">
            <w:pPr>
              <w:pStyle w:val="Default"/>
              <w:rPr>
                <w:rFonts w:ascii="Arial" w:hAnsi="Arial" w:cs="Arial"/>
                <w:spacing w:val="-4"/>
                <w:sz w:val="22"/>
                <w:szCs w:val="22"/>
              </w:rPr>
            </w:pPr>
            <w:r w:rsidRPr="008B2724">
              <w:rPr>
                <w:rFonts w:ascii="Arial" w:hAnsi="Arial"/>
                <w:spacing w:val="-4"/>
                <w:sz w:val="22"/>
              </w:rPr>
              <w:t xml:space="preserve">§ 6a, stk. 1 og 4 </w:t>
            </w:r>
          </w:p>
        </w:tc>
        <w:tc>
          <w:tcPr>
            <w:tcW w:w="1606" w:type="dxa"/>
          </w:tcPr>
          <w:p w14:paraId="0BB48AAC" w14:textId="77777777" w:rsidR="006B7BFE" w:rsidRPr="008B2724" w:rsidRDefault="006B7BFE" w:rsidP="002F4768">
            <w:pPr>
              <w:pStyle w:val="Default"/>
              <w:rPr>
                <w:rFonts w:ascii="Arial" w:hAnsi="Arial" w:cs="Arial"/>
                <w:spacing w:val="-4"/>
                <w:sz w:val="22"/>
                <w:szCs w:val="22"/>
              </w:rPr>
            </w:pPr>
            <w:r w:rsidRPr="008B2724">
              <w:rPr>
                <w:rFonts w:ascii="Arial" w:hAnsi="Arial"/>
                <w:spacing w:val="-4"/>
                <w:sz w:val="22"/>
              </w:rPr>
              <w:t xml:space="preserve">60 000 </w:t>
            </w:r>
          </w:p>
        </w:tc>
        <w:tc>
          <w:tcPr>
            <w:tcW w:w="1275" w:type="dxa"/>
          </w:tcPr>
          <w:p w14:paraId="28388CFA" w14:textId="77777777" w:rsidR="006B7BFE" w:rsidRPr="008B2724" w:rsidRDefault="00A4031B" w:rsidP="006B7BFE">
            <w:pPr>
              <w:pStyle w:val="Default"/>
              <w:rPr>
                <w:rFonts w:ascii="Arial" w:hAnsi="Arial" w:cs="Arial"/>
                <w:spacing w:val="-4"/>
                <w:sz w:val="22"/>
                <w:szCs w:val="22"/>
              </w:rPr>
            </w:pPr>
            <w:r w:rsidRPr="008B2724">
              <w:rPr>
                <w:rFonts w:ascii="Arial" w:hAnsi="Arial"/>
                <w:spacing w:val="-4"/>
                <w:sz w:val="22"/>
              </w:rPr>
              <w:t>60,50</w:t>
            </w:r>
          </w:p>
        </w:tc>
        <w:tc>
          <w:tcPr>
            <w:tcW w:w="1276" w:type="dxa"/>
          </w:tcPr>
          <w:p w14:paraId="1C8517E8" w14:textId="77777777" w:rsidR="006B7BFE" w:rsidRPr="008B2724" w:rsidRDefault="00A4031B" w:rsidP="002F4768">
            <w:pPr>
              <w:pStyle w:val="Default"/>
              <w:rPr>
                <w:rFonts w:ascii="Arial" w:hAnsi="Arial" w:cs="Arial"/>
                <w:spacing w:val="-4"/>
                <w:sz w:val="22"/>
                <w:szCs w:val="22"/>
              </w:rPr>
            </w:pPr>
            <w:r w:rsidRPr="008B2724">
              <w:rPr>
                <w:rFonts w:ascii="Arial" w:hAnsi="Arial"/>
                <w:spacing w:val="-4"/>
                <w:sz w:val="22"/>
              </w:rPr>
              <w:t xml:space="preserve">3 630 000 </w:t>
            </w:r>
          </w:p>
        </w:tc>
        <w:tc>
          <w:tcPr>
            <w:tcW w:w="1513" w:type="dxa"/>
          </w:tcPr>
          <w:p w14:paraId="38F2E4E4" w14:textId="77777777" w:rsidR="006B7BFE" w:rsidRPr="008B2724" w:rsidRDefault="006B7BFE" w:rsidP="002F4768">
            <w:pPr>
              <w:pStyle w:val="Default"/>
              <w:rPr>
                <w:rFonts w:ascii="Arial" w:hAnsi="Arial" w:cs="Arial"/>
                <w:spacing w:val="-4"/>
                <w:sz w:val="22"/>
                <w:szCs w:val="22"/>
              </w:rPr>
            </w:pPr>
            <w:r w:rsidRPr="008B2724">
              <w:rPr>
                <w:rFonts w:ascii="Arial" w:hAnsi="Arial"/>
                <w:spacing w:val="-4"/>
                <w:sz w:val="22"/>
              </w:rPr>
              <w:t xml:space="preserve">5 650 000 </w:t>
            </w:r>
          </w:p>
        </w:tc>
        <w:tc>
          <w:tcPr>
            <w:tcW w:w="1748" w:type="dxa"/>
            <w:shd w:val="clear" w:color="auto" w:fill="BFBFBF" w:themeFill="background1" w:themeFillShade="BF"/>
          </w:tcPr>
          <w:p w14:paraId="5943CEDA" w14:textId="77777777" w:rsidR="006B7BFE" w:rsidRPr="008B2724" w:rsidRDefault="002F4768" w:rsidP="002F4768">
            <w:pPr>
              <w:pStyle w:val="Default"/>
              <w:rPr>
                <w:rFonts w:ascii="Arial" w:hAnsi="Arial" w:cs="Arial"/>
                <w:spacing w:val="-4"/>
                <w:sz w:val="22"/>
                <w:szCs w:val="22"/>
              </w:rPr>
            </w:pPr>
            <w:r w:rsidRPr="008B2724">
              <w:rPr>
                <w:rFonts w:ascii="Arial" w:hAnsi="Arial"/>
                <w:b/>
                <w:spacing w:val="-4"/>
                <w:sz w:val="22"/>
              </w:rPr>
              <w:t xml:space="preserve"> 9 280 000 </w:t>
            </w:r>
          </w:p>
        </w:tc>
      </w:tr>
    </w:tbl>
    <w:p w14:paraId="70DC6500" w14:textId="77777777" w:rsidR="00D43FA1" w:rsidRDefault="00D43FA1" w:rsidP="00557D18">
      <w:pPr>
        <w:pStyle w:val="Text"/>
        <w:spacing w:before="0" w:after="0"/>
        <w:jc w:val="left"/>
        <w:rPr>
          <w:rStyle w:val="CommentReference"/>
          <w:rFonts w:ascii="Times New Roman" w:eastAsia="Times New Roman" w:hAnsi="Times New Roman" w:cs="Times New Roman"/>
          <w:lang w:eastAsia="de-DE"/>
        </w:rPr>
      </w:pPr>
    </w:p>
    <w:p w14:paraId="09D77BBF" w14:textId="77777777" w:rsidR="00D43FA1" w:rsidRDefault="006B7BFE" w:rsidP="0086292F">
      <w:pPr>
        <w:pStyle w:val="Text"/>
        <w:keepNext/>
        <w:keepLines/>
        <w:spacing w:before="0" w:after="0"/>
        <w:jc w:val="left"/>
        <w:rPr>
          <w:rStyle w:val="CommentReference"/>
          <w:rFonts w:ascii="Times New Roman" w:eastAsia="Times New Roman" w:hAnsi="Times New Roman" w:cs="Times New Roman"/>
        </w:rPr>
      </w:pPr>
      <w:r>
        <w:t xml:space="preserve">b) Årlige tilpasningsomkostninger </w:t>
      </w:r>
    </w:p>
    <w:p w14:paraId="5CB6CCB6" w14:textId="521BA6B6" w:rsidR="006B7BFE" w:rsidRPr="00D43FA1" w:rsidRDefault="006B7BFE" w:rsidP="0086292F">
      <w:pPr>
        <w:pStyle w:val="Text"/>
        <w:keepNext/>
        <w:keepLines/>
        <w:spacing w:before="0" w:after="0"/>
        <w:jc w:val="left"/>
      </w:pPr>
    </w:p>
    <w:p w14:paraId="318EDF1F" w14:textId="77777777" w:rsidR="00D43FA1" w:rsidRDefault="006B7BFE" w:rsidP="0086292F">
      <w:pPr>
        <w:pStyle w:val="Text"/>
        <w:keepNext/>
        <w:keepLines/>
        <w:spacing w:before="0" w:after="0"/>
        <w:rPr>
          <w:i/>
          <w:iCs/>
        </w:rPr>
      </w:pPr>
      <w:r>
        <w:rPr>
          <w:i/>
        </w:rPr>
        <w:t xml:space="preserve">De årlige tilpasningsomkostninger omfatter personale- og materialeomkostninger for den periodiske kontrol og meromkostningerne som følge af en emballageløsning, der er i overensstemmelse med bestemmelserne i henhold til § 6a. Den periodiske kontrol af fødevarer og emballageløsninger omfatter prøvetagning, analyse og vurdering. </w:t>
      </w:r>
    </w:p>
    <w:p w14:paraId="61757831" w14:textId="2AB309E2" w:rsidR="006B7BFE" w:rsidRPr="00D43FA1" w:rsidRDefault="006B7BFE" w:rsidP="0086292F">
      <w:pPr>
        <w:pStyle w:val="Text"/>
        <w:keepNext/>
        <w:keepLines/>
        <w:spacing w:before="0" w:after="0"/>
        <w:rPr>
          <w:i/>
          <w:iCs/>
        </w:rPr>
      </w:pPr>
    </w:p>
    <w:p w14:paraId="3A014E51" w14:textId="43820923" w:rsidR="006B7BFE" w:rsidRPr="0086292F" w:rsidRDefault="006B7BFE" w:rsidP="00557D18">
      <w:pPr>
        <w:pStyle w:val="Text"/>
        <w:numPr>
          <w:ilvl w:val="0"/>
          <w:numId w:val="5"/>
        </w:numPr>
        <w:spacing w:before="0" w:after="0"/>
        <w:rPr>
          <w:color w:val="000000"/>
        </w:rPr>
      </w:pPr>
      <w:r>
        <w:rPr>
          <w:i/>
        </w:rPr>
        <w:t>Antal tilfælde</w:t>
      </w:r>
      <w:r>
        <w:t xml:space="preserve"> </w:t>
      </w:r>
      <w:r>
        <w:rPr>
          <w:color w:val="000000"/>
        </w:rPr>
        <w:t xml:space="preserve">(= berørte produkter: fødevarer plus materialer og genstande, der kommer i berøring med fødevarerne) </w:t>
      </w:r>
    </w:p>
    <w:p w14:paraId="6EA56C3D" w14:textId="77777777" w:rsidR="00D43FA1" w:rsidRPr="00D43FA1" w:rsidRDefault="00D43FA1" w:rsidP="00D43FA1">
      <w:pPr>
        <w:pStyle w:val="Text"/>
        <w:spacing w:before="0" w:after="0"/>
        <w:ind w:left="360"/>
        <w:rPr>
          <w:u w:val="single"/>
        </w:rPr>
      </w:pPr>
    </w:p>
    <w:p w14:paraId="5F264B2C" w14:textId="77777777" w:rsidR="006B7BFE" w:rsidRPr="00D43FA1" w:rsidRDefault="006B7BFE" w:rsidP="009140F6">
      <w:pPr>
        <w:pStyle w:val="Text"/>
        <w:spacing w:before="0" w:after="0"/>
      </w:pPr>
      <w:r>
        <w:t xml:space="preserve">Det samlede antal produkter, der er omfattet af bekendtgørelsen, udledes svarende til antal tilfælde af produkter for engangsomstillingsbyrden: 10 000 produkter er principielt berørt. Emballagen skal omstilles for 5 000 produkter. Den nye emballages overensstemmelse kontrolleres årligt for disse 5 000 produkter. Ifølge oplysning fra de adspurgte virksomheder omfatter denne indsats også produkter, der ikke skal omstilles. Det antages, at kontrollen svarer til ca. en tredjedel af indsatsen for omstillede produkter. </w:t>
      </w:r>
    </w:p>
    <w:p w14:paraId="5B1EB757" w14:textId="77777777" w:rsidR="006B7BFE" w:rsidRPr="00D43FA1" w:rsidRDefault="006B7BFE" w:rsidP="009140F6">
      <w:pPr>
        <w:pStyle w:val="Text"/>
        <w:spacing w:before="0" w:after="0"/>
      </w:pPr>
    </w:p>
    <w:p w14:paraId="446C7513" w14:textId="77777777" w:rsidR="006B7BFE" w:rsidRPr="00D43FA1" w:rsidRDefault="006B7BFE" w:rsidP="0070360F">
      <w:pPr>
        <w:pStyle w:val="Text"/>
        <w:keepNext/>
        <w:keepLines/>
        <w:numPr>
          <w:ilvl w:val="0"/>
          <w:numId w:val="6"/>
        </w:numPr>
        <w:spacing w:before="0" w:after="0"/>
      </w:pPr>
      <w:r>
        <w:rPr>
          <w:i/>
        </w:rPr>
        <w:t>Personaleomkostninger</w:t>
      </w:r>
    </w:p>
    <w:p w14:paraId="0FD42608" w14:textId="77777777" w:rsidR="006B7BFE" w:rsidRPr="00D43FA1" w:rsidRDefault="006B7BFE" w:rsidP="0070360F">
      <w:pPr>
        <w:pStyle w:val="Text"/>
        <w:keepNext/>
        <w:keepLines/>
        <w:spacing w:before="0" w:after="0"/>
        <w:rPr>
          <w:i/>
          <w:iCs/>
          <w:u w:val="single"/>
        </w:rPr>
      </w:pPr>
    </w:p>
    <w:p w14:paraId="58C3C95C" w14:textId="77777777" w:rsidR="006B7BFE" w:rsidRPr="00D43FA1" w:rsidRDefault="00E71594" w:rsidP="009140F6">
      <w:pPr>
        <w:pStyle w:val="Text"/>
        <w:spacing w:before="0" w:after="0"/>
      </w:pPr>
      <w:r>
        <w:t xml:space="preserve">De årlige tilpasningsomkostninger resulterer af personaleomkostningerne for opgaverne på området for den periodiske kontrol af fødevarer og de tilhørende materialer og genstande, der kommer i kontakt med fødevarerne (som regel emballager), (forberedelse og efterbehandling af laboratorieundersøgelser, gennemførelsen af selve analyserne finder overvejende eksternt sted). Der blev spurgt om de samlede omkostninger for alle en virksomheds berørte produkter, og disse samlede omkostninger blev omfordelt på antallet af virksomhedens produkter, der er omfattet af bekendtgørelsens anvendelsesområde. </w:t>
      </w:r>
    </w:p>
    <w:p w14:paraId="6A10C10F" w14:textId="77777777" w:rsidR="006B7BFE" w:rsidRPr="00D43FA1" w:rsidRDefault="006B7BFE" w:rsidP="009140F6">
      <w:pPr>
        <w:pStyle w:val="Text"/>
        <w:spacing w:before="0" w:after="0"/>
        <w:rPr>
          <w:vertAlign w:val="superscript"/>
        </w:rPr>
      </w:pPr>
      <w:r>
        <w:t xml:space="preserve">På grundlag af de gennemførte interviews kunne der beregnes et årligt tidsforbrug på ca. </w:t>
      </w:r>
      <w:r>
        <w:rPr>
          <w:b/>
        </w:rPr>
        <w:t>tre timer pr. produkt</w:t>
      </w:r>
      <w:r>
        <w:t xml:space="preserve"> til kontrollen af fødevarerne og de tilhørende materialer og genstande, der kommer i kontakt med fødevarer. Dette omfatter ud over analysen af mineraloliekulbrinter også forberedende arbejde såsom prøvetagningen. Som lønsats fastsættes 60,50 euro/time.</w:t>
      </w:r>
      <w:r>
        <w:rPr>
          <w:vertAlign w:val="superscript"/>
        </w:rPr>
        <w:t>3</w:t>
      </w:r>
    </w:p>
    <w:p w14:paraId="1FCB5935" w14:textId="77777777" w:rsidR="006B7BFE" w:rsidRPr="00D43FA1" w:rsidRDefault="006B7BFE" w:rsidP="009140F6">
      <w:pPr>
        <w:pStyle w:val="Text"/>
        <w:spacing w:before="0" w:after="0"/>
        <w:rPr>
          <w:vertAlign w:val="superscript"/>
        </w:rPr>
      </w:pPr>
      <w:r>
        <w:t xml:space="preserve">På grundlag af interviewene er resultatet en mindre intensiv kontrol for de ikke omstillede produkter (50 % af det samlede antal, dvs. 5 000 produkter). Det årlige tidsforbrug svarer således til </w:t>
      </w:r>
      <w:r>
        <w:rPr>
          <w:b/>
        </w:rPr>
        <w:t>en time pr. produkt</w:t>
      </w:r>
      <w:r>
        <w:t>. Som lønsats fastsættes 60,50 euro/time.</w:t>
      </w:r>
      <w:r>
        <w:rPr>
          <w:vertAlign w:val="superscript"/>
        </w:rPr>
        <w:t xml:space="preserve">3 </w:t>
      </w:r>
    </w:p>
    <w:p w14:paraId="572A0A4A" w14:textId="671EEE96" w:rsidR="006B7BFE" w:rsidRPr="00D43FA1" w:rsidRDefault="006B7BFE" w:rsidP="009140F6">
      <w:pPr>
        <w:pStyle w:val="Text"/>
        <w:spacing w:before="0" w:after="0"/>
      </w:pPr>
      <w:r>
        <w:t xml:space="preserve">Som årlige personaleomkostninger opstår således: kontrolindsats på 3 timer x lønsats på 60,50 euro x 5 000 produkter + kontrolindsats på 1 time x lønsats på 60,50 euro x 5 000 produkter = 1 210 000 euro. </w:t>
      </w:r>
    </w:p>
    <w:p w14:paraId="471B7111" w14:textId="385C935E" w:rsidR="003923C4" w:rsidRPr="00D43FA1" w:rsidRDefault="003923C4" w:rsidP="009140F6">
      <w:pPr>
        <w:pStyle w:val="Text"/>
        <w:spacing w:before="0" w:after="0"/>
      </w:pPr>
    </w:p>
    <w:p w14:paraId="02CD70EC" w14:textId="77777777" w:rsidR="006B7BFE" w:rsidRPr="00D43FA1" w:rsidRDefault="006B7BFE" w:rsidP="0070360F">
      <w:pPr>
        <w:pStyle w:val="Text"/>
        <w:keepNext/>
        <w:keepLines/>
        <w:numPr>
          <w:ilvl w:val="0"/>
          <w:numId w:val="6"/>
        </w:numPr>
        <w:spacing w:before="0" w:after="0"/>
      </w:pPr>
      <w:r>
        <w:rPr>
          <w:i/>
        </w:rPr>
        <w:lastRenderedPageBreak/>
        <w:t xml:space="preserve">Materielle omkostninger </w:t>
      </w:r>
    </w:p>
    <w:p w14:paraId="1E71B5C0" w14:textId="77777777" w:rsidR="006B7BFE" w:rsidRPr="00D43FA1" w:rsidRDefault="006B7BFE" w:rsidP="0070360F">
      <w:pPr>
        <w:pStyle w:val="Text"/>
        <w:keepNext/>
        <w:keepLines/>
        <w:spacing w:before="0" w:after="0"/>
        <w:rPr>
          <w:i/>
          <w:iCs/>
          <w:u w:val="single"/>
        </w:rPr>
      </w:pPr>
    </w:p>
    <w:p w14:paraId="0B563A15" w14:textId="77777777" w:rsidR="006B7BFE" w:rsidRPr="008B2724" w:rsidRDefault="006B7BFE" w:rsidP="008B2724">
      <w:pPr>
        <w:pStyle w:val="Text"/>
        <w:keepLines/>
        <w:spacing w:before="0" w:after="0"/>
        <w:rPr>
          <w:spacing w:val="-4"/>
        </w:rPr>
      </w:pPr>
      <w:r w:rsidRPr="008B2724">
        <w:rPr>
          <w:spacing w:val="-4"/>
        </w:rPr>
        <w:t xml:space="preserve">De materielle omkostninger er sammensat af omkostninger for den periodiske kontrol af fødevarer og de tilhørende materialer og genstande, der kommer i kontakt med fødevarerne (som regel emballager), og meromkostningerne for emballager, der skal omstilles. Omkostningerne opstår som følge af hyring af eksterne laboratorier til undersøgelserne. Kun få virksomheder gennemfører selv analyserne fuldstændigt. Der blev spurgt om omkostningerne for alle en virksomheds berørte produkter, og disse samlede omkostninger blev omfordelt på antallet af virksomhedens produkter, der er omfattet af bekendtgørelsens anvendelsesområde. </w:t>
      </w:r>
    </w:p>
    <w:p w14:paraId="05FEEC02" w14:textId="77777777" w:rsidR="006B7BFE" w:rsidRPr="008B2724" w:rsidRDefault="006B7BFE" w:rsidP="009140F6">
      <w:pPr>
        <w:pStyle w:val="Text"/>
        <w:spacing w:before="0" w:after="0"/>
        <w:rPr>
          <w:spacing w:val="-4"/>
        </w:rPr>
      </w:pPr>
      <w:r w:rsidRPr="008B2724">
        <w:rPr>
          <w:spacing w:val="-4"/>
        </w:rPr>
        <w:t xml:space="preserve">På grundlag af de gennemførte interviews kunne det beregnes, at der vil opstå årlige omkostninger på ca. </w:t>
      </w:r>
      <w:r w:rsidRPr="008B2724">
        <w:rPr>
          <w:b/>
          <w:bCs/>
          <w:spacing w:val="-4"/>
        </w:rPr>
        <w:t>290 euro pr. produkt</w:t>
      </w:r>
      <w:r w:rsidRPr="008B2724">
        <w:rPr>
          <w:spacing w:val="-4"/>
        </w:rPr>
        <w:t xml:space="preserve"> for kontrollen af fødevarer og tilhørende materialer og genstande, der kommer i kontakt med fødevarer. Disse materielle omkostninger opstår for 5 000 produkter. For den mindre intensive kontrol af fødevarerne, der ikke skal omstilles, blev der beregnet ca. </w:t>
      </w:r>
      <w:r w:rsidRPr="008B2724">
        <w:rPr>
          <w:b/>
          <w:spacing w:val="-4"/>
        </w:rPr>
        <w:t>100 euro pr. produkt</w:t>
      </w:r>
      <w:r w:rsidRPr="008B2724">
        <w:rPr>
          <w:spacing w:val="-4"/>
        </w:rPr>
        <w:t xml:space="preserve">, hvilket gælder for 5 000 produkter. </w:t>
      </w:r>
    </w:p>
    <w:p w14:paraId="1FB0BAEE" w14:textId="77777777" w:rsidR="006B7BFE" w:rsidRPr="00D43FA1" w:rsidRDefault="006B7BFE" w:rsidP="009140F6">
      <w:pPr>
        <w:pStyle w:val="Text"/>
        <w:spacing w:before="0" w:after="0"/>
      </w:pPr>
      <w:r>
        <w:t xml:space="preserve">Meromkostningerne for emballagemateriale til de 5 000 produkter, der skal omstilles, er ca. </w:t>
      </w:r>
      <w:r>
        <w:rPr>
          <w:b/>
          <w:bCs/>
        </w:rPr>
        <w:t>1 000 euro pr. produkt</w:t>
      </w:r>
      <w:r>
        <w:t xml:space="preserve">. </w:t>
      </w:r>
    </w:p>
    <w:p w14:paraId="5A000AC2" w14:textId="77777777" w:rsidR="006B7BFE" w:rsidRPr="00D43FA1" w:rsidRDefault="006B7BFE" w:rsidP="009140F6">
      <w:pPr>
        <w:pStyle w:val="Text"/>
        <w:spacing w:before="0" w:after="0"/>
      </w:pPr>
      <w:r>
        <w:t xml:space="preserve">Som årlige materielle omkostninger opstår således: kontrolomkostninger på 290 euro x 5 000 produkter + kontrolomkostninger på 100 euro x 5 000 produkter + materialeomkostninger på 1 000 euro x 5 000 produkter = 6 950 000 Euro. </w:t>
      </w:r>
    </w:p>
    <w:p w14:paraId="4EA9AD8F" w14:textId="77777777" w:rsidR="006B7BFE" w:rsidRPr="00D43FA1" w:rsidRDefault="006B7BFE" w:rsidP="009140F6">
      <w:pPr>
        <w:pStyle w:val="Text"/>
        <w:spacing w:before="0" w:after="0"/>
      </w:pPr>
    </w:p>
    <w:p w14:paraId="5E74352B" w14:textId="77777777" w:rsidR="006B7BFE" w:rsidRPr="00D43FA1" w:rsidRDefault="006B7BFE" w:rsidP="0070360F">
      <w:pPr>
        <w:pStyle w:val="Text"/>
        <w:keepNext/>
        <w:keepLines/>
        <w:spacing w:before="0" w:after="0"/>
        <w:rPr>
          <w:u w:val="single"/>
        </w:rPr>
      </w:pPr>
      <w:r>
        <w:rPr>
          <w:b/>
        </w:rPr>
        <w:t xml:space="preserve">Tabel 3: Oversigt over løbende tilpasningsomkostninger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1294"/>
        <w:gridCol w:w="1446"/>
        <w:gridCol w:w="1275"/>
        <w:gridCol w:w="1276"/>
        <w:gridCol w:w="1276"/>
        <w:gridCol w:w="1512"/>
      </w:tblGrid>
      <w:tr w:rsidR="006B7BFE" w:rsidRPr="008B2724" w14:paraId="1A7C22AA" w14:textId="77777777" w:rsidTr="008B2724">
        <w:tc>
          <w:tcPr>
            <w:tcW w:w="2660" w:type="dxa"/>
            <w:gridSpan w:val="2"/>
          </w:tcPr>
          <w:p w14:paraId="4EBDEFBC" w14:textId="603EE879" w:rsidR="006B7BFE" w:rsidRPr="008B2724" w:rsidRDefault="006B7BFE" w:rsidP="0070360F">
            <w:pPr>
              <w:pStyle w:val="Default"/>
              <w:keepNext/>
              <w:keepLines/>
              <w:rPr>
                <w:rFonts w:ascii="Arial" w:hAnsi="Arial" w:cs="Arial"/>
                <w:b/>
                <w:spacing w:val="-4"/>
                <w:sz w:val="22"/>
                <w:szCs w:val="22"/>
              </w:rPr>
            </w:pPr>
            <w:r w:rsidRPr="008B2724">
              <w:rPr>
                <w:rFonts w:ascii="Arial" w:hAnsi="Arial"/>
                <w:b/>
                <w:spacing w:val="-4"/>
                <w:sz w:val="22"/>
              </w:rPr>
              <w:t xml:space="preserve">Retningslinje/informationspligt (IP) </w:t>
            </w:r>
          </w:p>
          <w:p w14:paraId="67A2E6B2" w14:textId="77777777" w:rsidR="006B7BFE" w:rsidRPr="008B2724" w:rsidRDefault="006B7BFE" w:rsidP="0070360F">
            <w:pPr>
              <w:pStyle w:val="Default"/>
              <w:keepNext/>
              <w:keepLines/>
              <w:rPr>
                <w:rFonts w:ascii="Arial" w:hAnsi="Arial" w:cs="Arial"/>
                <w:b/>
                <w:spacing w:val="-4"/>
                <w:sz w:val="22"/>
                <w:szCs w:val="22"/>
              </w:rPr>
            </w:pPr>
          </w:p>
        </w:tc>
        <w:tc>
          <w:tcPr>
            <w:tcW w:w="1446" w:type="dxa"/>
          </w:tcPr>
          <w:p w14:paraId="06CC8623" w14:textId="2AD90995" w:rsidR="006B7BFE" w:rsidRPr="008B2724" w:rsidRDefault="006B7BFE" w:rsidP="0070360F">
            <w:pPr>
              <w:pStyle w:val="Default"/>
              <w:keepNext/>
              <w:keepLines/>
              <w:rPr>
                <w:rFonts w:ascii="Arial" w:hAnsi="Arial" w:cs="Arial"/>
                <w:b/>
                <w:spacing w:val="-4"/>
                <w:sz w:val="22"/>
                <w:szCs w:val="22"/>
              </w:rPr>
            </w:pPr>
            <w:r w:rsidRPr="008B2724">
              <w:rPr>
                <w:rFonts w:ascii="Arial" w:hAnsi="Arial"/>
                <w:b/>
                <w:spacing w:val="-4"/>
                <w:sz w:val="22"/>
              </w:rPr>
              <w:t xml:space="preserve">Årligt tidsforbrug i timer </w:t>
            </w:r>
          </w:p>
        </w:tc>
        <w:tc>
          <w:tcPr>
            <w:tcW w:w="1275" w:type="dxa"/>
          </w:tcPr>
          <w:p w14:paraId="6C38D040" w14:textId="63516781" w:rsidR="006B7BFE" w:rsidRPr="008B2724" w:rsidRDefault="006B7BFE" w:rsidP="0070360F">
            <w:pPr>
              <w:pStyle w:val="Default"/>
              <w:keepNext/>
              <w:keepLines/>
              <w:rPr>
                <w:rFonts w:ascii="Arial" w:hAnsi="Arial" w:cs="Arial"/>
                <w:b/>
                <w:spacing w:val="-4"/>
                <w:sz w:val="22"/>
                <w:szCs w:val="22"/>
              </w:rPr>
            </w:pPr>
            <w:r w:rsidRPr="008B2724">
              <w:rPr>
                <w:rFonts w:ascii="Arial" w:hAnsi="Arial"/>
                <w:b/>
                <w:spacing w:val="-4"/>
                <w:sz w:val="22"/>
              </w:rPr>
              <w:t xml:space="preserve">Lønsats i euro/time </w:t>
            </w:r>
          </w:p>
        </w:tc>
        <w:tc>
          <w:tcPr>
            <w:tcW w:w="1276" w:type="dxa"/>
          </w:tcPr>
          <w:p w14:paraId="759A246A" w14:textId="742D8859" w:rsidR="006B7BFE" w:rsidRPr="008B2724" w:rsidRDefault="006B7BFE" w:rsidP="0070360F">
            <w:pPr>
              <w:pStyle w:val="Default"/>
              <w:keepNext/>
              <w:keepLines/>
              <w:rPr>
                <w:rFonts w:ascii="Arial" w:hAnsi="Arial" w:cs="Arial"/>
                <w:b/>
                <w:spacing w:val="-4"/>
                <w:sz w:val="22"/>
                <w:szCs w:val="22"/>
              </w:rPr>
            </w:pPr>
            <w:r w:rsidRPr="008B2724">
              <w:rPr>
                <w:rFonts w:ascii="Arial" w:hAnsi="Arial"/>
                <w:b/>
                <w:spacing w:val="-4"/>
                <w:sz w:val="22"/>
              </w:rPr>
              <w:t>Årlige persona</w:t>
            </w:r>
            <w:r w:rsidR="008B2724">
              <w:rPr>
                <w:rFonts w:ascii="Arial" w:hAnsi="Arial"/>
                <w:b/>
                <w:spacing w:val="-4"/>
                <w:sz w:val="22"/>
              </w:rPr>
              <w:t>-</w:t>
            </w:r>
            <w:r w:rsidRPr="008B2724">
              <w:rPr>
                <w:rFonts w:ascii="Arial" w:hAnsi="Arial"/>
                <w:b/>
                <w:spacing w:val="-4"/>
                <w:sz w:val="22"/>
              </w:rPr>
              <w:t>leomkost</w:t>
            </w:r>
            <w:r w:rsidR="008B2724">
              <w:rPr>
                <w:rFonts w:ascii="Arial" w:hAnsi="Arial"/>
                <w:b/>
                <w:spacing w:val="-4"/>
                <w:sz w:val="22"/>
              </w:rPr>
              <w:t>-</w:t>
            </w:r>
            <w:r w:rsidRPr="008B2724">
              <w:rPr>
                <w:rFonts w:ascii="Arial" w:hAnsi="Arial"/>
                <w:b/>
                <w:spacing w:val="-4"/>
                <w:sz w:val="22"/>
              </w:rPr>
              <w:t xml:space="preserve">ninger i euro </w:t>
            </w:r>
          </w:p>
        </w:tc>
        <w:tc>
          <w:tcPr>
            <w:tcW w:w="1276" w:type="dxa"/>
          </w:tcPr>
          <w:p w14:paraId="3BAD02CC" w14:textId="7372633C" w:rsidR="006B7BFE" w:rsidRPr="008B2724" w:rsidRDefault="006B7BFE" w:rsidP="0070360F">
            <w:pPr>
              <w:pStyle w:val="Default"/>
              <w:keepNext/>
              <w:keepLines/>
              <w:rPr>
                <w:rFonts w:ascii="Arial" w:hAnsi="Arial" w:cs="Arial"/>
                <w:b/>
                <w:spacing w:val="-4"/>
                <w:sz w:val="22"/>
                <w:szCs w:val="22"/>
              </w:rPr>
            </w:pPr>
            <w:r w:rsidRPr="008B2724">
              <w:rPr>
                <w:rFonts w:ascii="Arial" w:hAnsi="Arial"/>
                <w:b/>
                <w:spacing w:val="-4"/>
                <w:sz w:val="22"/>
              </w:rPr>
              <w:t>Årlige materielle omkost</w:t>
            </w:r>
            <w:r w:rsidR="008B2724">
              <w:rPr>
                <w:rFonts w:ascii="Arial" w:hAnsi="Arial"/>
                <w:b/>
                <w:spacing w:val="-4"/>
                <w:sz w:val="22"/>
              </w:rPr>
              <w:t>-</w:t>
            </w:r>
            <w:r w:rsidRPr="008B2724">
              <w:rPr>
                <w:rFonts w:ascii="Arial" w:hAnsi="Arial"/>
                <w:b/>
                <w:spacing w:val="-4"/>
                <w:sz w:val="22"/>
              </w:rPr>
              <w:t xml:space="preserve">ninger i euro </w:t>
            </w:r>
          </w:p>
        </w:tc>
        <w:tc>
          <w:tcPr>
            <w:tcW w:w="1512" w:type="dxa"/>
          </w:tcPr>
          <w:p w14:paraId="7EA852C4" w14:textId="40977352" w:rsidR="006B7BFE" w:rsidRPr="008B2724" w:rsidRDefault="006B7BFE" w:rsidP="0070360F">
            <w:pPr>
              <w:pStyle w:val="Default"/>
              <w:keepNext/>
              <w:keepLines/>
              <w:rPr>
                <w:rFonts w:ascii="Arial" w:hAnsi="Arial" w:cs="Arial"/>
                <w:b/>
                <w:spacing w:val="-4"/>
                <w:sz w:val="22"/>
                <w:szCs w:val="22"/>
              </w:rPr>
            </w:pPr>
            <w:r w:rsidRPr="008B2724">
              <w:rPr>
                <w:rFonts w:ascii="Arial" w:hAnsi="Arial"/>
                <w:b/>
                <w:spacing w:val="-4"/>
                <w:sz w:val="22"/>
              </w:rPr>
              <w:t>Årlige tilpasnings</w:t>
            </w:r>
            <w:r w:rsidR="008B2724">
              <w:rPr>
                <w:rFonts w:ascii="Arial" w:hAnsi="Arial"/>
                <w:b/>
                <w:spacing w:val="-4"/>
                <w:sz w:val="22"/>
              </w:rPr>
              <w:t>-</w:t>
            </w:r>
            <w:r w:rsidRPr="008B2724">
              <w:rPr>
                <w:rFonts w:ascii="Arial" w:hAnsi="Arial"/>
                <w:b/>
                <w:spacing w:val="-4"/>
                <w:sz w:val="22"/>
              </w:rPr>
              <w:t>omkostnin</w:t>
            </w:r>
            <w:r w:rsidR="008B2724">
              <w:rPr>
                <w:rFonts w:ascii="Arial" w:hAnsi="Arial"/>
                <w:b/>
                <w:spacing w:val="-4"/>
                <w:sz w:val="22"/>
              </w:rPr>
              <w:t>-</w:t>
            </w:r>
            <w:r w:rsidRPr="008B2724">
              <w:rPr>
                <w:rFonts w:ascii="Arial" w:hAnsi="Arial"/>
                <w:b/>
                <w:spacing w:val="-4"/>
                <w:sz w:val="22"/>
              </w:rPr>
              <w:t xml:space="preserve">ger i euro </w:t>
            </w:r>
          </w:p>
        </w:tc>
      </w:tr>
      <w:tr w:rsidR="006B7BFE" w:rsidRPr="008B2724" w14:paraId="17404952" w14:textId="77777777" w:rsidTr="008B2724">
        <w:tc>
          <w:tcPr>
            <w:tcW w:w="1366" w:type="dxa"/>
          </w:tcPr>
          <w:p w14:paraId="274A982B" w14:textId="77777777" w:rsidR="006B7BFE" w:rsidRPr="008B2724" w:rsidRDefault="006B7BFE" w:rsidP="006B7BFE">
            <w:pPr>
              <w:pStyle w:val="Default"/>
              <w:rPr>
                <w:rFonts w:ascii="Arial" w:hAnsi="Arial" w:cs="Arial"/>
                <w:spacing w:val="-4"/>
                <w:sz w:val="22"/>
                <w:szCs w:val="22"/>
              </w:rPr>
            </w:pPr>
            <w:r w:rsidRPr="008B2724">
              <w:rPr>
                <w:rFonts w:ascii="Arial" w:hAnsi="Arial"/>
                <w:spacing w:val="-4"/>
                <w:sz w:val="22"/>
              </w:rPr>
              <w:t xml:space="preserve">Funktionel barriere </w:t>
            </w:r>
          </w:p>
        </w:tc>
        <w:tc>
          <w:tcPr>
            <w:tcW w:w="1294" w:type="dxa"/>
          </w:tcPr>
          <w:p w14:paraId="73BC7D3D" w14:textId="77777777" w:rsidR="006B7BFE" w:rsidRPr="008B2724" w:rsidRDefault="006B7BFE" w:rsidP="000F1682">
            <w:pPr>
              <w:pStyle w:val="Default"/>
              <w:rPr>
                <w:rFonts w:ascii="Arial" w:hAnsi="Arial" w:cs="Arial"/>
                <w:spacing w:val="-4"/>
                <w:sz w:val="22"/>
                <w:szCs w:val="22"/>
              </w:rPr>
            </w:pPr>
            <w:r w:rsidRPr="008B2724">
              <w:rPr>
                <w:rFonts w:ascii="Arial" w:hAnsi="Arial"/>
                <w:spacing w:val="-4"/>
                <w:sz w:val="22"/>
              </w:rPr>
              <w:t xml:space="preserve">§ 6a, stk. 1 og 4 </w:t>
            </w:r>
          </w:p>
        </w:tc>
        <w:tc>
          <w:tcPr>
            <w:tcW w:w="1446" w:type="dxa"/>
          </w:tcPr>
          <w:p w14:paraId="211D8246" w14:textId="77777777" w:rsidR="006B7BFE" w:rsidRPr="008B2724" w:rsidRDefault="006B7BFE" w:rsidP="002F4768">
            <w:pPr>
              <w:pStyle w:val="Default"/>
              <w:rPr>
                <w:rFonts w:ascii="Arial" w:hAnsi="Arial" w:cs="Arial"/>
                <w:spacing w:val="-4"/>
                <w:sz w:val="22"/>
                <w:szCs w:val="22"/>
              </w:rPr>
            </w:pPr>
            <w:r w:rsidRPr="008B2724">
              <w:rPr>
                <w:rFonts w:ascii="Arial" w:hAnsi="Arial"/>
                <w:spacing w:val="-4"/>
                <w:sz w:val="22"/>
              </w:rPr>
              <w:t xml:space="preserve">20 000 </w:t>
            </w:r>
          </w:p>
        </w:tc>
        <w:tc>
          <w:tcPr>
            <w:tcW w:w="1275" w:type="dxa"/>
          </w:tcPr>
          <w:p w14:paraId="041B8DAD" w14:textId="77777777" w:rsidR="006B7BFE" w:rsidRPr="008B2724" w:rsidRDefault="00A4031B" w:rsidP="006B7BFE">
            <w:pPr>
              <w:pStyle w:val="Default"/>
              <w:rPr>
                <w:rFonts w:ascii="Arial" w:hAnsi="Arial" w:cs="Arial"/>
                <w:spacing w:val="-4"/>
                <w:sz w:val="22"/>
                <w:szCs w:val="22"/>
              </w:rPr>
            </w:pPr>
            <w:r w:rsidRPr="008B2724">
              <w:rPr>
                <w:rFonts w:ascii="Arial" w:hAnsi="Arial"/>
                <w:spacing w:val="-4"/>
                <w:sz w:val="22"/>
              </w:rPr>
              <w:t>60,50</w:t>
            </w:r>
          </w:p>
        </w:tc>
        <w:tc>
          <w:tcPr>
            <w:tcW w:w="1276" w:type="dxa"/>
          </w:tcPr>
          <w:p w14:paraId="3016DBF2" w14:textId="77777777" w:rsidR="006B7BFE" w:rsidRPr="008B2724" w:rsidRDefault="00A4031B" w:rsidP="002F4768">
            <w:pPr>
              <w:pStyle w:val="Default"/>
              <w:rPr>
                <w:rFonts w:ascii="Arial" w:hAnsi="Arial" w:cs="Arial"/>
                <w:spacing w:val="-4"/>
                <w:sz w:val="22"/>
                <w:szCs w:val="22"/>
              </w:rPr>
            </w:pPr>
            <w:r w:rsidRPr="008B2724">
              <w:rPr>
                <w:rFonts w:ascii="Arial" w:hAnsi="Arial"/>
                <w:spacing w:val="-4"/>
                <w:sz w:val="22"/>
              </w:rPr>
              <w:t xml:space="preserve">1 210 000 </w:t>
            </w:r>
          </w:p>
        </w:tc>
        <w:tc>
          <w:tcPr>
            <w:tcW w:w="1276" w:type="dxa"/>
          </w:tcPr>
          <w:p w14:paraId="7800B24B" w14:textId="77777777" w:rsidR="006B7BFE" w:rsidRPr="008B2724" w:rsidRDefault="006B7BFE" w:rsidP="002F4768">
            <w:pPr>
              <w:pStyle w:val="Default"/>
              <w:rPr>
                <w:rFonts w:ascii="Arial" w:hAnsi="Arial" w:cs="Arial"/>
                <w:spacing w:val="-4"/>
                <w:sz w:val="22"/>
                <w:szCs w:val="22"/>
              </w:rPr>
            </w:pPr>
            <w:r w:rsidRPr="008B2724">
              <w:rPr>
                <w:rFonts w:ascii="Arial" w:hAnsi="Arial"/>
                <w:spacing w:val="-4"/>
                <w:sz w:val="22"/>
              </w:rPr>
              <w:t xml:space="preserve">6 950 000 </w:t>
            </w:r>
          </w:p>
        </w:tc>
        <w:tc>
          <w:tcPr>
            <w:tcW w:w="1512" w:type="dxa"/>
            <w:shd w:val="clear" w:color="auto" w:fill="BFBFBF" w:themeFill="background1" w:themeFillShade="BF"/>
          </w:tcPr>
          <w:p w14:paraId="4DC4F037" w14:textId="77777777" w:rsidR="006B7BFE" w:rsidRPr="008B2724" w:rsidRDefault="002F4768" w:rsidP="002F4768">
            <w:pPr>
              <w:pStyle w:val="Default"/>
              <w:rPr>
                <w:rFonts w:ascii="Arial" w:hAnsi="Arial" w:cs="Arial"/>
                <w:spacing w:val="-4"/>
                <w:sz w:val="22"/>
                <w:szCs w:val="22"/>
              </w:rPr>
            </w:pPr>
            <w:r w:rsidRPr="008B2724">
              <w:rPr>
                <w:rFonts w:ascii="Arial" w:hAnsi="Arial"/>
                <w:b/>
                <w:spacing w:val="-4"/>
                <w:sz w:val="22"/>
              </w:rPr>
              <w:t xml:space="preserve"> 8 160 000 </w:t>
            </w:r>
          </w:p>
        </w:tc>
      </w:tr>
    </w:tbl>
    <w:p w14:paraId="18499261" w14:textId="77777777" w:rsidR="006B7BFE" w:rsidRPr="00D43FA1" w:rsidRDefault="006B7BFE" w:rsidP="009140F6">
      <w:pPr>
        <w:pStyle w:val="Text"/>
        <w:spacing w:before="0" w:after="0"/>
      </w:pPr>
    </w:p>
    <w:p w14:paraId="59814092" w14:textId="77777777" w:rsidR="006B7BFE" w:rsidRPr="00D43FA1" w:rsidRDefault="006B7BFE" w:rsidP="0070360F">
      <w:pPr>
        <w:pStyle w:val="Text"/>
        <w:keepNext/>
        <w:keepLines/>
        <w:spacing w:before="0" w:after="0"/>
        <w:rPr>
          <w:b/>
          <w:bCs/>
          <w:u w:val="single"/>
        </w:rPr>
      </w:pPr>
      <w:r>
        <w:rPr>
          <w:b/>
          <w:u w:val="single"/>
        </w:rPr>
        <w:t xml:space="preserve">Skriftlig eller elektronisk erklæring om afkald på en funktionel barriere i henhold § 6a, stk. 3 </w:t>
      </w:r>
    </w:p>
    <w:p w14:paraId="4E96F6C2" w14:textId="77777777" w:rsidR="006B7BFE" w:rsidRPr="00D43FA1" w:rsidRDefault="006B7BFE" w:rsidP="0070360F">
      <w:pPr>
        <w:pStyle w:val="Text"/>
        <w:keepNext/>
        <w:keepLines/>
        <w:spacing w:before="0" w:after="0"/>
        <w:rPr>
          <w:b/>
          <w:bCs/>
          <w:u w:val="single"/>
        </w:rPr>
      </w:pPr>
    </w:p>
    <w:p w14:paraId="10854287" w14:textId="77777777" w:rsidR="006B7BFE" w:rsidRPr="00D43FA1" w:rsidRDefault="006B7BFE" w:rsidP="009140F6">
      <w:pPr>
        <w:pStyle w:val="Text"/>
        <w:spacing w:before="0" w:after="0"/>
      </w:pPr>
      <w:r>
        <w:t xml:space="preserve">a) Engangsomstillingsbyrde </w:t>
      </w:r>
    </w:p>
    <w:p w14:paraId="6355E48C" w14:textId="77777777" w:rsidR="006B7BFE" w:rsidRPr="00D43FA1" w:rsidRDefault="006B7BFE" w:rsidP="009140F6">
      <w:pPr>
        <w:pStyle w:val="Text"/>
        <w:spacing w:before="0" w:after="0"/>
      </w:pPr>
    </w:p>
    <w:p w14:paraId="712DAED7" w14:textId="77777777" w:rsidR="006B7BFE" w:rsidRPr="00D43FA1" w:rsidRDefault="006B7BFE" w:rsidP="009140F6">
      <w:pPr>
        <w:pStyle w:val="Text"/>
        <w:spacing w:before="0" w:after="0"/>
      </w:pPr>
      <w:r>
        <w:t xml:space="preserve">Der opstår ingen engangsomstillingsbyrde. </w:t>
      </w:r>
    </w:p>
    <w:p w14:paraId="00996219" w14:textId="77777777" w:rsidR="006B7BFE" w:rsidRPr="00D43FA1" w:rsidRDefault="006B7BFE" w:rsidP="009140F6">
      <w:pPr>
        <w:pStyle w:val="Text"/>
        <w:spacing w:before="0" w:after="0"/>
      </w:pPr>
    </w:p>
    <w:p w14:paraId="17551374" w14:textId="77777777" w:rsidR="006B7BFE" w:rsidRPr="00D43FA1" w:rsidRDefault="006B7BFE" w:rsidP="0070360F">
      <w:pPr>
        <w:pStyle w:val="Text"/>
        <w:keepNext/>
        <w:keepLines/>
        <w:spacing w:before="0" w:after="0"/>
      </w:pPr>
      <w:r>
        <w:t xml:space="preserve">b) Årlige tilpasningsomkostninger </w:t>
      </w:r>
    </w:p>
    <w:p w14:paraId="35D80FBA" w14:textId="77777777" w:rsidR="006B7BFE" w:rsidRPr="00D43FA1" w:rsidRDefault="006B7BFE" w:rsidP="0070360F">
      <w:pPr>
        <w:pStyle w:val="Text"/>
        <w:keepNext/>
        <w:keepLines/>
        <w:spacing w:before="0" w:after="0"/>
      </w:pPr>
    </w:p>
    <w:p w14:paraId="3CE01598" w14:textId="77777777" w:rsidR="006B7BFE" w:rsidRPr="00D43FA1" w:rsidRDefault="006B7BFE" w:rsidP="009140F6">
      <w:pPr>
        <w:pStyle w:val="Text"/>
        <w:spacing w:before="0" w:after="0"/>
      </w:pPr>
      <w:r>
        <w:t xml:space="preserve">De krævede yderligere oplysninger, dvs. indholdet i en afkaldserklæring, drøftes allerede mellem emballage- og fødevareproducenter inden for rammerne af aftalerne om emballagematerialet. De yderligere opstående tilpasningsomkostninger er ubetydelige. </w:t>
      </w:r>
    </w:p>
    <w:p w14:paraId="7BA9413B" w14:textId="77777777" w:rsidR="006B7BFE" w:rsidRPr="00D43FA1" w:rsidRDefault="006B7BFE" w:rsidP="009140F6">
      <w:pPr>
        <w:pStyle w:val="Text"/>
        <w:spacing w:before="0" w:after="0"/>
      </w:pPr>
    </w:p>
    <w:p w14:paraId="27386C8C" w14:textId="77777777" w:rsidR="006B7BFE" w:rsidRPr="00D43FA1" w:rsidRDefault="006B7BFE" w:rsidP="0070360F">
      <w:pPr>
        <w:pStyle w:val="Text"/>
        <w:keepNext/>
        <w:keepLines/>
        <w:spacing w:before="0" w:after="0"/>
        <w:rPr>
          <w:b/>
          <w:bCs/>
          <w:u w:val="single"/>
        </w:rPr>
      </w:pPr>
      <w:r>
        <w:rPr>
          <w:b/>
          <w:u w:val="single"/>
        </w:rPr>
        <w:t>Dokumentationspligt vedrørende udelukkelsen af en migration af mineraloliekulbrinter i henhold til § 6a, stk. 1, 2 og 4</w:t>
      </w:r>
    </w:p>
    <w:p w14:paraId="3AA8F0EE" w14:textId="77777777" w:rsidR="006B7BFE" w:rsidRPr="00D43FA1" w:rsidRDefault="006B7BFE" w:rsidP="0070360F">
      <w:pPr>
        <w:pStyle w:val="Text"/>
        <w:keepNext/>
        <w:keepLines/>
        <w:spacing w:before="0" w:after="0"/>
        <w:rPr>
          <w:b/>
          <w:bCs/>
          <w:u w:val="single"/>
        </w:rPr>
      </w:pPr>
    </w:p>
    <w:p w14:paraId="7E2FAB88" w14:textId="77777777" w:rsidR="006B7BFE" w:rsidRPr="00D43FA1" w:rsidRDefault="006B7BFE" w:rsidP="009140F6">
      <w:pPr>
        <w:pStyle w:val="Text"/>
        <w:spacing w:before="0" w:after="0"/>
      </w:pPr>
      <w:r>
        <w:t xml:space="preserve">a) Engangsomstillingsbyrde </w:t>
      </w:r>
    </w:p>
    <w:p w14:paraId="05D46EC8" w14:textId="77777777" w:rsidR="006B7BFE" w:rsidRPr="00D43FA1" w:rsidRDefault="006B7BFE" w:rsidP="009140F6">
      <w:pPr>
        <w:pStyle w:val="Text"/>
        <w:spacing w:before="0" w:after="0"/>
      </w:pPr>
    </w:p>
    <w:p w14:paraId="41AA9133" w14:textId="77777777" w:rsidR="006B7BFE" w:rsidRPr="00D43FA1" w:rsidRDefault="006B7BFE" w:rsidP="009140F6">
      <w:pPr>
        <w:pStyle w:val="Text"/>
        <w:spacing w:before="0" w:after="0"/>
      </w:pPr>
      <w:r>
        <w:t xml:space="preserve">Der opstår ingen engangsomstillingsbyrde. </w:t>
      </w:r>
    </w:p>
    <w:p w14:paraId="47912140" w14:textId="77777777" w:rsidR="006B7BFE" w:rsidRPr="00D43FA1" w:rsidRDefault="006B7BFE" w:rsidP="009140F6">
      <w:pPr>
        <w:pStyle w:val="Text"/>
        <w:spacing w:before="0" w:after="0"/>
      </w:pPr>
    </w:p>
    <w:p w14:paraId="25B57848" w14:textId="77777777" w:rsidR="006B7BFE" w:rsidRPr="00D43FA1" w:rsidRDefault="006B7BFE" w:rsidP="0070360F">
      <w:pPr>
        <w:pStyle w:val="Text"/>
        <w:keepNext/>
        <w:keepLines/>
        <w:spacing w:before="0" w:after="0"/>
      </w:pPr>
      <w:r>
        <w:lastRenderedPageBreak/>
        <w:t xml:space="preserve">b) Årlige tilpasningsomkostninger </w:t>
      </w:r>
    </w:p>
    <w:p w14:paraId="3DD42870" w14:textId="77777777" w:rsidR="006B7BFE" w:rsidRPr="00D43FA1" w:rsidRDefault="006B7BFE" w:rsidP="0070360F">
      <w:pPr>
        <w:pStyle w:val="Text"/>
        <w:keepNext/>
        <w:keepLines/>
        <w:spacing w:before="0" w:after="0"/>
      </w:pPr>
    </w:p>
    <w:p w14:paraId="0F203911" w14:textId="77777777" w:rsidR="00013F7F" w:rsidRPr="00D43FA1" w:rsidRDefault="006B7BFE" w:rsidP="008B2724">
      <w:pPr>
        <w:pStyle w:val="Text"/>
        <w:keepLines/>
        <w:spacing w:before="0" w:after="0"/>
      </w:pPr>
      <w:r>
        <w:t>Der er allerede forankret en generel dokumentationspligt for materialer og genstande, der kommer i kontakt med fødevarer, i Kommissionens forordning (EF) nr. 2023/2006 af 22. december 2006 om god fremstillingsmæssig praksis for materialer og genstande bestemt til kontakt med fødevarer (EUT L 384 af 29.12.2006, s. 75) (den såkaldte GMP-forordning). Derudover produceres der allerede dokumenter i forbindelse med førstegangskontrollen samt de periodiske kontroller af fødevarer og fødevareemballager, der kan fungere som dokumentation. De yderligere opstående tilpasningsomkostninger er ubetydelige.</w:t>
      </w:r>
    </w:p>
    <w:p w14:paraId="6239F5A0" w14:textId="77777777" w:rsidR="00013F7F" w:rsidRPr="00D43FA1" w:rsidRDefault="00013F7F" w:rsidP="00013F7F">
      <w:pPr>
        <w:pStyle w:val="Text"/>
        <w:spacing w:before="0" w:after="0"/>
        <w:jc w:val="left"/>
      </w:pPr>
    </w:p>
    <w:p w14:paraId="24214F93" w14:textId="3181681B" w:rsidR="00425BF3" w:rsidRPr="00D43FA1" w:rsidRDefault="00425BF3" w:rsidP="00557D18">
      <w:pPr>
        <w:pStyle w:val="Text"/>
        <w:spacing w:before="0" w:after="0"/>
      </w:pPr>
      <w:r>
        <w:t>Forskrifterne i bekendtgørelsen gælder i samme omfang for små og mellemstore virksomheder (SMV'er). Særlige undtagelser for SMV'er er ikke mulig af hensyn til den sundhedsmæssige forbrugerbeskyttelse. Imidlertid fastlægger bekendtgørelsen generelt undtagelser for anvendelsen af en funktionel barriere, såfremt de nødvendige forudsætninger for dette foreligger.</w:t>
      </w:r>
    </w:p>
    <w:p w14:paraId="4C839333" w14:textId="77777777" w:rsidR="00325F70" w:rsidRPr="00D43FA1" w:rsidRDefault="00325F70" w:rsidP="00013F7F">
      <w:pPr>
        <w:pStyle w:val="Text"/>
        <w:spacing w:before="0" w:after="0"/>
        <w:jc w:val="left"/>
      </w:pPr>
    </w:p>
    <w:p w14:paraId="2CF68D80" w14:textId="7272FBDC" w:rsidR="003F6BDA" w:rsidRPr="00D43FA1" w:rsidRDefault="00091B75" w:rsidP="00557D18">
      <w:pPr>
        <w:pStyle w:val="Text"/>
        <w:spacing w:before="0" w:after="0"/>
      </w:pPr>
      <w:r>
        <w:t>De ekstra løbende tilpasningsomkostninger for erhvervslivet, der udløses ved udkastet, er omfattet af anvendelsen af "one in, one out"-reglen. En kompensation kan ikke realiseres inden for nærværende bestemmelse. Tilpasningsomkostningerne kompenseres derfor ved et andet bestemmelsesudkast.</w:t>
      </w:r>
    </w:p>
    <w:p w14:paraId="099F2BD7" w14:textId="77777777" w:rsidR="00FA7FE4" w:rsidRPr="00D43FA1" w:rsidRDefault="00FA7FE4" w:rsidP="00013F7F">
      <w:pPr>
        <w:pStyle w:val="Text"/>
        <w:spacing w:before="0" w:after="0"/>
        <w:jc w:val="left"/>
      </w:pPr>
    </w:p>
    <w:p w14:paraId="3A617D65" w14:textId="77777777" w:rsidR="004779CD" w:rsidRPr="00D43FA1" w:rsidRDefault="004779CD" w:rsidP="0070360F">
      <w:pPr>
        <w:pStyle w:val="Text"/>
        <w:keepNext/>
        <w:keepLines/>
        <w:spacing w:before="0" w:after="0"/>
        <w:rPr>
          <w:u w:val="single"/>
        </w:rPr>
      </w:pPr>
      <w:r>
        <w:rPr>
          <w:u w:val="single"/>
        </w:rPr>
        <w:t>c) Tilpasningsomkostninger for borgere</w:t>
      </w:r>
    </w:p>
    <w:p w14:paraId="49145E90" w14:textId="77777777" w:rsidR="004779CD" w:rsidRPr="00D43FA1" w:rsidRDefault="004779CD" w:rsidP="0070360F">
      <w:pPr>
        <w:pStyle w:val="Text"/>
        <w:keepNext/>
        <w:keepLines/>
        <w:spacing w:before="0" w:after="0"/>
      </w:pPr>
    </w:p>
    <w:p w14:paraId="61EA37FE" w14:textId="77777777" w:rsidR="00D43FA1" w:rsidRDefault="00612652" w:rsidP="003F6BDA">
      <w:pPr>
        <w:pStyle w:val="Text"/>
        <w:spacing w:before="0" w:after="0"/>
      </w:pPr>
      <w:r>
        <w:t>Der opstår ingen tilpasningsomkostninger for borgerne som følge af bekendtgørelsen.</w:t>
      </w:r>
    </w:p>
    <w:p w14:paraId="1EB134D3" w14:textId="568FB39B" w:rsidR="004779CD" w:rsidRPr="00D43FA1" w:rsidRDefault="004779CD" w:rsidP="003F6BDA">
      <w:pPr>
        <w:pStyle w:val="Text"/>
        <w:spacing w:before="0" w:after="0"/>
      </w:pPr>
    </w:p>
    <w:p w14:paraId="3D17859D" w14:textId="77777777" w:rsidR="006444D5" w:rsidRPr="00D43FA1" w:rsidRDefault="006444D5" w:rsidP="001E5369">
      <w:pPr>
        <w:pStyle w:val="berschriftarabischBegrndung"/>
      </w:pPr>
      <w:r>
        <w:t>Yderligere omkostninger</w:t>
      </w:r>
    </w:p>
    <w:p w14:paraId="4A6DA429" w14:textId="77777777" w:rsidR="000F4A0B" w:rsidRPr="00D43FA1" w:rsidRDefault="00CB5E99">
      <w:pPr>
        <w:pStyle w:val="Text"/>
      </w:pPr>
      <w:r>
        <w:t>Indvirkninger på enkeltpriserne kan ikke helt udelukkes. Indvirkninger på det generelle prisniveau og især på forbrugerprisniveauet forventes imidlertid ikke.</w:t>
      </w:r>
    </w:p>
    <w:p w14:paraId="6B3FA7B6" w14:textId="77777777" w:rsidR="000F4A0B" w:rsidRPr="00D43FA1" w:rsidRDefault="000F4A0B" w:rsidP="000F4A0B">
      <w:pPr>
        <w:pStyle w:val="berschriftarabischBegrndung"/>
      </w:pPr>
      <w:r>
        <w:t>Yderligere lovgivningsmæssige konsekvenser</w:t>
      </w:r>
    </w:p>
    <w:p w14:paraId="0411E3C3" w14:textId="77777777" w:rsidR="000F4A0B" w:rsidRPr="00D43FA1" w:rsidRDefault="000F4A0B" w:rsidP="000F4A0B">
      <w:pPr>
        <w:pStyle w:val="Text"/>
      </w:pPr>
      <w:r>
        <w:t xml:space="preserve">Bekendtgørelsen indeholder ikke bestemmelser, der specifikt påvirker kvinders eller mænds livssituation. Der tages i lige omfang højde for beskyttelsen af kvinders og mænds sundhed. Derfor forventes der ikke indvirkninger på ligestillingen af kvinder og mænd. </w:t>
      </w:r>
    </w:p>
    <w:p w14:paraId="3D5B6005" w14:textId="77777777" w:rsidR="000F4A0B" w:rsidRPr="00D43FA1" w:rsidRDefault="000F4A0B" w:rsidP="000F4A0B">
      <w:pPr>
        <w:pStyle w:val="berschriftrmischBegrndung"/>
      </w:pPr>
      <w:r>
        <w:t>Tidsbegrænsning, evaluering</w:t>
      </w:r>
    </w:p>
    <w:p w14:paraId="713DB2AE" w14:textId="14616EF4" w:rsidR="00BE6637" w:rsidRPr="00D43FA1" w:rsidRDefault="006504FE" w:rsidP="000F4A0B">
      <w:pPr>
        <w:pStyle w:val="Text"/>
      </w:pPr>
      <w:r>
        <w:t xml:space="preserve">Der er ikke fastsat en tidsbegrænsning for bestemmelsen, eftersom beskyttelse af forbrugerne skal sikres permanent. </w:t>
      </w:r>
    </w:p>
    <w:p w14:paraId="757F71C9" w14:textId="58E77352" w:rsidR="000F4A0B" w:rsidRPr="008B2724" w:rsidRDefault="00BE6637" w:rsidP="000F4A0B">
      <w:pPr>
        <w:pStyle w:val="Text"/>
        <w:rPr>
          <w:spacing w:val="-4"/>
          <w:highlight w:val="yellow"/>
        </w:rPr>
      </w:pPr>
      <w:r w:rsidRPr="008B2724">
        <w:rPr>
          <w:spacing w:val="-4"/>
        </w:rPr>
        <w:t xml:space="preserve">Nærværende bekendtgørelses indvirkninger skal imidlertid evalueres fem år efter, at forskrifterne finder anvendelse. I den forbindelse skal opnåelse af bekendtgørelsens formål kontrolleres, dvs. minimering af eksponering af forbrugerne i forhold til mineraloliekulbrinter fra de i bekendtgørelsen regulerede materialer og genstande, der kommer i kontakt med fødevarer, ved anvendelse af funktionelle barriere eller andre egnede foranstaltninger til at forhindre en migration af mineraloliekulbrinter (detektionsgrænse på 0,5 milligram mineraloliekulbrinter pr. kilogram fødevare og 0,15 milligram mineraloliekulbrinter pr. kilogram fødevaresimulator). De nødvendige data skal foreligge på grundlag af resultaterne fra fødevarekontrolmyndighedernes kontroller samt de berørte virksomheders overensstemmelsesarbejde. Endvidere skal de faktiske omkostningsmæssige indvirkninger, f.eks. omkostninger for udvikling, omstilling og analytisk kontrol af materialer og genstande, der kommer i kontakt med fødevarer, og berørte fødevarer, i forhold til bestemmelsens formål og evt. mulige bivirkninger inddrages. Derudover skal udviklingerne med hensyn til analysen tages i betragtning, især de opnåelige detektionsgrænser for mineraloliekulbrinter. </w:t>
      </w:r>
    </w:p>
    <w:p w14:paraId="353D2149" w14:textId="77777777" w:rsidR="006444D5" w:rsidRPr="00D43FA1" w:rsidRDefault="006444D5" w:rsidP="0070360F">
      <w:pPr>
        <w:pStyle w:val="BegrndungBesondererTeil"/>
        <w:keepLines/>
      </w:pPr>
      <w:r>
        <w:lastRenderedPageBreak/>
        <w:t>B. Særlig del</w:t>
      </w:r>
    </w:p>
    <w:p w14:paraId="0532AB57" w14:textId="77777777" w:rsidR="00CB5E99" w:rsidRPr="00D43FA1" w:rsidRDefault="00CB5E99" w:rsidP="0070360F">
      <w:pPr>
        <w:pStyle w:val="Text"/>
        <w:keepNext/>
        <w:keepLines/>
        <w:rPr>
          <w:b/>
        </w:rPr>
      </w:pPr>
      <w:r>
        <w:rPr>
          <w:b/>
        </w:rPr>
        <w:t>Ad artikel 1</w:t>
      </w:r>
    </w:p>
    <w:p w14:paraId="03E3D677" w14:textId="77777777" w:rsidR="00CB5E99" w:rsidRPr="00D43FA1" w:rsidRDefault="00CB5E99" w:rsidP="0070360F">
      <w:pPr>
        <w:pStyle w:val="Text"/>
        <w:keepNext/>
        <w:keepLines/>
        <w:rPr>
          <w:u w:val="single"/>
        </w:rPr>
      </w:pPr>
      <w:r>
        <w:rPr>
          <w:u w:val="single"/>
        </w:rPr>
        <w:t>Ad nr. 1</w:t>
      </w:r>
    </w:p>
    <w:p w14:paraId="56A74D00" w14:textId="77777777" w:rsidR="00CB5E99" w:rsidRPr="00D43FA1" w:rsidRDefault="00CB5E99" w:rsidP="00CB5E99">
      <w:pPr>
        <w:pStyle w:val="Text"/>
      </w:pPr>
      <w:r>
        <w:t xml:space="preserve">Med nr. 1 tilføjes definitionerne for returpapirmasse, aromatiske mineraloliekulbrinter (MOAH), funktionel barriere og fødevaresimulator, som er nødvendige med henblik på bestemmelsesindholdet i nærværende bekendtgørelse. </w:t>
      </w:r>
    </w:p>
    <w:p w14:paraId="6B41D48F" w14:textId="77777777" w:rsidR="002535AD" w:rsidRPr="008B2724" w:rsidRDefault="00031FDC" w:rsidP="00CB5E99">
      <w:pPr>
        <w:pStyle w:val="Text"/>
        <w:rPr>
          <w:spacing w:val="-4"/>
        </w:rPr>
      </w:pPr>
      <w:r w:rsidRPr="008B2724">
        <w:rPr>
          <w:spacing w:val="-4"/>
        </w:rPr>
        <w:t xml:space="preserve">I forbindelse med definitionen af den funktionelle barriere foretages der en differentiering med hensyn til de forskellige former. En funktionel barriere kan være fast forbundet med materialet og genstanden, der kommer i kontakt med fødevarer, f.eks. i form af en belægning (§ 2, nr. 9. litra a)), eller kan findes separat, f.eks. i form af en mellempose (§ 2, nr. 9, litra b)). Afhængigt af typen af materialet og genstanden, der kommer i kontakt med fødevarer, anvendelsesbetingelserne og anvendelsesperioden for materialet og genstanden, der kommer i kontakt med fødevarer, er eksempelvis aluminium eller forskellige kunststoffer (f.eks. PET, polyacrylat, polyacetat, polyamid) egnet som materiale til belægningen på papiret, pappet eller kartonen eller som materiale til en ekstra indvendig pose. </w:t>
      </w:r>
    </w:p>
    <w:p w14:paraId="578470CD" w14:textId="77777777" w:rsidR="00CB5E99" w:rsidRPr="00D43FA1" w:rsidRDefault="00CB5E99" w:rsidP="0070360F">
      <w:pPr>
        <w:pStyle w:val="Text"/>
        <w:keepNext/>
        <w:keepLines/>
        <w:rPr>
          <w:u w:val="single"/>
        </w:rPr>
      </w:pPr>
      <w:r>
        <w:rPr>
          <w:u w:val="single"/>
        </w:rPr>
        <w:t>Ad nr. 2</w:t>
      </w:r>
    </w:p>
    <w:p w14:paraId="0EE8563F" w14:textId="77777777" w:rsidR="00492084" w:rsidRPr="00D43FA1" w:rsidRDefault="00CB5E99" w:rsidP="00CB5E99">
      <w:pPr>
        <w:pStyle w:val="Text"/>
      </w:pPr>
      <w:r>
        <w:t xml:space="preserve">Med nr. 2 fastlægges der specifikke bestemmelser for materialer og genstande lavet papir, pap eller karton, der kommer i kontakt med fødevarer, og som er fremstillet ved anvendelse returpapirmasse. </w:t>
      </w:r>
    </w:p>
    <w:p w14:paraId="02416656" w14:textId="77777777" w:rsidR="00492084" w:rsidRPr="00D43FA1" w:rsidRDefault="00492084" w:rsidP="00123317">
      <w:pPr>
        <w:pStyle w:val="Text"/>
      </w:pPr>
      <w:r>
        <w:t>I § 6a indeholder stk. 1 og 2 krav, der er specifikt rettet mod lederen af virksomheden, der beskæftiger sig med materialer og genstande, der kommer i kontakt med fødevarer (producenter, markedsføringsvirksomheder). Såfremt fødevarevirksomhedslederen ønsker at træffe egne foranstaltninger, der afviger fra disse, gælder kravene i stk. 3 og 4, der er adresseret til vedkommende samt lederen af virksomheden, der beskæftiger sig med materialer og genstande, der kommer i kontakt med fødevarer. Stk. 5 er både rettet mod lederen af virksomheden, der er beskæftiger sig med materialer og genstande, der kommer i kontakt med fødevarer, og fødevarevirksomhedslederen.</w:t>
      </w:r>
    </w:p>
    <w:p w14:paraId="21FFB49B" w14:textId="77777777" w:rsidR="00123317" w:rsidRPr="00D43FA1" w:rsidRDefault="00CB5E99" w:rsidP="00123317">
      <w:pPr>
        <w:pStyle w:val="Text"/>
      </w:pPr>
      <w:r>
        <w:t>I henhold til § 6a, stk. 1, skal de ovenfor omtalte materialer og genstande, der kommer i kontakt med fødevarer, være udstyret med en funktionel barriere, hvormed det sikres, at en migration af mineraloliekulbrinter ind i fødevarer ikke finder sted. Producenter af materialer og genstande, der kommer i kontakt med fødevarer, og virksomheder, der markedsfører dem, vil som regel i den forbindelse anvende en funktionel barriere i henhold til § 2, nr. 9, litra a), dvs. et lag eller en belægning, der er fast forbundet med materialet og genstanden, der kommer i kontakt med fødevarer. Såfremt der måles en migration ind i fødevaren, foregives der lovmæssigt, at der ikke finder en migration sted før en detektionsgrænse på 0,5 milligram mineraloliekulbrinter pr. kilogram fødevare. Hvis barrierens funktionalitet bestemmes ved hjælp af egnede fødevaresimulatorer, gælder der tilsvarende en detektionsgrænse på 0,15 milligram mineraloliekulbrinter pr. kilogram fødevaresimulator.</w:t>
      </w:r>
    </w:p>
    <w:p w14:paraId="69C05D19" w14:textId="28529D16" w:rsidR="006F0E66" w:rsidRPr="008B2724" w:rsidRDefault="00123317" w:rsidP="0070360F">
      <w:pPr>
        <w:pStyle w:val="Text"/>
        <w:keepNext/>
        <w:keepLines/>
        <w:rPr>
          <w:spacing w:val="-4"/>
        </w:rPr>
      </w:pPr>
      <w:r w:rsidRPr="008B2724">
        <w:rPr>
          <w:spacing w:val="-4"/>
        </w:rPr>
        <w:lastRenderedPageBreak/>
        <w:t xml:space="preserve">Mineralolieanalysen i fødevaren og analysen med hensyn til andelen, der stammer fra materialet og genstanden, der kommer i kontakt med fødevarer, er krævende, men har i de seneste år oplevet store fremskridt. En langsigtet tilstræbt detektionsgrænse på 0,15 milligram pr. kilogram fødevare for migrationen af mineraloliekulbrinter fra materialer og genstande, der kommer i kontakt med fødevarer, kan på nuværende tidspunkt ikke opnås i alle fødevarer. Den påvirkes kraftigt af den pågældende fødevarematrix. Den fastsatte detektionsgrænse på 0,5 milligram mineraloliekulbrinter pr. kilogram fødevare for migrationen fra materialer og genstande, der kommer i kontakt med fødevarer, kan på nuværende tidspunkt principielt i praksis registreres analytisk i fødevarer. Hvis der derimod anvendes fødevaresimulatorer (som regel poly(2,6-diphenyl-p-phenylenoxid)) for at kontrollere, om barrierens funktionalitet findes i den henseende, at en migration af mineraloliekulbrinter ikke finder sted, skal der anvendes en detektionsgrænse på 0,15 milligram mineraloliekulbrinter pr. kilogram fødevaresimulator. Dette er især også begrundet med, at påvirkningerne, der forekommer i forbindelse med mineraloliekulbrinter som følge af fødevarematrixen, bortfalder, og der dermed i praksis kan foretages en betydeligt mere følsom detektion af mineraloliekulbrinter. Med hensyn til konventionsmetoderne og de aktuelt hovedsageligt anvendte analysemetoder henvises der til følgende publikationer fra det tyske institut for risikovurdering: </w:t>
      </w:r>
    </w:p>
    <w:p w14:paraId="13C0812B" w14:textId="77777777" w:rsidR="006F0E66" w:rsidRPr="00D43FA1" w:rsidRDefault="00123317" w:rsidP="009777BB">
      <w:pPr>
        <w:pStyle w:val="Text"/>
        <w:numPr>
          <w:ilvl w:val="0"/>
          <w:numId w:val="7"/>
        </w:numPr>
      </w:pPr>
      <w:r>
        <w:t xml:space="preserve">"Bestemmelse af kulbrinter fra mineralolie (MOSH og MOAH) eller kunststoffer (POSH, PAO) i emballagematerialer og tørre fødevarer ved hjælp af fastfaseekstraktion og GC-FID" (kan hentes fra: </w:t>
      </w:r>
      <w:hyperlink r:id="rId8" w:history="1">
        <w:r>
          <w:t>http://</w:t>
        </w:r>
      </w:hyperlink>
      <w:hyperlink r:id="rId9" w:history="1">
        <w:r>
          <w:t>www.bfr.bund.de/cm/343/bestimmung-von-kohlenwasserstoffen-aus-mineraloel-oder-kunststoffen.pdf</w:t>
        </w:r>
      </w:hyperlink>
      <w:r>
        <w:t xml:space="preserve">, udgave: </w:t>
      </w:r>
      <w:r>
        <w:rPr>
          <w:b/>
          <w:i/>
          <w:u w:val="single"/>
        </w:rPr>
        <w:t>indsæt XX.YY.2020</w:t>
      </w:r>
      <w:r>
        <w:t>)</w:t>
      </w:r>
    </w:p>
    <w:p w14:paraId="5B28167A" w14:textId="77777777" w:rsidR="00123317" w:rsidRPr="00D43FA1" w:rsidRDefault="00123317" w:rsidP="009777BB">
      <w:pPr>
        <w:pStyle w:val="Text"/>
        <w:numPr>
          <w:ilvl w:val="0"/>
          <w:numId w:val="7"/>
        </w:numPr>
      </w:pPr>
      <w:r>
        <w:t xml:space="preserve">"Måling af mineralolie – Kulbrinter i fødevarer og emballagematerialer", kompendium fra det tyske institut for risikovurdering og det kantonale laboratorium i Zürich (kan hentes fra: </w:t>
      </w:r>
      <w:hyperlink r:id="rId10" w:history="1">
        <w:r>
          <w:t>http://www.bfr.bund.de/cm/343/messung-von-mineraloel-kohlenwasserstoffen-in-lebensmitteln-und-verpackungsmaterialien.pdf</w:t>
        </w:r>
      </w:hyperlink>
      <w:r>
        <w:t xml:space="preserve">, udgave </w:t>
      </w:r>
      <w:r>
        <w:rPr>
          <w:b/>
          <w:i/>
          <w:u w:val="single"/>
        </w:rPr>
        <w:t>indsæt XX.YY.2020</w:t>
      </w:r>
      <w:r>
        <w:t>).</w:t>
      </w:r>
      <w:r>
        <w:rPr>
          <w:u w:val="single"/>
        </w:rPr>
        <w:t xml:space="preserve"> </w:t>
      </w:r>
    </w:p>
    <w:p w14:paraId="2BF32794" w14:textId="77777777" w:rsidR="00123317" w:rsidRPr="008B2724" w:rsidRDefault="00123317" w:rsidP="00123317">
      <w:pPr>
        <w:pStyle w:val="Text"/>
        <w:rPr>
          <w:spacing w:val="-4"/>
        </w:rPr>
      </w:pPr>
      <w:r w:rsidRPr="008B2724">
        <w:rPr>
          <w:spacing w:val="-4"/>
        </w:rPr>
        <w:t xml:space="preserve">Retningslinjerne for anvendelse af en funktionel barriere gælder i øvrigt kun for sådanne materialer og genstande af papir, pap eller karton, der er fremstillet ved anvendelse af returpapirmasse, og som er omfattet af anvendelsesområdet i artikel 1, stk. 2, i forordning (EF) nr. 1935/2004 om materialer og genstande bestemt til kontakt med fødevarer og om ophævelse af direktiv 80/590/EØF og 89/109/EØF. En anvendelse på eksempelvis transport- og yderkartoner foreligger kun, når det i det konkrete tilfælde drejer sig om materialer og genstande, der kommer i kontakt med fødevarer. En overlappende anbringelse af en funktionel barriere flere gange langs leverandørkæden er principielt ikke nødvendig. Således er det eksempelvis ikke nødvendigt med en funktionel barriere i forbindelse med transport- og yderkartoner, såfremt de i det konkrete tilfælde er materialer og genstande, der kommer i kontakt med fødevarer, hvis det allerede ved udformningen af selve fødevarens egentlige emballage eller emballagesystem (f.eks. primær- eller sekundæremballage) er sikret, at en migration af mineraloliekulbrinter ind i fødevaren ikke finder sted. Derfor er en tilstrækkelig kommunikation inden for leverandørkæden nødvendig ligesom generelt på området for materialer og genstande, der kommer i kontakt med fødevarer. </w:t>
      </w:r>
    </w:p>
    <w:p w14:paraId="2A4229C4" w14:textId="77777777" w:rsidR="00123317" w:rsidRPr="00D43FA1" w:rsidRDefault="00123317" w:rsidP="00CB5E99">
      <w:pPr>
        <w:pStyle w:val="Text"/>
      </w:pPr>
      <w:r>
        <w:t xml:space="preserve">Detektionsgrænsen på 0,5 milligram mineraloliekulbrinter pr. kilogram fødevare, der er fastlagt i nærværende bekendtgørelse i forbindelse med den funktionelle barriere, vedrører desuden kun en migration af mineraloliekulbrinter ind i fødevarer fra materialer og genstande, der kommer i kontakt med fødevarer, og som er omfattet af nærværende bekendtgørelses anvendelsesområde, og udgør ikke en generel maksimumsmængde for mineraloliekulbrinter i fødevarer. </w:t>
      </w:r>
    </w:p>
    <w:p w14:paraId="4749053E" w14:textId="1BDBFAC2" w:rsidR="00C42AD4" w:rsidRPr="008B2724" w:rsidRDefault="00000EDE" w:rsidP="008B2724">
      <w:pPr>
        <w:pStyle w:val="Text"/>
        <w:keepLines/>
        <w:rPr>
          <w:spacing w:val="-4"/>
        </w:rPr>
      </w:pPr>
      <w:r w:rsidRPr="008B2724">
        <w:rPr>
          <w:spacing w:val="-4"/>
        </w:rPr>
        <w:lastRenderedPageBreak/>
        <w:t xml:space="preserve">Stk. 2 fastlægger undtagelser fra pligten til at udstyre de pågældende materialer og genstande, der kommer i kontakt med fødevarer, med en funktionel barriere for lederen af virksomheden, der beskæftiger sig med materialer og genstande, der kommer i kontakt med fødevarer: Såfremt der foreligger særlige forudsætninger, der forhindrer en migration af mineraloliekulbrinter ind i fødevarer, eller såfremt det gennem andre foranstaltninger sikres, at en migration af mineraloliekulbrinter fra materialer og genstande, der kommer i kontakt med fødevarer, ikke kan detekteres ved en detektionsgrænse på 0,5 milligram mineraloliekulbrinter pr. kilogram fødevare (eller 0,15 milligram mineraloliekulbrinter pr. kilogram fødevaresimulator), bortfalder pligten til at anvende en funktionel barriere. Det første kan f.eks. være tilfældet, når mineraloliekulbrinteindholdet i selve papiret, pappet eller kartonen allerede er så lavt, at en migration ind i fødevarer, der ligger over detektionsgrænsen, ikke kan finde sted. Det sidste, dvs. andre egnede foranstaltninger i henhold til nr. 2, kan eksempelvis være sådanne foranstaltninger på materialet og genstanden, der kommer i kontakt med fødevarer, såsom indarbejdning af adsorbere (aktivt kul e.l.) i papiret, pappet eller kartonen, hvorved en migration af mineraloliekulbrinter ind i fødevaren forhindres. </w:t>
      </w:r>
    </w:p>
    <w:p w14:paraId="575AE879" w14:textId="7AEA464F" w:rsidR="00873463" w:rsidRPr="008B2724" w:rsidRDefault="00B849CA" w:rsidP="00CB5E99">
      <w:pPr>
        <w:pStyle w:val="Text"/>
        <w:rPr>
          <w:spacing w:val="-4"/>
        </w:rPr>
      </w:pPr>
      <w:r w:rsidRPr="008B2724">
        <w:rPr>
          <w:spacing w:val="-4"/>
        </w:rPr>
        <w:t xml:space="preserve">I henhold § 6a, stk. 3, må de pågældende materialer og genstande, der kommer i kontakt med fødevarer, som afvigelse fra § 6a, stk. 1, under hensyntagen til stk. 4 fremstilles og markedsføres uden en funktionel barriere, der er fast forbundet med materialet og genstanden, der kommer i kontakt med fødevarer. Dette er imidlertid kun tilladt, når fødevarevirksomhedslederen før leveringen skriftligt eller elektronisk over for producenten af materialet og genstanden, der kommer i kontakt med fødevarer, eller virksomheden, der markedsfører dem, erklærer, at der gives afkald på en funktionel barriere. Denne erklæring skal opbevares af producenten af materialet og genstanden, der kommer i kontakt med fødevarer, eller virksomheden, der markedsfører dem, for at kunne dokumentere over for de ansvarlige myndigheder, at der måtte afviges fra bestemmelsen i § 6a, stk. 1, 1. punktum, på grund af fødevarevirksomhedslederens afkald. </w:t>
      </w:r>
    </w:p>
    <w:p w14:paraId="559558B3" w14:textId="77777777" w:rsidR="00595A3F" w:rsidRPr="008B2724" w:rsidRDefault="00595A3F" w:rsidP="00CB5E99">
      <w:pPr>
        <w:pStyle w:val="Text"/>
        <w:rPr>
          <w:spacing w:val="-4"/>
        </w:rPr>
      </w:pPr>
      <w:r w:rsidRPr="008B2724">
        <w:rPr>
          <w:spacing w:val="-4"/>
        </w:rPr>
        <w:t>Af bestemmelsen i § 6a, stk. 3, omfattes fødevarevirksomhedsledere, som inden for deres ansvarsområde bringer materialer og genstande, der kommer i kontakt med fødevarer, og som er fremstillet ved anvendelse af returpapirmasse, i direkte eller indirekte kontakt med fødevarer, dvs. som indpakker eller emballerer fødevarer, eller som for første gang på anden vis bringer fødevarer i berøring med et materiale og en genstand, der kommer i kontakt med fødevarer. Forpligtelsen i henhold til § 6a, stk. 3, gælder imidlertid eksempelvis ikke for fødevarevirksomhedsledere, der udelukkende anskaffer allerede emballerede fødevarer (fra en anden EU-medlemsstat eller et tredjeland), og for hvilke emballeringsprocessen ligger uden for deres indflydelsesområde. I dette tilfælde skal fødevarevirksomhedslederen dog inden for rammerne af sin generelle pligt til at udvise fornøden omhu sikre, at de pågældende produkter opfylder kravene vedrørende den ikke tilladte migration af mineraloliekulbrinter.</w:t>
      </w:r>
    </w:p>
    <w:p w14:paraId="5D78B6B3" w14:textId="77777777" w:rsidR="00882CE4" w:rsidRPr="008B2724" w:rsidRDefault="00031FDC" w:rsidP="00CB5E99">
      <w:pPr>
        <w:pStyle w:val="Text"/>
        <w:rPr>
          <w:spacing w:val="-4"/>
        </w:rPr>
      </w:pPr>
      <w:r w:rsidRPr="008B2724">
        <w:rPr>
          <w:spacing w:val="-4"/>
        </w:rPr>
        <w:t xml:space="preserve">I tilfælde i § 6a, stk. 3, skal fødevarevirksomhedslederen i henhold til § 6a, stk. 4, selv træffe egnede foranstaltninger for at udelukke en migration af mineraloliekulbrinter ind i fødevarer fra materialet og genstanden, der kommer i kontakt med fødevarerne. Således kan fødevarevirksomhedslederen i forbindelse med fyldningen af fødevaren f.eks. anvende mellemposer e.l., der fungerer som funktionel barriere (se § 2, nr. 9, litra b). Kravene til detektionsgrænsen gælder tilsvarende. </w:t>
      </w:r>
    </w:p>
    <w:p w14:paraId="7B05CB8A" w14:textId="77777777" w:rsidR="00CB5E99" w:rsidRPr="008B2724" w:rsidRDefault="00CB5E99" w:rsidP="00CB5E99">
      <w:pPr>
        <w:pStyle w:val="Text"/>
        <w:rPr>
          <w:spacing w:val="-4"/>
        </w:rPr>
      </w:pPr>
      <w:r w:rsidRPr="008B2724">
        <w:rPr>
          <w:spacing w:val="-4"/>
        </w:rPr>
        <w:t xml:space="preserve">Anvendelse af en funktionel barriere er imidlertid ikke den eneste mulighed til at sikre, at der ikke finder nogen migration sted af mineraloliekulbrinter ind i fødevarer fra materialet og genstanden, der kommer i kontakt med fødevarerne, eller at en sådan ikke kan detekteres. Især bortfalder pligten til at træffe passende foranstaltninger, når der på grund af fødevarens beskaffenhed (f.eks. spisesalt) eller som følge af anvendelsesbetingelserne (f.eks. i tilfælde af dybfrosne fødevarer eller korttidskontakt i tilfælde af tørre fødevarer) ikke finder en migration sted af mineraloliekulbrinter ind i fødevarer, eller når denne ikke ligger over detektionsgrænsen og dermed anses for ikke at kunne detekteres. </w:t>
      </w:r>
    </w:p>
    <w:p w14:paraId="285E5728" w14:textId="77777777" w:rsidR="00CB5E99" w:rsidRPr="008B2724" w:rsidRDefault="00CB5E99" w:rsidP="009C1BE7">
      <w:pPr>
        <w:pStyle w:val="Text"/>
        <w:rPr>
          <w:spacing w:val="-4"/>
        </w:rPr>
      </w:pPr>
      <w:r w:rsidRPr="008B2724">
        <w:rPr>
          <w:spacing w:val="-4"/>
        </w:rPr>
        <w:lastRenderedPageBreak/>
        <w:t>Inden for rammerne af de generelle forskrifter om materialer og genstande, der kommer i kontakt med fødevarer, skal den ansvarlige virksomhedsleder, f.eks. hos producenten, markedsføringsvirksomheden eller fødevareemballeringsvirksomheden, i forbindelse med opfyldelsen af sin pligt til at udvise fornøden omhu sikre, at de materialer og genstande, der kommer i kontakt med fødevarer, og som er inden for vedkommendes ansvarsområde og anvendes der, opfylder de gældende krav. Der henvises eksempelvis til § 30, nr. 3, i lov om levnedsmidler, materialer og genstande samt fodermidler (LFGB) og til forordning (EF) nr. 2023/2006. I henhold til forordning (EF) nr. 2023/2006 skal der bl.a. opfyldes bestemte dokumentationspligter. Med hensyn til nærværende bekendtgørelse er dette relevant i forbindelse med spørgsmålet om barrieren, der skal anvendes, og i forbindelse med anvendelsen af undtagelsesbestemmelsen, eftersom dokumenterne, der udarbejdes inden for rammerne af disse pligter, også kan fungere som dokumentation for, at barrieren har den nødvendige funktionalitet med henblik på det pågældende formål vedrørende mineraloliekulbrinter, eller at en migration af mineraloliekulbrinter ind i fødevarer fra materialet og genstanden, der kommer i kontakt med fødevarer, ikke kan detekteres, dvs. ikke ligger over detektionsgrænsen, når der ikke anvendes nogen funktionel barriere.</w:t>
      </w:r>
    </w:p>
    <w:p w14:paraId="46427445" w14:textId="77777777" w:rsidR="00C66E2D" w:rsidRPr="008B2724" w:rsidRDefault="00D701EB" w:rsidP="001E3BD2">
      <w:pPr>
        <w:pStyle w:val="Text"/>
        <w:spacing w:before="80" w:after="80"/>
        <w:rPr>
          <w:spacing w:val="-4"/>
          <w:szCs w:val="24"/>
        </w:rPr>
      </w:pPr>
      <w:r w:rsidRPr="008B2724">
        <w:rPr>
          <w:spacing w:val="-4"/>
        </w:rPr>
        <w:t xml:space="preserve">Producenten af materialet og genstanden, der kommer i kontakt med fødevarer, eller virksomheden, der markedsfører dem, samt fødevarevirksomhedslederen har over for de ansvarlige myndigheder pligt til at fremlægge, hvilke forudsætninger og omstændigheder de ligger til grund for en undtagelse. § 6a, stk. 5, indeholder desuden en forpligtelse, der præciserer de ovennævnte forskrifter, for producenter af materialer og genstande, der kommer i kontakt med fødevarer, samt også for de ansvarlige fødevarevirksomhedsledere til at have dokumenter, der dokumenterer, hvordan det af den pågældende ansvarlige sikres, at en migration af mineraloliekulbrinter ind i fødevarer ikke finder sted. </w:t>
      </w:r>
    </w:p>
    <w:p w14:paraId="7E7353A1" w14:textId="77777777" w:rsidR="00E36DB1" w:rsidRPr="008B2724" w:rsidRDefault="005211EE" w:rsidP="001E3BD2">
      <w:pPr>
        <w:pStyle w:val="Text"/>
        <w:spacing w:before="80" w:after="80"/>
        <w:rPr>
          <w:color w:val="231F20"/>
          <w:spacing w:val="-4"/>
          <w:szCs w:val="24"/>
        </w:rPr>
      </w:pPr>
      <w:r w:rsidRPr="008B2724">
        <w:rPr>
          <w:color w:val="231F20"/>
          <w:spacing w:val="-4"/>
        </w:rPr>
        <w:t>§ 6a, stk. 6, indeholder markedsføringsforbud for fødevarer med henblik på beskyttelse af forbrugerne mod mulige sundhedsfarer som følge af migration af mineraloliekulbrinter fra materialer og genstande, der kommer i kontakt med fødevarer. Markedsføringsforbuddene finder anvendelse på sådanne fødevarer, som blev behandlet med materialer og genstande, der kommer i kontakt med fødevarer, og som ikke opfylder § 6a, stk. 1, 1. punktum, eller § 6a, stk. 4, 1. punktum, og uden, at en af de gældende undtagelser i henhold til § 6a, stk. 2, og § 6a, stk. 4, 3. punktum, finder anvendelse.</w:t>
      </w:r>
    </w:p>
    <w:p w14:paraId="295C3C27" w14:textId="77777777" w:rsidR="00893613" w:rsidRPr="00D43FA1" w:rsidRDefault="00893613" w:rsidP="001E3BD2">
      <w:pPr>
        <w:pStyle w:val="Text"/>
        <w:keepNext/>
        <w:keepLines/>
        <w:spacing w:before="80" w:after="80"/>
        <w:rPr>
          <w:szCs w:val="24"/>
          <w:u w:val="single"/>
        </w:rPr>
      </w:pPr>
      <w:r>
        <w:rPr>
          <w:u w:val="single"/>
        </w:rPr>
        <w:t>Ad nr. 3</w:t>
      </w:r>
    </w:p>
    <w:p w14:paraId="527C76F7" w14:textId="77777777" w:rsidR="00893613" w:rsidRPr="00D43FA1" w:rsidRDefault="00893613" w:rsidP="001E3BD2">
      <w:pPr>
        <w:pStyle w:val="Text"/>
        <w:spacing w:before="80" w:after="80"/>
        <w:rPr>
          <w:szCs w:val="24"/>
        </w:rPr>
      </w:pPr>
      <w:r>
        <w:t>Nr. 3 regulerer anvendelsesforbuddet for materialer og genstande, der kommer i kontakt med fødevarer, og som ikke opfylder § 6a.</w:t>
      </w:r>
    </w:p>
    <w:p w14:paraId="0BECB08F" w14:textId="77777777" w:rsidR="00893613" w:rsidRPr="00D43FA1" w:rsidRDefault="00893613" w:rsidP="001E3BD2">
      <w:pPr>
        <w:pStyle w:val="Text"/>
        <w:keepNext/>
        <w:keepLines/>
        <w:spacing w:before="80" w:after="80"/>
        <w:rPr>
          <w:szCs w:val="24"/>
          <w:u w:val="single"/>
        </w:rPr>
      </w:pPr>
      <w:r>
        <w:rPr>
          <w:u w:val="single"/>
        </w:rPr>
        <w:t>Ad nr. 4</w:t>
      </w:r>
    </w:p>
    <w:p w14:paraId="123E14BA" w14:textId="77777777" w:rsidR="00D77D9F" w:rsidRPr="00D43FA1" w:rsidRDefault="00D77D9F" w:rsidP="001E3BD2">
      <w:pPr>
        <w:pStyle w:val="Text"/>
        <w:spacing w:before="80" w:after="80"/>
        <w:rPr>
          <w:szCs w:val="24"/>
          <w:u w:val="single"/>
        </w:rPr>
      </w:pPr>
      <w:r>
        <w:t>Nr. 4 regulerer bøden for overtrædelser af forskrifterne i § 6a i bekendtgørelsen om materialer og genstande.</w:t>
      </w:r>
    </w:p>
    <w:p w14:paraId="72ADCE94" w14:textId="77777777" w:rsidR="00CB5E99" w:rsidRPr="00D43FA1" w:rsidRDefault="00D77D9F" w:rsidP="001E3BD2">
      <w:pPr>
        <w:pStyle w:val="Text"/>
        <w:keepNext/>
        <w:keepLines/>
        <w:spacing w:before="80" w:after="80"/>
        <w:rPr>
          <w:u w:val="single"/>
        </w:rPr>
      </w:pPr>
      <w:r>
        <w:rPr>
          <w:u w:val="single"/>
        </w:rPr>
        <w:t>Ad nr. 5</w:t>
      </w:r>
    </w:p>
    <w:p w14:paraId="10DAE7A6" w14:textId="77777777" w:rsidR="00BC7160" w:rsidRPr="00D43FA1" w:rsidRDefault="00CB5E99" w:rsidP="001E3BD2">
      <w:pPr>
        <w:pStyle w:val="Text"/>
        <w:spacing w:before="80" w:after="80"/>
      </w:pPr>
      <w:r>
        <w:t xml:space="preserve">Nr. 5 regulerer, at forskrifterne først finder anvendelse efter en overgangsperiode på tre år. </w:t>
      </w:r>
    </w:p>
    <w:p w14:paraId="38F583BA" w14:textId="77777777" w:rsidR="00CB5E99" w:rsidRPr="00D43FA1" w:rsidRDefault="00CB5E99" w:rsidP="001E3BD2">
      <w:pPr>
        <w:pStyle w:val="Text"/>
        <w:spacing w:before="80" w:after="80"/>
      </w:pPr>
      <w:r>
        <w:t>Nr. 5 fastlægger endvidere, at materialer og genstande, der kommer i kontakt med fødevarer, og som er fremstillet i henhold til forskrifterne, der var gældende før datoen for bekendtgørelsens anvendelse, også stadig må markedsføres og anvendes i yderligere to år efter denne dag.</w:t>
      </w:r>
    </w:p>
    <w:p w14:paraId="3DCB47CB" w14:textId="77777777" w:rsidR="00CB5E99" w:rsidRPr="00D43FA1" w:rsidRDefault="00CB5E99" w:rsidP="001E3BD2">
      <w:pPr>
        <w:pStyle w:val="Text"/>
        <w:keepNext/>
        <w:keepLines/>
        <w:spacing w:before="80" w:after="80"/>
        <w:rPr>
          <w:b/>
        </w:rPr>
      </w:pPr>
      <w:r>
        <w:rPr>
          <w:b/>
        </w:rPr>
        <w:t>Ad artikel 2</w:t>
      </w:r>
    </w:p>
    <w:p w14:paraId="3A8E0CB1" w14:textId="77777777" w:rsidR="00CB5E99" w:rsidRPr="008B2724" w:rsidRDefault="00CB5E99" w:rsidP="001E3BD2">
      <w:pPr>
        <w:pStyle w:val="Text"/>
        <w:spacing w:before="80" w:after="80"/>
        <w:rPr>
          <w:spacing w:val="-6"/>
        </w:rPr>
      </w:pPr>
      <w:r w:rsidRPr="008B2724">
        <w:rPr>
          <w:spacing w:val="-6"/>
        </w:rPr>
        <w:t>Artikel 2 indeholder tilladelsen til bekendtgørelse af bekendtgørelsen om materialer og genstande.</w:t>
      </w:r>
    </w:p>
    <w:p w14:paraId="7689A2E3" w14:textId="77777777" w:rsidR="00CB5E99" w:rsidRPr="00D43FA1" w:rsidRDefault="00CB5E99" w:rsidP="001E3BD2">
      <w:pPr>
        <w:pStyle w:val="Text"/>
        <w:keepNext/>
        <w:keepLines/>
        <w:spacing w:before="80" w:after="80"/>
        <w:rPr>
          <w:b/>
        </w:rPr>
      </w:pPr>
      <w:r>
        <w:rPr>
          <w:b/>
        </w:rPr>
        <w:t>Ad artikel 3</w:t>
      </w:r>
    </w:p>
    <w:p w14:paraId="193ACE56" w14:textId="77777777" w:rsidR="00CB5E99" w:rsidRPr="0070360F" w:rsidRDefault="00CB5E99" w:rsidP="001E3BD2">
      <w:pPr>
        <w:pStyle w:val="Text"/>
        <w:spacing w:before="80" w:after="80"/>
      </w:pPr>
      <w:r>
        <w:t>Artikel 3 regulerer bekendtgørelsens ikrafttrædelse.</w:t>
      </w:r>
    </w:p>
    <w:sectPr w:rsidR="00CB5E99" w:rsidRPr="0070360F" w:rsidSect="00073F52">
      <w:headerReference w:type="default" r:id="rId11"/>
      <w:headerReference w:type="first" r:id="rId12"/>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743AF" w14:textId="77777777" w:rsidR="00B82A75" w:rsidRDefault="00B82A75">
      <w:pPr>
        <w:spacing w:before="0" w:after="0"/>
      </w:pPr>
      <w:r>
        <w:separator/>
      </w:r>
    </w:p>
  </w:endnote>
  <w:endnote w:type="continuationSeparator" w:id="0">
    <w:p w14:paraId="6823D5CA" w14:textId="77777777" w:rsidR="00B82A75" w:rsidRDefault="00B82A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NormalLF-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7D80D" w14:textId="77777777" w:rsidR="00B82A75" w:rsidRDefault="00B82A75">
      <w:pPr>
        <w:spacing w:before="0" w:after="0"/>
      </w:pPr>
      <w:r>
        <w:separator/>
      </w:r>
    </w:p>
  </w:footnote>
  <w:footnote w:type="continuationSeparator" w:id="0">
    <w:p w14:paraId="04C68AD1" w14:textId="77777777" w:rsidR="00B82A75" w:rsidRDefault="00B82A75">
      <w:pPr>
        <w:spacing w:before="0" w:after="0"/>
      </w:pPr>
      <w:r>
        <w:continuationSeparator/>
      </w:r>
    </w:p>
  </w:footnote>
  <w:footnote w:id="1">
    <w:p w14:paraId="7B8D79B8" w14:textId="77777777" w:rsidR="00E24BD3" w:rsidRPr="008036EA" w:rsidRDefault="00E24BD3">
      <w:pPr>
        <w:pStyle w:val="FootnoteText"/>
      </w:pPr>
      <w:r>
        <w:rPr>
          <w:rStyle w:val="FootnoteReference"/>
        </w:rPr>
        <w:t>1)</w:t>
      </w:r>
      <w:r>
        <w:tab/>
        <w:t>Notificeret i henhold til Europa-Parlamentets og Rådets direktiv (EU) 2015/1535 af 9. september 2015 om en informationsprocedure med hensyn til tekniske forskrifter samt forskrifter for informationssamfundets tjenester (EUT L 241 af 17.9.2015, s. 1).</w:t>
      </w:r>
    </w:p>
  </w:footnote>
  <w:footnote w:id="2">
    <w:p w14:paraId="7D837383" w14:textId="77777777" w:rsidR="00E24BD3" w:rsidRDefault="00E24BD3" w:rsidP="006B7BFE">
      <w:pPr>
        <w:pStyle w:val="FootnoteText"/>
        <w:jc w:val="left"/>
      </w:pPr>
      <w:r>
        <w:rPr>
          <w:rStyle w:val="FootnoteReference"/>
        </w:rPr>
        <w:footnoteRef/>
      </w:r>
      <w:r>
        <w:t xml:space="preserve"> </w:t>
      </w:r>
      <w:r>
        <w:tab/>
      </w:r>
      <w:r>
        <w:t xml:space="preserve">Det </w:t>
      </w:r>
      <w:r>
        <w:t xml:space="preserve">statistiske forbundskontor (Statistisches Bundesamt) (2012): Vejledning om beregning og fremstilling af tilpasningsomkostningerne i forbundsregeringens bestemmelsesudkast (Leitfaden zur Ermittlung und Darstellung des Erfüllungsaufwands in Regelungsvorhaben der Bundesregierung). </w:t>
      </w:r>
    </w:p>
  </w:footnote>
  <w:footnote w:id="3">
    <w:p w14:paraId="36F3698B" w14:textId="60DC7FEB" w:rsidR="00E24BD3" w:rsidRPr="0086292F" w:rsidRDefault="00E24BD3" w:rsidP="002F54A3">
      <w:pPr>
        <w:pStyle w:val="FootnoteText"/>
      </w:pPr>
      <w:r>
        <w:rPr>
          <w:rStyle w:val="FootnoteReference"/>
        </w:rPr>
        <w:footnoteRef/>
      </w:r>
      <w:r>
        <w:t xml:space="preserve"> </w:t>
      </w:r>
      <w:r>
        <w:tab/>
      </w:r>
      <w:r>
        <w:t xml:space="preserve">Omkostningsstrukturundersøgelse </w:t>
      </w:r>
      <w:r>
        <w:t xml:space="preserve">på området for fremstillingssektoren, minedrift og udvinding af sten og jordarter (EVAS-Nr. 42251): ansatte, omsætning, produktionsværdi og virksomhedernes værdiskabelse inden for fremstillingssektoren, Tyskland 2015, erhvervsgrene WZ08-10. </w:t>
      </w:r>
    </w:p>
  </w:footnote>
  <w:footnote w:id="4">
    <w:p w14:paraId="3324C433" w14:textId="77777777" w:rsidR="00E24BD3" w:rsidRPr="00D47EE6" w:rsidRDefault="00E24BD3" w:rsidP="002F54A3">
      <w:pPr>
        <w:pStyle w:val="Default"/>
        <w:ind w:left="720" w:hanging="720"/>
        <w:rPr>
          <w:rFonts w:ascii="Arial" w:hAnsi="Arial" w:cs="Arial"/>
          <w:sz w:val="18"/>
          <w:szCs w:val="18"/>
        </w:rPr>
      </w:pPr>
      <w:r>
        <w:rPr>
          <w:rStyle w:val="FootnoteReference"/>
          <w:rFonts w:ascii="Arial" w:hAnsi="Arial"/>
          <w:sz w:val="18"/>
        </w:rPr>
        <w:t>3</w:t>
      </w:r>
      <w:r>
        <w:t xml:space="preserve"> </w:t>
      </w:r>
      <w:r>
        <w:tab/>
      </w:r>
      <w:r>
        <w:t>Lønomkostningstabeller af 2017 fra det statistiske forbundskontor til måling af tilpasnings- og bureaukratiomkostninger, erhvervsgren C10, virksomheder med mindst 250 ansatte, højt kvalifikationsniveau.</w:t>
      </w:r>
      <w:r>
        <w:rPr>
          <w:rFonts w:ascii="Arial" w:hAnsi="Arial"/>
          <w:sz w:val="18"/>
        </w:rPr>
        <w:t xml:space="preserve"> </w:t>
      </w:r>
    </w:p>
    <w:p w14:paraId="2487B60A" w14:textId="77777777" w:rsidR="00E24BD3" w:rsidRDefault="00E24BD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70F90" w14:textId="024B4C5F" w:rsidR="00E24BD3" w:rsidRPr="00073F52" w:rsidRDefault="00D43FA1" w:rsidP="00073F52">
    <w:pPr>
      <w:pStyle w:val="Header"/>
    </w:pPr>
    <w:r>
      <w:tab/>
    </w:r>
    <w:r>
      <w:t xml:space="preserve">- </w:t>
    </w:r>
    <w:r w:rsidR="00073F52">
      <w:fldChar w:fldCharType="begin"/>
    </w:r>
    <w:r w:rsidR="00073F52">
      <w:instrText xml:space="preserve"> PAGE  \* MERGEFORMAT </w:instrText>
    </w:r>
    <w:r w:rsidR="00073F52">
      <w:fldChar w:fldCharType="separate"/>
    </w:r>
    <w:r w:rsidR="00073F52">
      <w:t>2</w:t>
    </w:r>
    <w:r w:rsidR="00073F52">
      <w:fldChar w:fldCharType="end"/>
    </w:r>
    <w:r>
      <w:t xml:space="preserve"> -</w:t>
    </w:r>
    <w:r>
      <w:tab/>
    </w:r>
    <w:r>
      <w:rPr>
        <w:sz w:val="18"/>
      </w:rPr>
      <w:t>Revideret: 14.8.2020, kl. 15:07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B8F3E" w14:textId="0C4B739B" w:rsidR="00E24BD3" w:rsidRPr="00073F52" w:rsidRDefault="00D43FA1" w:rsidP="00073F52">
    <w:pPr>
      <w:pStyle w:val="Header"/>
    </w:pPr>
    <w:r>
      <w:tab/>
    </w:r>
    <w:r w:rsidR="001E3BD2">
      <w:fldChar w:fldCharType="begin"/>
    </w:r>
    <w:r w:rsidR="001E3BD2">
      <w:instrText xml:space="preserve"> DOCPROPERTY "Bearbeitungsstand" \* MERGEFORMAT </w:instrText>
    </w:r>
    <w:r w:rsidR="001E3BD2">
      <w:fldChar w:fldCharType="separate"/>
    </w:r>
    <w:r w:rsidRPr="00D43FA1">
      <w:rPr>
        <w:sz w:val="18"/>
      </w:rPr>
      <w:t xml:space="preserve">Bearbeitungsstand: </w:t>
    </w:r>
    <w:r w:rsidRPr="00D43FA1">
      <w:rPr>
        <w:sz w:val="18"/>
      </w:rPr>
      <w:t>14.08.2020</w:t>
    </w:r>
    <w:r>
      <w:rPr>
        <w:sz w:val="18"/>
      </w:rPr>
      <w:t xml:space="preserve"> </w:t>
    </w:r>
    <w:r w:rsidRPr="00D43FA1">
      <w:rPr>
        <w:sz w:val="18"/>
      </w:rPr>
      <w:t>15:07 Uhr</w:t>
    </w:r>
    <w:r w:rsidR="001E3BD2">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4536"/>
        </w:tabs>
        <w:ind w:left="4253"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0A2D0161"/>
    <w:multiLevelType w:val="hybridMultilevel"/>
    <w:tmpl w:val="8B90B208"/>
    <w:lvl w:ilvl="0" w:tplc="74E867FC">
      <w:start w:val="1"/>
      <w:numFmt w:val="bullet"/>
      <w:lvlText w:val="˗"/>
      <w:lvlJc w:val="left"/>
      <w:pPr>
        <w:ind w:left="1145" w:hanging="360"/>
      </w:pPr>
      <w:rPr>
        <w:rFonts w:ascii="Times New Roman"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0500708"/>
    <w:multiLevelType w:val="hybridMultilevel"/>
    <w:tmpl w:val="F0940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6" w15:restartNumberingAfterBreak="0">
    <w:nsid w:val="127C50D1"/>
    <w:multiLevelType w:val="hybridMultilevel"/>
    <w:tmpl w:val="7B5267F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9"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0" w15:restartNumberingAfterBreak="0">
    <w:nsid w:val="26DC129C"/>
    <w:multiLevelType w:val="hybridMultilevel"/>
    <w:tmpl w:val="D682E4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3F2C75"/>
    <w:multiLevelType w:val="hybridMultilevel"/>
    <w:tmpl w:val="6F30F0F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3"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4" w15:restartNumberingAfterBreak="0">
    <w:nsid w:val="2A897DF0"/>
    <w:multiLevelType w:val="hybridMultilevel"/>
    <w:tmpl w:val="857C688C"/>
    <w:lvl w:ilvl="0" w:tplc="74E867FC">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7"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9"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0"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1"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4" w15:restartNumberingAfterBreak="0">
    <w:nsid w:val="56DD28C7"/>
    <w:multiLevelType w:val="hybridMultilevel"/>
    <w:tmpl w:val="32463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ED6052"/>
    <w:multiLevelType w:val="multilevel"/>
    <w:tmpl w:val="99C217B4"/>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1"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
  </w:num>
  <w:num w:numId="2">
    <w:abstractNumId w:val="3"/>
  </w:num>
  <w:num w:numId="3">
    <w:abstractNumId w:val="10"/>
  </w:num>
  <w:num w:numId="4">
    <w:abstractNumId w:val="14"/>
  </w:num>
  <w:num w:numId="5">
    <w:abstractNumId w:val="11"/>
  </w:num>
  <w:num w:numId="6">
    <w:abstractNumId w:val="6"/>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3"/>
  </w:num>
  <w:num w:numId="11">
    <w:abstractNumId w:val="31"/>
  </w:num>
  <w:num w:numId="12">
    <w:abstractNumId w:val="22"/>
  </w:num>
  <w:num w:numId="13">
    <w:abstractNumId w:val="5"/>
  </w:num>
  <w:num w:numId="14">
    <w:abstractNumId w:val="16"/>
  </w:num>
  <w:num w:numId="15">
    <w:abstractNumId w:val="0"/>
  </w:num>
  <w:num w:numId="16">
    <w:abstractNumId w:val="30"/>
  </w:num>
  <w:num w:numId="17">
    <w:abstractNumId w:val="17"/>
  </w:num>
  <w:num w:numId="18">
    <w:abstractNumId w:val="26"/>
  </w:num>
  <w:num w:numId="19">
    <w:abstractNumId w:val="4"/>
  </w:num>
  <w:num w:numId="20">
    <w:abstractNumId w:val="21"/>
  </w:num>
  <w:num w:numId="21">
    <w:abstractNumId w:val="12"/>
  </w:num>
  <w:num w:numId="22">
    <w:abstractNumId w:val="9"/>
  </w:num>
  <w:num w:numId="23">
    <w:abstractNumId w:val="20"/>
  </w:num>
  <w:num w:numId="24">
    <w:abstractNumId w:val="27"/>
  </w:num>
  <w:num w:numId="25">
    <w:abstractNumId w:val="13"/>
  </w:num>
  <w:num w:numId="26">
    <w:abstractNumId w:val="18"/>
  </w:num>
  <w:num w:numId="27">
    <w:abstractNumId w:val="1"/>
  </w:num>
  <w:num w:numId="28">
    <w:abstractNumId w:val="19"/>
  </w:num>
  <w:num w:numId="29">
    <w:abstractNumId w:val="7"/>
  </w:num>
  <w:num w:numId="30">
    <w:abstractNumId w:val="29"/>
  </w:num>
  <w:num w:numId="31">
    <w:abstractNumId w:val="28"/>
  </w:num>
  <w:num w:numId="32">
    <w:abstractNumId w:val="15"/>
  </w:num>
  <w:num w:numId="3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3"/>
    <w:docVar w:name="BefehlsKontext_SpeichernOOXML_Maximum" w:val="372ms"/>
    <w:docVar w:name="BefehlsKontext_SpeichernOOXML_Schnitt" w:val="372ms"/>
    <w:docVar w:name="BMJ" w:val="True"/>
    <w:docVar w:name="CUSTOMER" w:val="8"/>
    <w:docVar w:name="DQCDateTime" w:val="29.07.2020 09:42:09"/>
    <w:docVar w:name="DQCPart_Begruendung" w:val="0"/>
    <w:docVar w:name="DQCPart_Dokument" w:val="0"/>
    <w:docVar w:name="DQCPart_Regelungsteil" w:val="0"/>
    <w:docVar w:name="DQCPart_Vorblatt" w:val="0"/>
    <w:docVar w:name="DQCResult_Aenderungsbefehl" w:val="0;14"/>
    <w:docVar w:name="DQCResult_Binnenverweise" w:val="0;0"/>
    <w:docVar w:name="DQCResult_Citations" w:val="0;2"/>
    <w:docVar w:name="DQCResult_EinzelneRegelungsteile" w:val="0;0"/>
    <w:docVar w:name="DQCResult_EmbeddedObjects" w:val="0;0"/>
    <w:docVar w:name="DQCResult_Gliederung" w:val="22;6"/>
    <w:docVar w:name="DQCResult_Marker" w:val="0;0"/>
    <w:docVar w:name="DQCResult_Metadata" w:val="0;0"/>
    <w:docVar w:name="DQCResult_ModifiedCharFormat" w:val="0;89"/>
    <w:docVar w:name="DQCResult_ModifiedMargins" w:val="21;0"/>
    <w:docVar w:name="DQCResult_ModifiedNumbering" w:val="2;0"/>
    <w:docVar w:name="DQCResult_StructureCheck" w:val="16;0"/>
    <w:docVar w:name="DQCResult_SuperfluousWhitespace" w:val="69;0"/>
    <w:docVar w:name="DQCResult_TermsAndDiction" w:val="0;10"/>
    <w:docVar w:name="DQCResult_Verweise" w:val="0;0"/>
    <w:docVar w:name="DQCWithWarnings" w:val="1"/>
    <w:docVar w:name="LW_DocType" w:val="AENDER"/>
    <w:docVar w:name="LWCons_Langue" w:val="DE"/>
  </w:docVars>
  <w:rsids>
    <w:rsidRoot w:val="006444D5"/>
    <w:rsid w:val="00000EDE"/>
    <w:rsid w:val="00006B73"/>
    <w:rsid w:val="00011404"/>
    <w:rsid w:val="000114D3"/>
    <w:rsid w:val="00011669"/>
    <w:rsid w:val="00013F7F"/>
    <w:rsid w:val="0001751A"/>
    <w:rsid w:val="000202F9"/>
    <w:rsid w:val="000205EA"/>
    <w:rsid w:val="00021172"/>
    <w:rsid w:val="00023B79"/>
    <w:rsid w:val="0002703A"/>
    <w:rsid w:val="00031FDC"/>
    <w:rsid w:val="00031FE9"/>
    <w:rsid w:val="0003253F"/>
    <w:rsid w:val="000326A1"/>
    <w:rsid w:val="00033203"/>
    <w:rsid w:val="000379E5"/>
    <w:rsid w:val="00040BA6"/>
    <w:rsid w:val="00042625"/>
    <w:rsid w:val="00042E60"/>
    <w:rsid w:val="00043B45"/>
    <w:rsid w:val="000447FD"/>
    <w:rsid w:val="00046B6A"/>
    <w:rsid w:val="000511BF"/>
    <w:rsid w:val="0005302B"/>
    <w:rsid w:val="0005489F"/>
    <w:rsid w:val="000579F5"/>
    <w:rsid w:val="0006353C"/>
    <w:rsid w:val="000636B3"/>
    <w:rsid w:val="00067EA9"/>
    <w:rsid w:val="00070990"/>
    <w:rsid w:val="00072429"/>
    <w:rsid w:val="00073F52"/>
    <w:rsid w:val="000746B9"/>
    <w:rsid w:val="00080C0D"/>
    <w:rsid w:val="00081E27"/>
    <w:rsid w:val="0008213F"/>
    <w:rsid w:val="0008560F"/>
    <w:rsid w:val="00086709"/>
    <w:rsid w:val="00087B66"/>
    <w:rsid w:val="00091B75"/>
    <w:rsid w:val="000958E3"/>
    <w:rsid w:val="000A00BC"/>
    <w:rsid w:val="000A0EA7"/>
    <w:rsid w:val="000A42DE"/>
    <w:rsid w:val="000B1116"/>
    <w:rsid w:val="000B17F0"/>
    <w:rsid w:val="000B2DB8"/>
    <w:rsid w:val="000B41D9"/>
    <w:rsid w:val="000C09F9"/>
    <w:rsid w:val="000C4EFA"/>
    <w:rsid w:val="000C57C8"/>
    <w:rsid w:val="000D03E9"/>
    <w:rsid w:val="000D0F45"/>
    <w:rsid w:val="000D3FA6"/>
    <w:rsid w:val="000D48E2"/>
    <w:rsid w:val="000E049B"/>
    <w:rsid w:val="000E4B72"/>
    <w:rsid w:val="000E73A4"/>
    <w:rsid w:val="000F1682"/>
    <w:rsid w:val="000F35FD"/>
    <w:rsid w:val="000F4A0B"/>
    <w:rsid w:val="000F6183"/>
    <w:rsid w:val="000F64B6"/>
    <w:rsid w:val="000F71D6"/>
    <w:rsid w:val="00105F8D"/>
    <w:rsid w:val="00106224"/>
    <w:rsid w:val="00110308"/>
    <w:rsid w:val="0011039C"/>
    <w:rsid w:val="00112749"/>
    <w:rsid w:val="00117552"/>
    <w:rsid w:val="0012322F"/>
    <w:rsid w:val="00123317"/>
    <w:rsid w:val="00123700"/>
    <w:rsid w:val="00131DBC"/>
    <w:rsid w:val="00133C9F"/>
    <w:rsid w:val="001348D2"/>
    <w:rsid w:val="0013637E"/>
    <w:rsid w:val="00140A6C"/>
    <w:rsid w:val="001419E7"/>
    <w:rsid w:val="00146E0A"/>
    <w:rsid w:val="0015179A"/>
    <w:rsid w:val="00152222"/>
    <w:rsid w:val="00155E4D"/>
    <w:rsid w:val="00160D57"/>
    <w:rsid w:val="0016165D"/>
    <w:rsid w:val="0016584A"/>
    <w:rsid w:val="00166244"/>
    <w:rsid w:val="001667AF"/>
    <w:rsid w:val="00166DA2"/>
    <w:rsid w:val="00170F46"/>
    <w:rsid w:val="00175860"/>
    <w:rsid w:val="001758C6"/>
    <w:rsid w:val="00175A40"/>
    <w:rsid w:val="001827A3"/>
    <w:rsid w:val="00185FED"/>
    <w:rsid w:val="001911F5"/>
    <w:rsid w:val="0019372F"/>
    <w:rsid w:val="00193B98"/>
    <w:rsid w:val="0019599F"/>
    <w:rsid w:val="001967AF"/>
    <w:rsid w:val="001A28CA"/>
    <w:rsid w:val="001A2F04"/>
    <w:rsid w:val="001A5621"/>
    <w:rsid w:val="001B10CC"/>
    <w:rsid w:val="001B2B49"/>
    <w:rsid w:val="001B471D"/>
    <w:rsid w:val="001B4AC9"/>
    <w:rsid w:val="001B654F"/>
    <w:rsid w:val="001C0BC3"/>
    <w:rsid w:val="001D09DD"/>
    <w:rsid w:val="001D5E6B"/>
    <w:rsid w:val="001D7ACD"/>
    <w:rsid w:val="001E05AF"/>
    <w:rsid w:val="001E169B"/>
    <w:rsid w:val="001E3BD2"/>
    <w:rsid w:val="001E3F09"/>
    <w:rsid w:val="001E46F6"/>
    <w:rsid w:val="001E5369"/>
    <w:rsid w:val="001F0A70"/>
    <w:rsid w:val="001F39C1"/>
    <w:rsid w:val="001F595D"/>
    <w:rsid w:val="001F5B99"/>
    <w:rsid w:val="001F5E17"/>
    <w:rsid w:val="001F7A10"/>
    <w:rsid w:val="00204FD0"/>
    <w:rsid w:val="00206EBE"/>
    <w:rsid w:val="002128DA"/>
    <w:rsid w:val="002201EF"/>
    <w:rsid w:val="002235F2"/>
    <w:rsid w:val="00226A59"/>
    <w:rsid w:val="00227028"/>
    <w:rsid w:val="0022733A"/>
    <w:rsid w:val="002275AC"/>
    <w:rsid w:val="00231F40"/>
    <w:rsid w:val="0023385E"/>
    <w:rsid w:val="00234C16"/>
    <w:rsid w:val="002378C1"/>
    <w:rsid w:val="00240DFC"/>
    <w:rsid w:val="00241B36"/>
    <w:rsid w:val="00241FAE"/>
    <w:rsid w:val="00243E14"/>
    <w:rsid w:val="00244230"/>
    <w:rsid w:val="00244CF8"/>
    <w:rsid w:val="002455B9"/>
    <w:rsid w:val="00247D01"/>
    <w:rsid w:val="00250F1D"/>
    <w:rsid w:val="0025249C"/>
    <w:rsid w:val="0025354D"/>
    <w:rsid w:val="002535AD"/>
    <w:rsid w:val="00255264"/>
    <w:rsid w:val="0025650A"/>
    <w:rsid w:val="00257E98"/>
    <w:rsid w:val="0026302A"/>
    <w:rsid w:val="00264ECC"/>
    <w:rsid w:val="00265487"/>
    <w:rsid w:val="002666C4"/>
    <w:rsid w:val="00266860"/>
    <w:rsid w:val="0027334F"/>
    <w:rsid w:val="00274D3C"/>
    <w:rsid w:val="0027761E"/>
    <w:rsid w:val="00280B36"/>
    <w:rsid w:val="0028261E"/>
    <w:rsid w:val="00283E6C"/>
    <w:rsid w:val="00284E94"/>
    <w:rsid w:val="002876F5"/>
    <w:rsid w:val="00287EBE"/>
    <w:rsid w:val="002929F3"/>
    <w:rsid w:val="00294ACD"/>
    <w:rsid w:val="00295A54"/>
    <w:rsid w:val="00297533"/>
    <w:rsid w:val="002A1335"/>
    <w:rsid w:val="002A17CE"/>
    <w:rsid w:val="002A5AE5"/>
    <w:rsid w:val="002A60B8"/>
    <w:rsid w:val="002A6582"/>
    <w:rsid w:val="002A6EAA"/>
    <w:rsid w:val="002B0188"/>
    <w:rsid w:val="002B5546"/>
    <w:rsid w:val="002B62A4"/>
    <w:rsid w:val="002C13F3"/>
    <w:rsid w:val="002D0A9B"/>
    <w:rsid w:val="002D2CDA"/>
    <w:rsid w:val="002D7A0A"/>
    <w:rsid w:val="002D7D76"/>
    <w:rsid w:val="002E02C1"/>
    <w:rsid w:val="002E295B"/>
    <w:rsid w:val="002E33A2"/>
    <w:rsid w:val="002E550F"/>
    <w:rsid w:val="002E5E76"/>
    <w:rsid w:val="002E6AEF"/>
    <w:rsid w:val="002F0673"/>
    <w:rsid w:val="002F0B7F"/>
    <w:rsid w:val="002F1ED8"/>
    <w:rsid w:val="002F27A5"/>
    <w:rsid w:val="002F3448"/>
    <w:rsid w:val="002F4768"/>
    <w:rsid w:val="002F54A3"/>
    <w:rsid w:val="002F556C"/>
    <w:rsid w:val="002F5848"/>
    <w:rsid w:val="002F687B"/>
    <w:rsid w:val="002F7BDF"/>
    <w:rsid w:val="00301DC9"/>
    <w:rsid w:val="00302746"/>
    <w:rsid w:val="003035FC"/>
    <w:rsid w:val="00305F3A"/>
    <w:rsid w:val="00307078"/>
    <w:rsid w:val="00312412"/>
    <w:rsid w:val="0031368B"/>
    <w:rsid w:val="00313AFD"/>
    <w:rsid w:val="00314E88"/>
    <w:rsid w:val="0031773F"/>
    <w:rsid w:val="00323DAC"/>
    <w:rsid w:val="00325F70"/>
    <w:rsid w:val="003308AC"/>
    <w:rsid w:val="00331B5D"/>
    <w:rsid w:val="00334D1C"/>
    <w:rsid w:val="003454AA"/>
    <w:rsid w:val="00347A46"/>
    <w:rsid w:val="00351F32"/>
    <w:rsid w:val="00354B9C"/>
    <w:rsid w:val="00357F15"/>
    <w:rsid w:val="0036192C"/>
    <w:rsid w:val="0036199E"/>
    <w:rsid w:val="00363609"/>
    <w:rsid w:val="0036600C"/>
    <w:rsid w:val="00366367"/>
    <w:rsid w:val="0037560C"/>
    <w:rsid w:val="00375C93"/>
    <w:rsid w:val="00376190"/>
    <w:rsid w:val="00376D74"/>
    <w:rsid w:val="00380556"/>
    <w:rsid w:val="00391106"/>
    <w:rsid w:val="003923C4"/>
    <w:rsid w:val="00395CCD"/>
    <w:rsid w:val="003A1F45"/>
    <w:rsid w:val="003A773C"/>
    <w:rsid w:val="003B280E"/>
    <w:rsid w:val="003B2E93"/>
    <w:rsid w:val="003C0DCF"/>
    <w:rsid w:val="003C1F50"/>
    <w:rsid w:val="003C2CF2"/>
    <w:rsid w:val="003C3EEC"/>
    <w:rsid w:val="003C7574"/>
    <w:rsid w:val="003D2F67"/>
    <w:rsid w:val="003D3061"/>
    <w:rsid w:val="003D3839"/>
    <w:rsid w:val="003E061A"/>
    <w:rsid w:val="003E0A8F"/>
    <w:rsid w:val="003E369F"/>
    <w:rsid w:val="003E5E20"/>
    <w:rsid w:val="003E643B"/>
    <w:rsid w:val="003F072B"/>
    <w:rsid w:val="003F2896"/>
    <w:rsid w:val="003F4716"/>
    <w:rsid w:val="003F4E3F"/>
    <w:rsid w:val="003F5844"/>
    <w:rsid w:val="003F61B5"/>
    <w:rsid w:val="003F6BDA"/>
    <w:rsid w:val="003F7EB4"/>
    <w:rsid w:val="0040082A"/>
    <w:rsid w:val="00401DF2"/>
    <w:rsid w:val="00402ED1"/>
    <w:rsid w:val="00404213"/>
    <w:rsid w:val="004046A1"/>
    <w:rsid w:val="00410F1B"/>
    <w:rsid w:val="00412B86"/>
    <w:rsid w:val="00412EE8"/>
    <w:rsid w:val="00416BFF"/>
    <w:rsid w:val="00417CBD"/>
    <w:rsid w:val="004202CF"/>
    <w:rsid w:val="0042126B"/>
    <w:rsid w:val="00423AC9"/>
    <w:rsid w:val="00425BF3"/>
    <w:rsid w:val="00425F35"/>
    <w:rsid w:val="004313DF"/>
    <w:rsid w:val="00433B99"/>
    <w:rsid w:val="0043452E"/>
    <w:rsid w:val="00435EAE"/>
    <w:rsid w:val="0044115A"/>
    <w:rsid w:val="0044208A"/>
    <w:rsid w:val="0044326B"/>
    <w:rsid w:val="00454ADA"/>
    <w:rsid w:val="00454D02"/>
    <w:rsid w:val="00454D9A"/>
    <w:rsid w:val="00460A90"/>
    <w:rsid w:val="004654DC"/>
    <w:rsid w:val="00466F75"/>
    <w:rsid w:val="004779CD"/>
    <w:rsid w:val="00483982"/>
    <w:rsid w:val="00486F92"/>
    <w:rsid w:val="00492084"/>
    <w:rsid w:val="004975C3"/>
    <w:rsid w:val="004A4749"/>
    <w:rsid w:val="004A6A21"/>
    <w:rsid w:val="004B0349"/>
    <w:rsid w:val="004B69CF"/>
    <w:rsid w:val="004B79B4"/>
    <w:rsid w:val="004C32E6"/>
    <w:rsid w:val="004C5508"/>
    <w:rsid w:val="004D0AC8"/>
    <w:rsid w:val="004D16CA"/>
    <w:rsid w:val="004D5050"/>
    <w:rsid w:val="004E15A1"/>
    <w:rsid w:val="004E3C4B"/>
    <w:rsid w:val="004E416D"/>
    <w:rsid w:val="004E72E0"/>
    <w:rsid w:val="004F1DB4"/>
    <w:rsid w:val="004F2B12"/>
    <w:rsid w:val="004F4835"/>
    <w:rsid w:val="00500609"/>
    <w:rsid w:val="005006FC"/>
    <w:rsid w:val="00501945"/>
    <w:rsid w:val="00502460"/>
    <w:rsid w:val="00503A0C"/>
    <w:rsid w:val="00504030"/>
    <w:rsid w:val="005068AC"/>
    <w:rsid w:val="00513B6A"/>
    <w:rsid w:val="005211EE"/>
    <w:rsid w:val="00521B05"/>
    <w:rsid w:val="005227FE"/>
    <w:rsid w:val="00524D10"/>
    <w:rsid w:val="00532ED6"/>
    <w:rsid w:val="00533412"/>
    <w:rsid w:val="00534679"/>
    <w:rsid w:val="00537AF3"/>
    <w:rsid w:val="00542778"/>
    <w:rsid w:val="00545785"/>
    <w:rsid w:val="00550810"/>
    <w:rsid w:val="005544A3"/>
    <w:rsid w:val="00554B4D"/>
    <w:rsid w:val="0055707E"/>
    <w:rsid w:val="00557319"/>
    <w:rsid w:val="00557D18"/>
    <w:rsid w:val="00560F85"/>
    <w:rsid w:val="00565598"/>
    <w:rsid w:val="00570706"/>
    <w:rsid w:val="00572FEB"/>
    <w:rsid w:val="005757E3"/>
    <w:rsid w:val="00580CE1"/>
    <w:rsid w:val="00582019"/>
    <w:rsid w:val="005836E0"/>
    <w:rsid w:val="0058390A"/>
    <w:rsid w:val="005872C8"/>
    <w:rsid w:val="00587FF1"/>
    <w:rsid w:val="00591AFF"/>
    <w:rsid w:val="00595A3F"/>
    <w:rsid w:val="005A12E2"/>
    <w:rsid w:val="005A1A80"/>
    <w:rsid w:val="005A4FF8"/>
    <w:rsid w:val="005B0D5B"/>
    <w:rsid w:val="005B4624"/>
    <w:rsid w:val="005B4D17"/>
    <w:rsid w:val="005C1176"/>
    <w:rsid w:val="005C22B8"/>
    <w:rsid w:val="005C302D"/>
    <w:rsid w:val="005D0728"/>
    <w:rsid w:val="005D3ACC"/>
    <w:rsid w:val="005D4738"/>
    <w:rsid w:val="005D6DB1"/>
    <w:rsid w:val="005D7810"/>
    <w:rsid w:val="005E19F4"/>
    <w:rsid w:val="005F1658"/>
    <w:rsid w:val="00602358"/>
    <w:rsid w:val="006023FF"/>
    <w:rsid w:val="00610226"/>
    <w:rsid w:val="006112FC"/>
    <w:rsid w:val="00612652"/>
    <w:rsid w:val="006172FB"/>
    <w:rsid w:val="00625E69"/>
    <w:rsid w:val="00627A2B"/>
    <w:rsid w:val="006331E5"/>
    <w:rsid w:val="00633718"/>
    <w:rsid w:val="00634FE4"/>
    <w:rsid w:val="006362A8"/>
    <w:rsid w:val="0064273F"/>
    <w:rsid w:val="006444D5"/>
    <w:rsid w:val="00645D07"/>
    <w:rsid w:val="00646A3B"/>
    <w:rsid w:val="006504FE"/>
    <w:rsid w:val="0065079C"/>
    <w:rsid w:val="00650D95"/>
    <w:rsid w:val="006579C6"/>
    <w:rsid w:val="00657AA0"/>
    <w:rsid w:val="006708F9"/>
    <w:rsid w:val="00670B84"/>
    <w:rsid w:val="00671288"/>
    <w:rsid w:val="00672D86"/>
    <w:rsid w:val="006737EE"/>
    <w:rsid w:val="006754F3"/>
    <w:rsid w:val="00676165"/>
    <w:rsid w:val="006764E4"/>
    <w:rsid w:val="006808E4"/>
    <w:rsid w:val="00680B5D"/>
    <w:rsid w:val="006818A9"/>
    <w:rsid w:val="00685810"/>
    <w:rsid w:val="006937A1"/>
    <w:rsid w:val="00693CB3"/>
    <w:rsid w:val="00695CF5"/>
    <w:rsid w:val="0069641F"/>
    <w:rsid w:val="0069682A"/>
    <w:rsid w:val="006A2E3D"/>
    <w:rsid w:val="006A2F7F"/>
    <w:rsid w:val="006A35EA"/>
    <w:rsid w:val="006A44D1"/>
    <w:rsid w:val="006A578D"/>
    <w:rsid w:val="006A5CD4"/>
    <w:rsid w:val="006B01A1"/>
    <w:rsid w:val="006B184E"/>
    <w:rsid w:val="006B2B6B"/>
    <w:rsid w:val="006B6225"/>
    <w:rsid w:val="006B664F"/>
    <w:rsid w:val="006B7BFE"/>
    <w:rsid w:val="006C419F"/>
    <w:rsid w:val="006C4287"/>
    <w:rsid w:val="006C4B57"/>
    <w:rsid w:val="006C5005"/>
    <w:rsid w:val="006C5F55"/>
    <w:rsid w:val="006C6AEA"/>
    <w:rsid w:val="006D5A07"/>
    <w:rsid w:val="006D61A8"/>
    <w:rsid w:val="006E0E51"/>
    <w:rsid w:val="006E1543"/>
    <w:rsid w:val="006E32D4"/>
    <w:rsid w:val="006E5F3C"/>
    <w:rsid w:val="006E735C"/>
    <w:rsid w:val="006F0E66"/>
    <w:rsid w:val="006F303A"/>
    <w:rsid w:val="006F41D3"/>
    <w:rsid w:val="006F48BC"/>
    <w:rsid w:val="006F517F"/>
    <w:rsid w:val="00702263"/>
    <w:rsid w:val="0070360F"/>
    <w:rsid w:val="00706264"/>
    <w:rsid w:val="007115EE"/>
    <w:rsid w:val="00711B3B"/>
    <w:rsid w:val="007161EB"/>
    <w:rsid w:val="007218C5"/>
    <w:rsid w:val="007239E8"/>
    <w:rsid w:val="0072609A"/>
    <w:rsid w:val="007314AB"/>
    <w:rsid w:val="00733250"/>
    <w:rsid w:val="00735843"/>
    <w:rsid w:val="00737DA8"/>
    <w:rsid w:val="00742EFE"/>
    <w:rsid w:val="007437B0"/>
    <w:rsid w:val="00746FED"/>
    <w:rsid w:val="007525FC"/>
    <w:rsid w:val="00755B7A"/>
    <w:rsid w:val="00756335"/>
    <w:rsid w:val="00761998"/>
    <w:rsid w:val="0076235D"/>
    <w:rsid w:val="007637B5"/>
    <w:rsid w:val="00763CDC"/>
    <w:rsid w:val="00764D8F"/>
    <w:rsid w:val="00777926"/>
    <w:rsid w:val="007905CF"/>
    <w:rsid w:val="00792C48"/>
    <w:rsid w:val="00793595"/>
    <w:rsid w:val="007A1312"/>
    <w:rsid w:val="007A25F0"/>
    <w:rsid w:val="007A3936"/>
    <w:rsid w:val="007A3D7C"/>
    <w:rsid w:val="007A6737"/>
    <w:rsid w:val="007A6BD7"/>
    <w:rsid w:val="007B10BC"/>
    <w:rsid w:val="007B13BA"/>
    <w:rsid w:val="007B2A4A"/>
    <w:rsid w:val="007B2B4A"/>
    <w:rsid w:val="007B2F1F"/>
    <w:rsid w:val="007B6C3C"/>
    <w:rsid w:val="007C0BDB"/>
    <w:rsid w:val="007C1039"/>
    <w:rsid w:val="007C63D5"/>
    <w:rsid w:val="007C7895"/>
    <w:rsid w:val="007C7B00"/>
    <w:rsid w:val="007D0F38"/>
    <w:rsid w:val="007D108B"/>
    <w:rsid w:val="007D261F"/>
    <w:rsid w:val="007D3DEE"/>
    <w:rsid w:val="007D6A27"/>
    <w:rsid w:val="007E01A6"/>
    <w:rsid w:val="007E0BC1"/>
    <w:rsid w:val="007E28A4"/>
    <w:rsid w:val="007E3F7C"/>
    <w:rsid w:val="007E6419"/>
    <w:rsid w:val="007F06A5"/>
    <w:rsid w:val="007F1598"/>
    <w:rsid w:val="007F1BEC"/>
    <w:rsid w:val="007F5287"/>
    <w:rsid w:val="007F5E0C"/>
    <w:rsid w:val="007F65D4"/>
    <w:rsid w:val="007F7386"/>
    <w:rsid w:val="007F73D0"/>
    <w:rsid w:val="008036EA"/>
    <w:rsid w:val="00810208"/>
    <w:rsid w:val="00817182"/>
    <w:rsid w:val="00817D65"/>
    <w:rsid w:val="0082323D"/>
    <w:rsid w:val="00824198"/>
    <w:rsid w:val="0082568F"/>
    <w:rsid w:val="00826169"/>
    <w:rsid w:val="0082734B"/>
    <w:rsid w:val="00830AE8"/>
    <w:rsid w:val="00834113"/>
    <w:rsid w:val="00837E20"/>
    <w:rsid w:val="008405C2"/>
    <w:rsid w:val="00842543"/>
    <w:rsid w:val="008443C6"/>
    <w:rsid w:val="00844711"/>
    <w:rsid w:val="008464BD"/>
    <w:rsid w:val="00846C2F"/>
    <w:rsid w:val="0084703A"/>
    <w:rsid w:val="00852BD9"/>
    <w:rsid w:val="00861728"/>
    <w:rsid w:val="0086292F"/>
    <w:rsid w:val="0086352B"/>
    <w:rsid w:val="008717D7"/>
    <w:rsid w:val="00873463"/>
    <w:rsid w:val="00874303"/>
    <w:rsid w:val="008765C5"/>
    <w:rsid w:val="0087733A"/>
    <w:rsid w:val="00882CE4"/>
    <w:rsid w:val="0088401B"/>
    <w:rsid w:val="00884B9D"/>
    <w:rsid w:val="00885A3B"/>
    <w:rsid w:val="00885C8B"/>
    <w:rsid w:val="008879C9"/>
    <w:rsid w:val="00891402"/>
    <w:rsid w:val="00891D8C"/>
    <w:rsid w:val="0089248C"/>
    <w:rsid w:val="008928AF"/>
    <w:rsid w:val="00893613"/>
    <w:rsid w:val="008938A6"/>
    <w:rsid w:val="00893B6F"/>
    <w:rsid w:val="00895F7C"/>
    <w:rsid w:val="00897536"/>
    <w:rsid w:val="008A1448"/>
    <w:rsid w:val="008A3AD7"/>
    <w:rsid w:val="008A49D9"/>
    <w:rsid w:val="008B2724"/>
    <w:rsid w:val="008B2ED4"/>
    <w:rsid w:val="008B44DD"/>
    <w:rsid w:val="008C041B"/>
    <w:rsid w:val="008C70E1"/>
    <w:rsid w:val="008D05B6"/>
    <w:rsid w:val="008D1A03"/>
    <w:rsid w:val="008D2799"/>
    <w:rsid w:val="008E0320"/>
    <w:rsid w:val="008E05D9"/>
    <w:rsid w:val="008E14B1"/>
    <w:rsid w:val="008F314A"/>
    <w:rsid w:val="008F408D"/>
    <w:rsid w:val="008F59AD"/>
    <w:rsid w:val="00900EFB"/>
    <w:rsid w:val="00906395"/>
    <w:rsid w:val="00907F51"/>
    <w:rsid w:val="009126F0"/>
    <w:rsid w:val="0091293F"/>
    <w:rsid w:val="009140F6"/>
    <w:rsid w:val="0091607B"/>
    <w:rsid w:val="009212E3"/>
    <w:rsid w:val="00921394"/>
    <w:rsid w:val="00922941"/>
    <w:rsid w:val="00923FC8"/>
    <w:rsid w:val="00925AF7"/>
    <w:rsid w:val="0092712D"/>
    <w:rsid w:val="00927A82"/>
    <w:rsid w:val="00932B9F"/>
    <w:rsid w:val="00935133"/>
    <w:rsid w:val="00942105"/>
    <w:rsid w:val="00942647"/>
    <w:rsid w:val="00956553"/>
    <w:rsid w:val="00956F44"/>
    <w:rsid w:val="00961AD8"/>
    <w:rsid w:val="00967139"/>
    <w:rsid w:val="00970E60"/>
    <w:rsid w:val="00972BA7"/>
    <w:rsid w:val="00973033"/>
    <w:rsid w:val="00974FD8"/>
    <w:rsid w:val="009768F8"/>
    <w:rsid w:val="00977107"/>
    <w:rsid w:val="009777BB"/>
    <w:rsid w:val="00977AB9"/>
    <w:rsid w:val="009809AB"/>
    <w:rsid w:val="0098171F"/>
    <w:rsid w:val="00982E48"/>
    <w:rsid w:val="0098470E"/>
    <w:rsid w:val="0098717A"/>
    <w:rsid w:val="009877A3"/>
    <w:rsid w:val="00987BFB"/>
    <w:rsid w:val="009913B3"/>
    <w:rsid w:val="00992DCE"/>
    <w:rsid w:val="009969BE"/>
    <w:rsid w:val="009971D4"/>
    <w:rsid w:val="009A2B59"/>
    <w:rsid w:val="009A72FC"/>
    <w:rsid w:val="009B4228"/>
    <w:rsid w:val="009B5E0F"/>
    <w:rsid w:val="009B6F48"/>
    <w:rsid w:val="009C0B04"/>
    <w:rsid w:val="009C0ECB"/>
    <w:rsid w:val="009C1BE7"/>
    <w:rsid w:val="009D1486"/>
    <w:rsid w:val="009D292B"/>
    <w:rsid w:val="009D5BD6"/>
    <w:rsid w:val="009D5D87"/>
    <w:rsid w:val="009E2085"/>
    <w:rsid w:val="009E4FB1"/>
    <w:rsid w:val="009E64FD"/>
    <w:rsid w:val="009F2D90"/>
    <w:rsid w:val="009F3C2C"/>
    <w:rsid w:val="009F7EF3"/>
    <w:rsid w:val="00A00B42"/>
    <w:rsid w:val="00A06E8F"/>
    <w:rsid w:val="00A07F3E"/>
    <w:rsid w:val="00A1021A"/>
    <w:rsid w:val="00A10FFB"/>
    <w:rsid w:val="00A12F3B"/>
    <w:rsid w:val="00A2160A"/>
    <w:rsid w:val="00A21D45"/>
    <w:rsid w:val="00A22A2C"/>
    <w:rsid w:val="00A22A71"/>
    <w:rsid w:val="00A22D07"/>
    <w:rsid w:val="00A231B2"/>
    <w:rsid w:val="00A241C4"/>
    <w:rsid w:val="00A253B8"/>
    <w:rsid w:val="00A25999"/>
    <w:rsid w:val="00A27C30"/>
    <w:rsid w:val="00A33D66"/>
    <w:rsid w:val="00A34C53"/>
    <w:rsid w:val="00A36DDF"/>
    <w:rsid w:val="00A37317"/>
    <w:rsid w:val="00A4031B"/>
    <w:rsid w:val="00A46E9C"/>
    <w:rsid w:val="00A524CD"/>
    <w:rsid w:val="00A54257"/>
    <w:rsid w:val="00A5434C"/>
    <w:rsid w:val="00A56992"/>
    <w:rsid w:val="00A571C8"/>
    <w:rsid w:val="00A65120"/>
    <w:rsid w:val="00A66ADC"/>
    <w:rsid w:val="00A7267C"/>
    <w:rsid w:val="00A72E85"/>
    <w:rsid w:val="00A73880"/>
    <w:rsid w:val="00A771BD"/>
    <w:rsid w:val="00A77926"/>
    <w:rsid w:val="00A80AFA"/>
    <w:rsid w:val="00A867EB"/>
    <w:rsid w:val="00A875F0"/>
    <w:rsid w:val="00A93B8B"/>
    <w:rsid w:val="00A93E39"/>
    <w:rsid w:val="00A93E51"/>
    <w:rsid w:val="00A94237"/>
    <w:rsid w:val="00AA0B6B"/>
    <w:rsid w:val="00AA52E9"/>
    <w:rsid w:val="00AA7A1B"/>
    <w:rsid w:val="00AB15B8"/>
    <w:rsid w:val="00AB2F7D"/>
    <w:rsid w:val="00AB7D5C"/>
    <w:rsid w:val="00AC0558"/>
    <w:rsid w:val="00AC0817"/>
    <w:rsid w:val="00AC0D2A"/>
    <w:rsid w:val="00AC0FB9"/>
    <w:rsid w:val="00AC4077"/>
    <w:rsid w:val="00AC68A0"/>
    <w:rsid w:val="00AD0A9D"/>
    <w:rsid w:val="00AD4E53"/>
    <w:rsid w:val="00AD6029"/>
    <w:rsid w:val="00AE12FC"/>
    <w:rsid w:val="00AE1D98"/>
    <w:rsid w:val="00AE3EF0"/>
    <w:rsid w:val="00AE4275"/>
    <w:rsid w:val="00AF0391"/>
    <w:rsid w:val="00AF147B"/>
    <w:rsid w:val="00AF45AF"/>
    <w:rsid w:val="00AF54C0"/>
    <w:rsid w:val="00AF69BD"/>
    <w:rsid w:val="00B01338"/>
    <w:rsid w:val="00B0307F"/>
    <w:rsid w:val="00B040C1"/>
    <w:rsid w:val="00B048DC"/>
    <w:rsid w:val="00B049F6"/>
    <w:rsid w:val="00B15756"/>
    <w:rsid w:val="00B15F4C"/>
    <w:rsid w:val="00B20F8E"/>
    <w:rsid w:val="00B235DA"/>
    <w:rsid w:val="00B269E6"/>
    <w:rsid w:val="00B310DB"/>
    <w:rsid w:val="00B340DA"/>
    <w:rsid w:val="00B349C6"/>
    <w:rsid w:val="00B37828"/>
    <w:rsid w:val="00B40717"/>
    <w:rsid w:val="00B415C9"/>
    <w:rsid w:val="00B432CD"/>
    <w:rsid w:val="00B4461D"/>
    <w:rsid w:val="00B44F31"/>
    <w:rsid w:val="00B46987"/>
    <w:rsid w:val="00B503DE"/>
    <w:rsid w:val="00B55E8C"/>
    <w:rsid w:val="00B568BD"/>
    <w:rsid w:val="00B60A11"/>
    <w:rsid w:val="00B62B54"/>
    <w:rsid w:val="00B640E7"/>
    <w:rsid w:val="00B643B8"/>
    <w:rsid w:val="00B70254"/>
    <w:rsid w:val="00B70726"/>
    <w:rsid w:val="00B76466"/>
    <w:rsid w:val="00B77970"/>
    <w:rsid w:val="00B82A75"/>
    <w:rsid w:val="00B841E4"/>
    <w:rsid w:val="00B849CA"/>
    <w:rsid w:val="00B87F83"/>
    <w:rsid w:val="00B91E8F"/>
    <w:rsid w:val="00B92F7A"/>
    <w:rsid w:val="00BA1086"/>
    <w:rsid w:val="00BA3B39"/>
    <w:rsid w:val="00BA72DC"/>
    <w:rsid w:val="00BB3536"/>
    <w:rsid w:val="00BB49B2"/>
    <w:rsid w:val="00BB73AF"/>
    <w:rsid w:val="00BC1E0C"/>
    <w:rsid w:val="00BC31F7"/>
    <w:rsid w:val="00BC7160"/>
    <w:rsid w:val="00BC7B99"/>
    <w:rsid w:val="00BD166C"/>
    <w:rsid w:val="00BE16B1"/>
    <w:rsid w:val="00BE377D"/>
    <w:rsid w:val="00BE6637"/>
    <w:rsid w:val="00BF0E7F"/>
    <w:rsid w:val="00BF4294"/>
    <w:rsid w:val="00BF43E5"/>
    <w:rsid w:val="00BF5CAD"/>
    <w:rsid w:val="00C016BE"/>
    <w:rsid w:val="00C06AEC"/>
    <w:rsid w:val="00C07F0B"/>
    <w:rsid w:val="00C07FE5"/>
    <w:rsid w:val="00C10661"/>
    <w:rsid w:val="00C107FC"/>
    <w:rsid w:val="00C108C6"/>
    <w:rsid w:val="00C10DB0"/>
    <w:rsid w:val="00C119ED"/>
    <w:rsid w:val="00C12EDA"/>
    <w:rsid w:val="00C13532"/>
    <w:rsid w:val="00C14401"/>
    <w:rsid w:val="00C20308"/>
    <w:rsid w:val="00C23235"/>
    <w:rsid w:val="00C27F02"/>
    <w:rsid w:val="00C3213D"/>
    <w:rsid w:val="00C339E4"/>
    <w:rsid w:val="00C40F46"/>
    <w:rsid w:val="00C42AD4"/>
    <w:rsid w:val="00C4309F"/>
    <w:rsid w:val="00C455C6"/>
    <w:rsid w:val="00C45FA9"/>
    <w:rsid w:val="00C465A9"/>
    <w:rsid w:val="00C47404"/>
    <w:rsid w:val="00C56AA8"/>
    <w:rsid w:val="00C57520"/>
    <w:rsid w:val="00C60FB5"/>
    <w:rsid w:val="00C62066"/>
    <w:rsid w:val="00C64254"/>
    <w:rsid w:val="00C64C9A"/>
    <w:rsid w:val="00C66303"/>
    <w:rsid w:val="00C66E2D"/>
    <w:rsid w:val="00C71693"/>
    <w:rsid w:val="00C73D0D"/>
    <w:rsid w:val="00C7430B"/>
    <w:rsid w:val="00C74328"/>
    <w:rsid w:val="00C74C74"/>
    <w:rsid w:val="00C75744"/>
    <w:rsid w:val="00C761E6"/>
    <w:rsid w:val="00C80A78"/>
    <w:rsid w:val="00C80F23"/>
    <w:rsid w:val="00C854A1"/>
    <w:rsid w:val="00C859B0"/>
    <w:rsid w:val="00C86A55"/>
    <w:rsid w:val="00C86B99"/>
    <w:rsid w:val="00C9025B"/>
    <w:rsid w:val="00C97C35"/>
    <w:rsid w:val="00CA4AAE"/>
    <w:rsid w:val="00CB068E"/>
    <w:rsid w:val="00CB169B"/>
    <w:rsid w:val="00CB2B64"/>
    <w:rsid w:val="00CB2B7C"/>
    <w:rsid w:val="00CB48AC"/>
    <w:rsid w:val="00CB5E99"/>
    <w:rsid w:val="00CC00D4"/>
    <w:rsid w:val="00CC2FCC"/>
    <w:rsid w:val="00CC62A8"/>
    <w:rsid w:val="00CD3233"/>
    <w:rsid w:val="00CD4340"/>
    <w:rsid w:val="00CD48AC"/>
    <w:rsid w:val="00CD72E7"/>
    <w:rsid w:val="00CD79FA"/>
    <w:rsid w:val="00CE0FAA"/>
    <w:rsid w:val="00CE4690"/>
    <w:rsid w:val="00CE6911"/>
    <w:rsid w:val="00CF089D"/>
    <w:rsid w:val="00CF598F"/>
    <w:rsid w:val="00CF77B9"/>
    <w:rsid w:val="00D00443"/>
    <w:rsid w:val="00D00691"/>
    <w:rsid w:val="00D00B25"/>
    <w:rsid w:val="00D01B39"/>
    <w:rsid w:val="00D02BB9"/>
    <w:rsid w:val="00D05914"/>
    <w:rsid w:val="00D0609E"/>
    <w:rsid w:val="00D10507"/>
    <w:rsid w:val="00D11F7D"/>
    <w:rsid w:val="00D12C49"/>
    <w:rsid w:val="00D20980"/>
    <w:rsid w:val="00D21B37"/>
    <w:rsid w:val="00D23812"/>
    <w:rsid w:val="00D25113"/>
    <w:rsid w:val="00D27F59"/>
    <w:rsid w:val="00D27F65"/>
    <w:rsid w:val="00D30DC9"/>
    <w:rsid w:val="00D3407E"/>
    <w:rsid w:val="00D3546A"/>
    <w:rsid w:val="00D356FF"/>
    <w:rsid w:val="00D37559"/>
    <w:rsid w:val="00D4300F"/>
    <w:rsid w:val="00D43FA1"/>
    <w:rsid w:val="00D4552F"/>
    <w:rsid w:val="00D47514"/>
    <w:rsid w:val="00D47EE6"/>
    <w:rsid w:val="00D510AC"/>
    <w:rsid w:val="00D513EF"/>
    <w:rsid w:val="00D539DF"/>
    <w:rsid w:val="00D56C3D"/>
    <w:rsid w:val="00D56C5F"/>
    <w:rsid w:val="00D56E02"/>
    <w:rsid w:val="00D57D67"/>
    <w:rsid w:val="00D60EED"/>
    <w:rsid w:val="00D6121C"/>
    <w:rsid w:val="00D61FA7"/>
    <w:rsid w:val="00D62AA5"/>
    <w:rsid w:val="00D64ED7"/>
    <w:rsid w:val="00D701EB"/>
    <w:rsid w:val="00D70ABA"/>
    <w:rsid w:val="00D7191C"/>
    <w:rsid w:val="00D767D7"/>
    <w:rsid w:val="00D77D9F"/>
    <w:rsid w:val="00D8525F"/>
    <w:rsid w:val="00D878EA"/>
    <w:rsid w:val="00D92621"/>
    <w:rsid w:val="00D95BBC"/>
    <w:rsid w:val="00DA55F6"/>
    <w:rsid w:val="00DA7A9F"/>
    <w:rsid w:val="00DB01DD"/>
    <w:rsid w:val="00DB0F34"/>
    <w:rsid w:val="00DB13D5"/>
    <w:rsid w:val="00DB1458"/>
    <w:rsid w:val="00DB19D9"/>
    <w:rsid w:val="00DB38B5"/>
    <w:rsid w:val="00DB3CF9"/>
    <w:rsid w:val="00DC00C7"/>
    <w:rsid w:val="00DC1531"/>
    <w:rsid w:val="00DC2157"/>
    <w:rsid w:val="00DC2C36"/>
    <w:rsid w:val="00DC36D5"/>
    <w:rsid w:val="00DC380F"/>
    <w:rsid w:val="00DC401B"/>
    <w:rsid w:val="00DC4992"/>
    <w:rsid w:val="00DD1A0D"/>
    <w:rsid w:val="00DD71AC"/>
    <w:rsid w:val="00DE03A2"/>
    <w:rsid w:val="00DE24D8"/>
    <w:rsid w:val="00DE7695"/>
    <w:rsid w:val="00DF0740"/>
    <w:rsid w:val="00DF477E"/>
    <w:rsid w:val="00DF4E86"/>
    <w:rsid w:val="00DF53DA"/>
    <w:rsid w:val="00DF7321"/>
    <w:rsid w:val="00DF781E"/>
    <w:rsid w:val="00E04BC7"/>
    <w:rsid w:val="00E05E20"/>
    <w:rsid w:val="00E1185F"/>
    <w:rsid w:val="00E132B2"/>
    <w:rsid w:val="00E14CCC"/>
    <w:rsid w:val="00E15C50"/>
    <w:rsid w:val="00E24156"/>
    <w:rsid w:val="00E24BD3"/>
    <w:rsid w:val="00E259E6"/>
    <w:rsid w:val="00E2699B"/>
    <w:rsid w:val="00E315B2"/>
    <w:rsid w:val="00E31DBA"/>
    <w:rsid w:val="00E322AC"/>
    <w:rsid w:val="00E333E7"/>
    <w:rsid w:val="00E33C95"/>
    <w:rsid w:val="00E34002"/>
    <w:rsid w:val="00E369A7"/>
    <w:rsid w:val="00E36DB1"/>
    <w:rsid w:val="00E41803"/>
    <w:rsid w:val="00E47946"/>
    <w:rsid w:val="00E5019C"/>
    <w:rsid w:val="00E508C1"/>
    <w:rsid w:val="00E53816"/>
    <w:rsid w:val="00E54627"/>
    <w:rsid w:val="00E54B36"/>
    <w:rsid w:val="00E55ABC"/>
    <w:rsid w:val="00E562A2"/>
    <w:rsid w:val="00E6133B"/>
    <w:rsid w:val="00E647EA"/>
    <w:rsid w:val="00E64AE6"/>
    <w:rsid w:val="00E66B13"/>
    <w:rsid w:val="00E71594"/>
    <w:rsid w:val="00E71B70"/>
    <w:rsid w:val="00E733ED"/>
    <w:rsid w:val="00E779E1"/>
    <w:rsid w:val="00E77C05"/>
    <w:rsid w:val="00E85935"/>
    <w:rsid w:val="00E8663B"/>
    <w:rsid w:val="00E94E49"/>
    <w:rsid w:val="00EA266D"/>
    <w:rsid w:val="00EA4993"/>
    <w:rsid w:val="00EB3709"/>
    <w:rsid w:val="00EB6BAB"/>
    <w:rsid w:val="00EC00AE"/>
    <w:rsid w:val="00EC0CBB"/>
    <w:rsid w:val="00EC1617"/>
    <w:rsid w:val="00EC558E"/>
    <w:rsid w:val="00EC7455"/>
    <w:rsid w:val="00ED0657"/>
    <w:rsid w:val="00ED07F3"/>
    <w:rsid w:val="00ED663D"/>
    <w:rsid w:val="00ED7B1E"/>
    <w:rsid w:val="00EE62A1"/>
    <w:rsid w:val="00EE62CE"/>
    <w:rsid w:val="00EF47B1"/>
    <w:rsid w:val="00F014BA"/>
    <w:rsid w:val="00F04411"/>
    <w:rsid w:val="00F04D45"/>
    <w:rsid w:val="00F061D0"/>
    <w:rsid w:val="00F063FD"/>
    <w:rsid w:val="00F07168"/>
    <w:rsid w:val="00F121FF"/>
    <w:rsid w:val="00F129A9"/>
    <w:rsid w:val="00F15200"/>
    <w:rsid w:val="00F16E27"/>
    <w:rsid w:val="00F170F3"/>
    <w:rsid w:val="00F2201E"/>
    <w:rsid w:val="00F23790"/>
    <w:rsid w:val="00F23F16"/>
    <w:rsid w:val="00F24484"/>
    <w:rsid w:val="00F2606D"/>
    <w:rsid w:val="00F279DE"/>
    <w:rsid w:val="00F35C02"/>
    <w:rsid w:val="00F40436"/>
    <w:rsid w:val="00F4137A"/>
    <w:rsid w:val="00F44B92"/>
    <w:rsid w:val="00F5065C"/>
    <w:rsid w:val="00F51C87"/>
    <w:rsid w:val="00F535BE"/>
    <w:rsid w:val="00F56D0C"/>
    <w:rsid w:val="00F637BF"/>
    <w:rsid w:val="00F64036"/>
    <w:rsid w:val="00F7167A"/>
    <w:rsid w:val="00F727C8"/>
    <w:rsid w:val="00F73908"/>
    <w:rsid w:val="00F80850"/>
    <w:rsid w:val="00F8576F"/>
    <w:rsid w:val="00F85FFE"/>
    <w:rsid w:val="00F907B0"/>
    <w:rsid w:val="00F9186A"/>
    <w:rsid w:val="00F91DBD"/>
    <w:rsid w:val="00F92B69"/>
    <w:rsid w:val="00F92FFA"/>
    <w:rsid w:val="00F957C5"/>
    <w:rsid w:val="00F95E71"/>
    <w:rsid w:val="00FA0EB5"/>
    <w:rsid w:val="00FA1B15"/>
    <w:rsid w:val="00FA564F"/>
    <w:rsid w:val="00FA7FE4"/>
    <w:rsid w:val="00FB17AA"/>
    <w:rsid w:val="00FB3AAE"/>
    <w:rsid w:val="00FB4098"/>
    <w:rsid w:val="00FB523D"/>
    <w:rsid w:val="00FB68F5"/>
    <w:rsid w:val="00FC4635"/>
    <w:rsid w:val="00FC68ED"/>
    <w:rsid w:val="00FD0941"/>
    <w:rsid w:val="00FD0C0F"/>
    <w:rsid w:val="00FE1333"/>
    <w:rsid w:val="00FE14FD"/>
    <w:rsid w:val="00FE1714"/>
    <w:rsid w:val="00FE657D"/>
    <w:rsid w:val="00FF0A67"/>
    <w:rsid w:val="00FF2040"/>
    <w:rsid w:val="00FF2546"/>
    <w:rsid w:val="00FF65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4004A1"/>
  <w15:docId w15:val="{A66F0216-75A1-4E2C-9C3A-EDA13697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9"/>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9"/>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9"/>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9"/>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44D5"/>
    <w:rPr>
      <w:color w:val="0000FF"/>
      <w:u w:val="single"/>
    </w:rPr>
  </w:style>
  <w:style w:type="character" w:styleId="CommentReference">
    <w:name w:val="annotation reference"/>
    <w:semiHidden/>
    <w:rsid w:val="00DA7A9F"/>
    <w:rPr>
      <w:sz w:val="16"/>
      <w:szCs w:val="16"/>
    </w:rPr>
  </w:style>
  <w:style w:type="paragraph" w:styleId="CommentText">
    <w:name w:val="annotation text"/>
    <w:basedOn w:val="Normal"/>
    <w:link w:val="CommentTextChar"/>
    <w:semiHidden/>
    <w:rsid w:val="00DA7A9F"/>
    <w:pPr>
      <w:spacing w:before="0" w:after="0" w:line="360" w:lineRule="exact"/>
      <w:jc w:val="left"/>
    </w:pPr>
    <w:rPr>
      <w:rFonts w:ascii="Times New Roman" w:eastAsia="Times New Roman" w:hAnsi="Times New Roman" w:cs="Times New Roman"/>
      <w:sz w:val="20"/>
      <w:szCs w:val="20"/>
      <w:lang w:eastAsia="de-DE"/>
    </w:rPr>
  </w:style>
  <w:style w:type="character" w:customStyle="1" w:styleId="CommentTextChar">
    <w:name w:val="Comment Text Char"/>
    <w:basedOn w:val="DefaultParagraphFont"/>
    <w:link w:val="CommentText"/>
    <w:semiHidden/>
    <w:rsid w:val="00DA7A9F"/>
    <w:rPr>
      <w:rFonts w:ascii="Times New Roman" w:eastAsia="Times New Roman" w:hAnsi="Times New Roman" w:cs="Times New Roman"/>
      <w:sz w:val="20"/>
      <w:szCs w:val="20"/>
      <w:lang w:eastAsia="de-DE"/>
    </w:rPr>
  </w:style>
  <w:style w:type="paragraph" w:styleId="BalloonText">
    <w:name w:val="Balloon Text"/>
    <w:basedOn w:val="Normal"/>
    <w:link w:val="BalloonTextChar"/>
    <w:uiPriority w:val="99"/>
    <w:semiHidden/>
    <w:unhideWhenUsed/>
    <w:rsid w:val="00DA7A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A9F"/>
    <w:rPr>
      <w:rFonts w:ascii="Tahoma" w:hAnsi="Tahoma" w:cs="Tahoma"/>
      <w:sz w:val="16"/>
      <w:szCs w:val="16"/>
    </w:rPr>
  </w:style>
  <w:style w:type="paragraph" w:customStyle="1" w:styleId="Normal-Absatz">
    <w:name w:val="Normal-Absatz"/>
    <w:basedOn w:val="Normal"/>
    <w:rsid w:val="007B13BA"/>
    <w:pPr>
      <w:spacing w:before="0" w:after="0" w:line="360" w:lineRule="auto"/>
      <w:jc w:val="left"/>
    </w:pPr>
    <w:rPr>
      <w:rFonts w:eastAsia="Times New Roman" w:cs="Times New Roman"/>
      <w:szCs w:val="20"/>
      <w:lang w:eastAsia="de-DE"/>
    </w:rPr>
  </w:style>
  <w:style w:type="paragraph" w:customStyle="1" w:styleId="CM1">
    <w:name w:val="CM1"/>
    <w:basedOn w:val="Normal"/>
    <w:next w:val="Normal"/>
    <w:uiPriority w:val="99"/>
    <w:rsid w:val="00CB5E99"/>
    <w:pPr>
      <w:autoSpaceDE w:val="0"/>
      <w:autoSpaceDN w:val="0"/>
      <w:adjustRightInd w:val="0"/>
      <w:spacing w:before="0" w:after="0"/>
      <w:jc w:val="left"/>
    </w:pPr>
    <w:rPr>
      <w:rFonts w:ascii="Times New Roman" w:eastAsia="Times New Roman" w:hAnsi="Times New Roman" w:cs="Times New Roman"/>
      <w:sz w:val="24"/>
      <w:szCs w:val="24"/>
      <w:lang w:eastAsia="de-DE"/>
    </w:rPr>
  </w:style>
  <w:style w:type="paragraph" w:styleId="CommentSubject">
    <w:name w:val="annotation subject"/>
    <w:basedOn w:val="CommentText"/>
    <w:next w:val="CommentText"/>
    <w:link w:val="CommentSubjectChar"/>
    <w:uiPriority w:val="99"/>
    <w:semiHidden/>
    <w:unhideWhenUsed/>
    <w:rsid w:val="005F1658"/>
    <w:pPr>
      <w:spacing w:before="120" w:after="120" w:line="240" w:lineRule="auto"/>
      <w:jc w:val="both"/>
    </w:pPr>
    <w:rPr>
      <w:rFonts w:ascii="Arial" w:eastAsiaTheme="minorHAnsi" w:hAnsi="Arial" w:cs="Arial"/>
      <w:b/>
      <w:bCs/>
      <w:lang w:eastAsia="en-US"/>
    </w:rPr>
  </w:style>
  <w:style w:type="character" w:customStyle="1" w:styleId="CommentSubjectChar">
    <w:name w:val="Comment Subject Char"/>
    <w:basedOn w:val="CommentTextChar"/>
    <w:link w:val="CommentSubject"/>
    <w:uiPriority w:val="99"/>
    <w:semiHidden/>
    <w:rsid w:val="005F1658"/>
    <w:rPr>
      <w:rFonts w:ascii="Arial" w:eastAsia="Times New Roman" w:hAnsi="Arial" w:cs="Arial"/>
      <w:b/>
      <w:bCs/>
      <w:sz w:val="20"/>
      <w:szCs w:val="20"/>
      <w:lang w:eastAsia="de-DE"/>
    </w:rPr>
  </w:style>
  <w:style w:type="paragraph" w:styleId="Revision">
    <w:name w:val="Revision"/>
    <w:hidden/>
    <w:uiPriority w:val="99"/>
    <w:semiHidden/>
    <w:rsid w:val="005F1658"/>
    <w:pPr>
      <w:spacing w:after="0" w:line="240" w:lineRule="auto"/>
    </w:pPr>
    <w:rPr>
      <w:rFonts w:ascii="Arial" w:hAnsi="Arial" w:cs="Arial"/>
    </w:rPr>
  </w:style>
  <w:style w:type="paragraph" w:styleId="ListParagraph">
    <w:name w:val="List Paragraph"/>
    <w:basedOn w:val="Normal"/>
    <w:uiPriority w:val="34"/>
    <w:qFormat/>
    <w:rsid w:val="00D510AC"/>
    <w:pPr>
      <w:spacing w:before="0" w:after="0"/>
      <w:ind w:left="720"/>
      <w:jc w:val="left"/>
    </w:pPr>
    <w:rPr>
      <w:rFonts w:ascii="Times New Roman" w:hAnsi="Times New Roman" w:cs="Times New Roman"/>
      <w:sz w:val="24"/>
      <w:szCs w:val="24"/>
      <w:lang w:eastAsia="de-DE"/>
    </w:rPr>
  </w:style>
  <w:style w:type="paragraph" w:styleId="NormalWeb">
    <w:name w:val="Normal (Web)"/>
    <w:basedOn w:val="Normal"/>
    <w:uiPriority w:val="99"/>
    <w:semiHidden/>
    <w:unhideWhenUsed/>
    <w:rsid w:val="008036EA"/>
    <w:pPr>
      <w:spacing w:before="100" w:beforeAutospacing="1" w:after="100" w:afterAutospacing="1"/>
      <w:jc w:val="left"/>
    </w:pPr>
    <w:rPr>
      <w:rFonts w:ascii="Times New Roman" w:eastAsia="Times New Roman" w:hAnsi="Times New Roman" w:cs="Times New Roman"/>
      <w:sz w:val="24"/>
      <w:szCs w:val="24"/>
      <w:lang w:eastAsia="de-DE"/>
    </w:rPr>
  </w:style>
  <w:style w:type="character" w:styleId="Emphasis">
    <w:name w:val="Emphasis"/>
    <w:basedOn w:val="DefaultParagraphFont"/>
    <w:uiPriority w:val="20"/>
    <w:qFormat/>
    <w:rsid w:val="00AC0558"/>
    <w:rPr>
      <w:i/>
      <w:iCs/>
    </w:rPr>
  </w:style>
  <w:style w:type="table" w:styleId="TableGrid">
    <w:name w:val="Table Grid"/>
    <w:basedOn w:val="TableNormal"/>
    <w:uiPriority w:val="59"/>
    <w:rsid w:val="004E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568F"/>
    <w:pPr>
      <w:autoSpaceDE w:val="0"/>
      <w:autoSpaceDN w:val="0"/>
      <w:adjustRightInd w:val="0"/>
      <w:spacing w:after="0" w:line="240" w:lineRule="auto"/>
    </w:pPr>
    <w:rPr>
      <w:rFonts w:ascii="MetaNormalLF-Roman" w:hAnsi="MetaNormalLF-Roman" w:cs="MetaNormalLF-Roman"/>
      <w:color w:val="000000"/>
      <w:sz w:val="24"/>
      <w:szCs w:val="24"/>
    </w:rPr>
  </w:style>
  <w:style w:type="paragraph" w:customStyle="1" w:styleId="CVUAGru">
    <w:name w:val="CVUA_Gruß"/>
    <w:basedOn w:val="Normal"/>
    <w:rsid w:val="007C7B00"/>
    <w:pPr>
      <w:tabs>
        <w:tab w:val="left" w:pos="13608"/>
      </w:tabs>
      <w:overflowPunct w:val="0"/>
      <w:autoSpaceDE w:val="0"/>
      <w:autoSpaceDN w:val="0"/>
      <w:adjustRightInd w:val="0"/>
      <w:spacing w:before="0" w:after="0" w:line="360" w:lineRule="auto"/>
      <w:jc w:val="left"/>
    </w:pPr>
    <w:rPr>
      <w:rFonts w:eastAsia="Times New Roman" w:cs="Times New Roman"/>
      <w:szCs w:val="20"/>
      <w:lang w:eastAsia="de-DE"/>
    </w:rPr>
  </w:style>
  <w:style w:type="character" w:customStyle="1" w:styleId="apple-converted-space">
    <w:name w:val="apple-converted-space"/>
    <w:basedOn w:val="DefaultParagraphFont"/>
    <w:rsid w:val="00B70726"/>
  </w:style>
  <w:style w:type="character" w:customStyle="1" w:styleId="wordmark">
    <w:name w:val="wordmark"/>
    <w:basedOn w:val="DefaultParagraphFont"/>
    <w:rsid w:val="00B70726"/>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15"/>
      </w:numPr>
      <w:spacing w:before="60" w:after="60"/>
    </w:pPr>
    <w:rPr>
      <w:sz w:val="18"/>
    </w:rPr>
  </w:style>
  <w:style w:type="paragraph" w:customStyle="1" w:styleId="TabelleListe">
    <w:name w:val="Tabelle Liste"/>
    <w:basedOn w:val="Normal"/>
    <w:rsid w:val="00A147E3"/>
    <w:pPr>
      <w:numPr>
        <w:numId w:val="16"/>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14"/>
      </w:numPr>
      <w:tabs>
        <w:tab w:val="left" w:pos="0"/>
      </w:tabs>
    </w:pPr>
  </w:style>
  <w:style w:type="paragraph" w:customStyle="1" w:styleId="ListeFolgeabsatzStufe1">
    <w:name w:val="Liste Folgeabsatz (Stufe 1)"/>
    <w:basedOn w:val="Normal"/>
    <w:rsid w:val="00A147E3"/>
    <w:pPr>
      <w:numPr>
        <w:ilvl w:val="1"/>
        <w:numId w:val="14"/>
      </w:numPr>
    </w:pPr>
  </w:style>
  <w:style w:type="paragraph" w:customStyle="1" w:styleId="ListeStufe2">
    <w:name w:val="Liste (Stufe 2)"/>
    <w:basedOn w:val="Normal"/>
    <w:rsid w:val="00A147E3"/>
    <w:pPr>
      <w:numPr>
        <w:ilvl w:val="2"/>
        <w:numId w:val="14"/>
      </w:numPr>
    </w:pPr>
  </w:style>
  <w:style w:type="paragraph" w:customStyle="1" w:styleId="ListeFolgeabsatzStufe2">
    <w:name w:val="Liste Folgeabsatz (Stufe 2)"/>
    <w:basedOn w:val="Normal"/>
    <w:rsid w:val="00A147E3"/>
    <w:pPr>
      <w:numPr>
        <w:ilvl w:val="3"/>
        <w:numId w:val="14"/>
      </w:numPr>
    </w:pPr>
  </w:style>
  <w:style w:type="paragraph" w:customStyle="1" w:styleId="ListeStufe3">
    <w:name w:val="Liste (Stufe 3)"/>
    <w:basedOn w:val="Normal"/>
    <w:rsid w:val="00A147E3"/>
    <w:pPr>
      <w:numPr>
        <w:ilvl w:val="4"/>
        <w:numId w:val="14"/>
      </w:numPr>
    </w:pPr>
  </w:style>
  <w:style w:type="paragraph" w:customStyle="1" w:styleId="ListeFolgeabsatzStufe3">
    <w:name w:val="Liste Folgeabsatz (Stufe 3)"/>
    <w:basedOn w:val="Normal"/>
    <w:rsid w:val="00A147E3"/>
    <w:pPr>
      <w:numPr>
        <w:ilvl w:val="5"/>
        <w:numId w:val="14"/>
      </w:numPr>
    </w:pPr>
  </w:style>
  <w:style w:type="paragraph" w:customStyle="1" w:styleId="ListeStufe4">
    <w:name w:val="Liste (Stufe 4)"/>
    <w:basedOn w:val="Normal"/>
    <w:rsid w:val="00A147E3"/>
    <w:pPr>
      <w:numPr>
        <w:ilvl w:val="6"/>
        <w:numId w:val="14"/>
      </w:numPr>
    </w:pPr>
  </w:style>
  <w:style w:type="paragraph" w:customStyle="1" w:styleId="ListeFolgeabsatzStufe4">
    <w:name w:val="Liste Folgeabsatz (Stufe 4)"/>
    <w:basedOn w:val="Normal"/>
    <w:rsid w:val="00A147E3"/>
    <w:pPr>
      <w:numPr>
        <w:ilvl w:val="7"/>
        <w:numId w:val="14"/>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9"/>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10"/>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11"/>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12"/>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13"/>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9"/>
      </w:numPr>
      <w:outlineLvl w:val="5"/>
    </w:pPr>
  </w:style>
  <w:style w:type="paragraph" w:customStyle="1" w:styleId="NummerierungStufe2">
    <w:name w:val="Nummerierung (Stufe 2)"/>
    <w:basedOn w:val="Normal"/>
    <w:rsid w:val="00A147E3"/>
    <w:pPr>
      <w:numPr>
        <w:ilvl w:val="4"/>
        <w:numId w:val="29"/>
      </w:numPr>
    </w:pPr>
  </w:style>
  <w:style w:type="paragraph" w:customStyle="1" w:styleId="NummerierungStufe3">
    <w:name w:val="Nummerierung (Stufe 3)"/>
    <w:basedOn w:val="Normal"/>
    <w:rsid w:val="00A147E3"/>
    <w:pPr>
      <w:numPr>
        <w:ilvl w:val="5"/>
        <w:numId w:val="29"/>
      </w:numPr>
    </w:pPr>
  </w:style>
  <w:style w:type="paragraph" w:customStyle="1" w:styleId="NummerierungStufe4">
    <w:name w:val="Nummerierung (Stufe 4)"/>
    <w:basedOn w:val="Normal"/>
    <w:rsid w:val="00A147E3"/>
    <w:pPr>
      <w:numPr>
        <w:ilvl w:val="6"/>
        <w:numId w:val="29"/>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7"/>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18"/>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30"/>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9"/>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29"/>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31"/>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32"/>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31"/>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32"/>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31"/>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32"/>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31"/>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32"/>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31"/>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32"/>
      </w:numPr>
      <w:spacing w:after="240"/>
      <w:jc w:val="center"/>
      <w:outlineLvl w:val="2"/>
    </w:pPr>
  </w:style>
  <w:style w:type="paragraph" w:customStyle="1" w:styleId="TitelBezeichner">
    <w:name w:val="Titel Bezeichner"/>
    <w:basedOn w:val="Normal"/>
    <w:next w:val="Titelberschrift"/>
    <w:rsid w:val="00A147E3"/>
    <w:pPr>
      <w:keepNext/>
      <w:numPr>
        <w:ilvl w:val="5"/>
        <w:numId w:val="31"/>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32"/>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31"/>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32"/>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33"/>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33"/>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20"/>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20"/>
      </w:numPr>
    </w:pPr>
    <w:rPr>
      <w:color w:val="800000"/>
    </w:rPr>
  </w:style>
  <w:style w:type="paragraph" w:customStyle="1" w:styleId="RevisionNummerierungStufe2">
    <w:name w:val="Revision Nummerierung (Stufe 2)"/>
    <w:basedOn w:val="Normal"/>
    <w:rsid w:val="00A147E3"/>
    <w:pPr>
      <w:numPr>
        <w:ilvl w:val="4"/>
        <w:numId w:val="20"/>
      </w:numPr>
    </w:pPr>
    <w:rPr>
      <w:color w:val="800000"/>
    </w:rPr>
  </w:style>
  <w:style w:type="paragraph" w:customStyle="1" w:styleId="RevisionNummerierungStufe3">
    <w:name w:val="Revision Nummerierung (Stufe 3)"/>
    <w:basedOn w:val="Normal"/>
    <w:rsid w:val="00A147E3"/>
    <w:pPr>
      <w:numPr>
        <w:ilvl w:val="5"/>
        <w:numId w:val="20"/>
      </w:numPr>
    </w:pPr>
    <w:rPr>
      <w:color w:val="800000"/>
    </w:rPr>
  </w:style>
  <w:style w:type="paragraph" w:customStyle="1" w:styleId="RevisionNummerierungStufe4">
    <w:name w:val="Revision Nummerierung (Stufe 4)"/>
    <w:basedOn w:val="Normal"/>
    <w:rsid w:val="00A147E3"/>
    <w:pPr>
      <w:numPr>
        <w:ilvl w:val="6"/>
        <w:numId w:val="20"/>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20"/>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20"/>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7"/>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21"/>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21"/>
      </w:numPr>
    </w:pPr>
    <w:rPr>
      <w:color w:val="800000"/>
    </w:rPr>
  </w:style>
  <w:style w:type="paragraph" w:customStyle="1" w:styleId="RevisionListeStufe2">
    <w:name w:val="Revision Liste (Stufe 2)"/>
    <w:basedOn w:val="Normal"/>
    <w:rsid w:val="00A147E3"/>
    <w:pPr>
      <w:numPr>
        <w:ilvl w:val="2"/>
        <w:numId w:val="21"/>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21"/>
      </w:numPr>
    </w:pPr>
    <w:rPr>
      <w:color w:val="800000"/>
    </w:rPr>
  </w:style>
  <w:style w:type="paragraph" w:customStyle="1" w:styleId="RevisionListeStufe3">
    <w:name w:val="Revision Liste (Stufe 3)"/>
    <w:basedOn w:val="Normal"/>
    <w:rsid w:val="00A147E3"/>
    <w:pPr>
      <w:numPr>
        <w:ilvl w:val="4"/>
        <w:numId w:val="21"/>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21"/>
      </w:numPr>
    </w:pPr>
    <w:rPr>
      <w:color w:val="800000"/>
    </w:rPr>
  </w:style>
  <w:style w:type="paragraph" w:customStyle="1" w:styleId="RevisionListeStufe4">
    <w:name w:val="Revision Liste (Stufe 4)"/>
    <w:basedOn w:val="Normal"/>
    <w:rsid w:val="00A147E3"/>
    <w:pPr>
      <w:numPr>
        <w:ilvl w:val="6"/>
        <w:numId w:val="21"/>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21"/>
      </w:numPr>
    </w:pPr>
    <w:rPr>
      <w:color w:val="800000"/>
    </w:rPr>
  </w:style>
  <w:style w:type="paragraph" w:customStyle="1" w:styleId="RevisionAufzhlungStufe1">
    <w:name w:val="Revision Aufzählung (Stufe 1)"/>
    <w:basedOn w:val="Normal"/>
    <w:rsid w:val="00A147E3"/>
    <w:pPr>
      <w:numPr>
        <w:numId w:val="22"/>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23"/>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24"/>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25"/>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26"/>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8"/>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9"/>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407083">
      <w:bodyDiv w:val="1"/>
      <w:marLeft w:val="0"/>
      <w:marRight w:val="0"/>
      <w:marTop w:val="0"/>
      <w:marBottom w:val="0"/>
      <w:divBdr>
        <w:top w:val="none" w:sz="0" w:space="0" w:color="auto"/>
        <w:left w:val="none" w:sz="0" w:space="0" w:color="auto"/>
        <w:bottom w:val="none" w:sz="0" w:space="0" w:color="auto"/>
        <w:right w:val="none" w:sz="0" w:space="0" w:color="auto"/>
      </w:divBdr>
    </w:div>
    <w:div w:id="427625987">
      <w:bodyDiv w:val="1"/>
      <w:marLeft w:val="0"/>
      <w:marRight w:val="0"/>
      <w:marTop w:val="0"/>
      <w:marBottom w:val="0"/>
      <w:divBdr>
        <w:top w:val="none" w:sz="0" w:space="0" w:color="auto"/>
        <w:left w:val="none" w:sz="0" w:space="0" w:color="auto"/>
        <w:bottom w:val="none" w:sz="0" w:space="0" w:color="auto"/>
        <w:right w:val="none" w:sz="0" w:space="0" w:color="auto"/>
      </w:divBdr>
    </w:div>
    <w:div w:id="535854703">
      <w:bodyDiv w:val="1"/>
      <w:marLeft w:val="0"/>
      <w:marRight w:val="0"/>
      <w:marTop w:val="0"/>
      <w:marBottom w:val="0"/>
      <w:divBdr>
        <w:top w:val="none" w:sz="0" w:space="0" w:color="auto"/>
        <w:left w:val="none" w:sz="0" w:space="0" w:color="auto"/>
        <w:bottom w:val="none" w:sz="0" w:space="0" w:color="auto"/>
        <w:right w:val="none" w:sz="0" w:space="0" w:color="auto"/>
      </w:divBdr>
      <w:divsChild>
        <w:div w:id="2079745499">
          <w:marLeft w:val="0"/>
          <w:marRight w:val="0"/>
          <w:marTop w:val="0"/>
          <w:marBottom w:val="0"/>
          <w:divBdr>
            <w:top w:val="none" w:sz="0" w:space="0" w:color="auto"/>
            <w:left w:val="none" w:sz="0" w:space="0" w:color="auto"/>
            <w:bottom w:val="none" w:sz="0" w:space="0" w:color="auto"/>
            <w:right w:val="none" w:sz="0" w:space="0" w:color="auto"/>
          </w:divBdr>
          <w:divsChild>
            <w:div w:id="1737849462">
              <w:marLeft w:val="0"/>
              <w:marRight w:val="0"/>
              <w:marTop w:val="0"/>
              <w:marBottom w:val="0"/>
              <w:divBdr>
                <w:top w:val="none" w:sz="0" w:space="0" w:color="auto"/>
                <w:left w:val="none" w:sz="0" w:space="0" w:color="auto"/>
                <w:bottom w:val="none" w:sz="0" w:space="0" w:color="auto"/>
                <w:right w:val="none" w:sz="0" w:space="0" w:color="auto"/>
              </w:divBdr>
              <w:divsChild>
                <w:div w:id="1960069827">
                  <w:marLeft w:val="405"/>
                  <w:marRight w:val="75"/>
                  <w:marTop w:val="0"/>
                  <w:marBottom w:val="0"/>
                  <w:divBdr>
                    <w:top w:val="none" w:sz="0" w:space="0" w:color="auto"/>
                    <w:left w:val="none" w:sz="0" w:space="0" w:color="auto"/>
                    <w:bottom w:val="none" w:sz="0" w:space="0" w:color="auto"/>
                    <w:right w:val="none" w:sz="0" w:space="0" w:color="auto"/>
                  </w:divBdr>
                  <w:divsChild>
                    <w:div w:id="1732070215">
                      <w:marLeft w:val="0"/>
                      <w:marRight w:val="0"/>
                      <w:marTop w:val="120"/>
                      <w:marBottom w:val="0"/>
                      <w:divBdr>
                        <w:top w:val="none" w:sz="0" w:space="0" w:color="auto"/>
                        <w:left w:val="none" w:sz="0" w:space="0" w:color="auto"/>
                        <w:bottom w:val="none" w:sz="0" w:space="0" w:color="auto"/>
                        <w:right w:val="none" w:sz="0" w:space="0" w:color="auto"/>
                      </w:divBdr>
                      <w:divsChild>
                        <w:div w:id="1796558889">
                          <w:marLeft w:val="0"/>
                          <w:marRight w:val="0"/>
                          <w:marTop w:val="120"/>
                          <w:marBottom w:val="0"/>
                          <w:divBdr>
                            <w:top w:val="none" w:sz="0" w:space="0" w:color="auto"/>
                            <w:left w:val="none" w:sz="0" w:space="0" w:color="auto"/>
                            <w:bottom w:val="none" w:sz="0" w:space="0" w:color="auto"/>
                            <w:right w:val="none" w:sz="0" w:space="0" w:color="auto"/>
                          </w:divBdr>
                          <w:divsChild>
                            <w:div w:id="37434247">
                              <w:marLeft w:val="0"/>
                              <w:marRight w:val="0"/>
                              <w:marTop w:val="120"/>
                              <w:marBottom w:val="0"/>
                              <w:divBdr>
                                <w:top w:val="none" w:sz="0" w:space="0" w:color="auto"/>
                                <w:left w:val="none" w:sz="0" w:space="0" w:color="auto"/>
                                <w:bottom w:val="none" w:sz="0" w:space="0" w:color="auto"/>
                                <w:right w:val="none" w:sz="0" w:space="0" w:color="auto"/>
                              </w:divBdr>
                              <w:divsChild>
                                <w:div w:id="876233226">
                                  <w:marLeft w:val="150"/>
                                  <w:marRight w:val="0"/>
                                  <w:marTop w:val="240"/>
                                  <w:marBottom w:val="240"/>
                                  <w:divBdr>
                                    <w:top w:val="none" w:sz="0" w:space="0" w:color="auto"/>
                                    <w:left w:val="none" w:sz="0" w:space="0" w:color="auto"/>
                                    <w:bottom w:val="none" w:sz="0" w:space="0" w:color="auto"/>
                                    <w:right w:val="none" w:sz="0" w:space="0" w:color="auto"/>
                                  </w:divBdr>
                                </w:div>
                                <w:div w:id="1301687252">
                                  <w:marLeft w:val="0"/>
                                  <w:marRight w:val="0"/>
                                  <w:marTop w:val="120"/>
                                  <w:marBottom w:val="0"/>
                                  <w:divBdr>
                                    <w:top w:val="none" w:sz="0" w:space="0" w:color="auto"/>
                                    <w:left w:val="none" w:sz="0" w:space="0" w:color="auto"/>
                                    <w:bottom w:val="none" w:sz="0" w:space="0" w:color="auto"/>
                                    <w:right w:val="none" w:sz="0" w:space="0" w:color="auto"/>
                                  </w:divBdr>
                                  <w:divsChild>
                                    <w:div w:id="988168305">
                                      <w:marLeft w:val="0"/>
                                      <w:marRight w:val="0"/>
                                      <w:marTop w:val="0"/>
                                      <w:marBottom w:val="0"/>
                                      <w:divBdr>
                                        <w:top w:val="none" w:sz="0" w:space="0" w:color="auto"/>
                                        <w:left w:val="none" w:sz="0" w:space="0" w:color="auto"/>
                                        <w:bottom w:val="none" w:sz="0" w:space="0" w:color="auto"/>
                                        <w:right w:val="none" w:sz="0" w:space="0" w:color="auto"/>
                                      </w:divBdr>
                                      <w:divsChild>
                                        <w:div w:id="733117977">
                                          <w:marLeft w:val="0"/>
                                          <w:marRight w:val="0"/>
                                          <w:marTop w:val="0"/>
                                          <w:marBottom w:val="0"/>
                                          <w:divBdr>
                                            <w:top w:val="none" w:sz="0" w:space="0" w:color="auto"/>
                                            <w:left w:val="none" w:sz="0" w:space="0" w:color="auto"/>
                                            <w:bottom w:val="none" w:sz="0" w:space="0" w:color="auto"/>
                                            <w:right w:val="none" w:sz="0" w:space="0" w:color="auto"/>
                                          </w:divBdr>
                                          <w:divsChild>
                                            <w:div w:id="1797990294">
                                              <w:marLeft w:val="0"/>
                                              <w:marRight w:val="0"/>
                                              <w:marTop w:val="0"/>
                                              <w:marBottom w:val="0"/>
                                              <w:divBdr>
                                                <w:top w:val="none" w:sz="0" w:space="0" w:color="auto"/>
                                                <w:left w:val="none" w:sz="0" w:space="0" w:color="auto"/>
                                                <w:bottom w:val="none" w:sz="0" w:space="0" w:color="auto"/>
                                                <w:right w:val="none" w:sz="0" w:space="0" w:color="auto"/>
                                              </w:divBdr>
                                              <w:divsChild>
                                                <w:div w:id="662315423">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6837269">
      <w:bodyDiv w:val="1"/>
      <w:marLeft w:val="0"/>
      <w:marRight w:val="0"/>
      <w:marTop w:val="0"/>
      <w:marBottom w:val="0"/>
      <w:divBdr>
        <w:top w:val="none" w:sz="0" w:space="0" w:color="auto"/>
        <w:left w:val="none" w:sz="0" w:space="0" w:color="auto"/>
        <w:bottom w:val="none" w:sz="0" w:space="0" w:color="auto"/>
        <w:right w:val="none" w:sz="0" w:space="0" w:color="auto"/>
      </w:divBdr>
    </w:div>
    <w:div w:id="982734847">
      <w:bodyDiv w:val="1"/>
      <w:marLeft w:val="0"/>
      <w:marRight w:val="0"/>
      <w:marTop w:val="0"/>
      <w:marBottom w:val="0"/>
      <w:divBdr>
        <w:top w:val="none" w:sz="0" w:space="0" w:color="auto"/>
        <w:left w:val="none" w:sz="0" w:space="0" w:color="auto"/>
        <w:bottom w:val="none" w:sz="0" w:space="0" w:color="auto"/>
        <w:right w:val="none" w:sz="0" w:space="0" w:color="auto"/>
      </w:divBdr>
    </w:div>
    <w:div w:id="1266503457">
      <w:bodyDiv w:val="1"/>
      <w:marLeft w:val="0"/>
      <w:marRight w:val="0"/>
      <w:marTop w:val="0"/>
      <w:marBottom w:val="0"/>
      <w:divBdr>
        <w:top w:val="none" w:sz="0" w:space="0" w:color="auto"/>
        <w:left w:val="none" w:sz="0" w:space="0" w:color="auto"/>
        <w:bottom w:val="none" w:sz="0" w:space="0" w:color="auto"/>
        <w:right w:val="none" w:sz="0" w:space="0" w:color="auto"/>
      </w:divBdr>
    </w:div>
    <w:div w:id="1506628327">
      <w:bodyDiv w:val="1"/>
      <w:marLeft w:val="0"/>
      <w:marRight w:val="0"/>
      <w:marTop w:val="0"/>
      <w:marBottom w:val="0"/>
      <w:divBdr>
        <w:top w:val="none" w:sz="0" w:space="0" w:color="auto"/>
        <w:left w:val="none" w:sz="0" w:space="0" w:color="auto"/>
        <w:bottom w:val="none" w:sz="0" w:space="0" w:color="auto"/>
        <w:right w:val="none" w:sz="0" w:space="0" w:color="auto"/>
      </w:divBdr>
      <w:divsChild>
        <w:div w:id="1907453108">
          <w:marLeft w:val="0"/>
          <w:marRight w:val="0"/>
          <w:marTop w:val="0"/>
          <w:marBottom w:val="0"/>
          <w:divBdr>
            <w:top w:val="none" w:sz="0" w:space="0" w:color="auto"/>
            <w:left w:val="none" w:sz="0" w:space="0" w:color="auto"/>
            <w:bottom w:val="none" w:sz="0" w:space="0" w:color="auto"/>
            <w:right w:val="none" w:sz="0" w:space="0" w:color="auto"/>
          </w:divBdr>
          <w:divsChild>
            <w:div w:id="66273619">
              <w:marLeft w:val="0"/>
              <w:marRight w:val="0"/>
              <w:marTop w:val="0"/>
              <w:marBottom w:val="0"/>
              <w:divBdr>
                <w:top w:val="none" w:sz="0" w:space="0" w:color="auto"/>
                <w:left w:val="none" w:sz="0" w:space="0" w:color="auto"/>
                <w:bottom w:val="none" w:sz="0" w:space="0" w:color="auto"/>
                <w:right w:val="none" w:sz="0" w:space="0" w:color="auto"/>
              </w:divBdr>
              <w:divsChild>
                <w:div w:id="138769159">
                  <w:marLeft w:val="405"/>
                  <w:marRight w:val="75"/>
                  <w:marTop w:val="0"/>
                  <w:marBottom w:val="0"/>
                  <w:divBdr>
                    <w:top w:val="none" w:sz="0" w:space="0" w:color="auto"/>
                    <w:left w:val="none" w:sz="0" w:space="0" w:color="auto"/>
                    <w:bottom w:val="none" w:sz="0" w:space="0" w:color="auto"/>
                    <w:right w:val="none" w:sz="0" w:space="0" w:color="auto"/>
                  </w:divBdr>
                  <w:divsChild>
                    <w:div w:id="752505842">
                      <w:marLeft w:val="0"/>
                      <w:marRight w:val="0"/>
                      <w:marTop w:val="120"/>
                      <w:marBottom w:val="0"/>
                      <w:divBdr>
                        <w:top w:val="none" w:sz="0" w:space="0" w:color="auto"/>
                        <w:left w:val="none" w:sz="0" w:space="0" w:color="auto"/>
                        <w:bottom w:val="none" w:sz="0" w:space="0" w:color="auto"/>
                        <w:right w:val="none" w:sz="0" w:space="0" w:color="auto"/>
                      </w:divBdr>
                      <w:divsChild>
                        <w:div w:id="926500079">
                          <w:marLeft w:val="0"/>
                          <w:marRight w:val="0"/>
                          <w:marTop w:val="120"/>
                          <w:marBottom w:val="0"/>
                          <w:divBdr>
                            <w:top w:val="none" w:sz="0" w:space="0" w:color="auto"/>
                            <w:left w:val="none" w:sz="0" w:space="0" w:color="auto"/>
                            <w:bottom w:val="none" w:sz="0" w:space="0" w:color="auto"/>
                            <w:right w:val="none" w:sz="0" w:space="0" w:color="auto"/>
                          </w:divBdr>
                          <w:divsChild>
                            <w:div w:id="515509904">
                              <w:marLeft w:val="0"/>
                              <w:marRight w:val="0"/>
                              <w:marTop w:val="120"/>
                              <w:marBottom w:val="0"/>
                              <w:divBdr>
                                <w:top w:val="none" w:sz="0" w:space="0" w:color="auto"/>
                                <w:left w:val="none" w:sz="0" w:space="0" w:color="auto"/>
                                <w:bottom w:val="none" w:sz="0" w:space="0" w:color="auto"/>
                                <w:right w:val="none" w:sz="0" w:space="0" w:color="auto"/>
                              </w:divBdr>
                              <w:divsChild>
                                <w:div w:id="202639034">
                                  <w:marLeft w:val="150"/>
                                  <w:marRight w:val="0"/>
                                  <w:marTop w:val="240"/>
                                  <w:marBottom w:val="240"/>
                                  <w:divBdr>
                                    <w:top w:val="none" w:sz="0" w:space="0" w:color="auto"/>
                                    <w:left w:val="none" w:sz="0" w:space="0" w:color="auto"/>
                                    <w:bottom w:val="none" w:sz="0" w:space="0" w:color="auto"/>
                                    <w:right w:val="none" w:sz="0" w:space="0" w:color="auto"/>
                                  </w:divBdr>
                                </w:div>
                                <w:div w:id="1948346549">
                                  <w:marLeft w:val="0"/>
                                  <w:marRight w:val="0"/>
                                  <w:marTop w:val="120"/>
                                  <w:marBottom w:val="0"/>
                                  <w:divBdr>
                                    <w:top w:val="none" w:sz="0" w:space="0" w:color="auto"/>
                                    <w:left w:val="none" w:sz="0" w:space="0" w:color="auto"/>
                                    <w:bottom w:val="none" w:sz="0" w:space="0" w:color="auto"/>
                                    <w:right w:val="none" w:sz="0" w:space="0" w:color="auto"/>
                                  </w:divBdr>
                                  <w:divsChild>
                                    <w:div w:id="118571736">
                                      <w:marLeft w:val="0"/>
                                      <w:marRight w:val="0"/>
                                      <w:marTop w:val="0"/>
                                      <w:marBottom w:val="0"/>
                                      <w:divBdr>
                                        <w:top w:val="none" w:sz="0" w:space="0" w:color="auto"/>
                                        <w:left w:val="none" w:sz="0" w:space="0" w:color="auto"/>
                                        <w:bottom w:val="none" w:sz="0" w:space="0" w:color="auto"/>
                                        <w:right w:val="none" w:sz="0" w:space="0" w:color="auto"/>
                                      </w:divBdr>
                                      <w:divsChild>
                                        <w:div w:id="1003508732">
                                          <w:marLeft w:val="0"/>
                                          <w:marRight w:val="0"/>
                                          <w:marTop w:val="0"/>
                                          <w:marBottom w:val="0"/>
                                          <w:divBdr>
                                            <w:top w:val="none" w:sz="0" w:space="0" w:color="auto"/>
                                            <w:left w:val="none" w:sz="0" w:space="0" w:color="auto"/>
                                            <w:bottom w:val="none" w:sz="0" w:space="0" w:color="auto"/>
                                            <w:right w:val="none" w:sz="0" w:space="0" w:color="auto"/>
                                          </w:divBdr>
                                          <w:divsChild>
                                            <w:div w:id="1593930208">
                                              <w:marLeft w:val="0"/>
                                              <w:marRight w:val="0"/>
                                              <w:marTop w:val="0"/>
                                              <w:marBottom w:val="0"/>
                                              <w:divBdr>
                                                <w:top w:val="none" w:sz="0" w:space="0" w:color="auto"/>
                                                <w:left w:val="none" w:sz="0" w:space="0" w:color="auto"/>
                                                <w:bottom w:val="none" w:sz="0" w:space="0" w:color="auto"/>
                                                <w:right w:val="none" w:sz="0" w:space="0" w:color="auto"/>
                                              </w:divBdr>
                                              <w:divsChild>
                                                <w:div w:id="448135547">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585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fr.bund.de/cm/343/bestimmung-von-kohlenwasserstoffen-aus-mineraloel-oder-kunststoff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fr.bund.de/cm/343/messung-von-mineraloel-kohlenwasserstoffen-in-lebensmitteln-und-verpackungsmaterialien.pdf" TargetMode="External"/><Relationship Id="rId4" Type="http://schemas.openxmlformats.org/officeDocument/2006/relationships/settings" Target="settings.xml"/><Relationship Id="rId9" Type="http://schemas.openxmlformats.org/officeDocument/2006/relationships/hyperlink" Target="http://www.bfr.bund.de/cm/343/bestimmung-von-kohlenwasserstoffen-aus-mineraloel-oder-kunststoffen.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C1571-8292-4C95-A1C6-9D0508E8D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43</TotalTime>
  <Pages>19</Pages>
  <Words>7964</Words>
  <Characters>45397</Characters>
  <Application>Microsoft Office Word</Application>
  <DocSecurity>0</DocSecurity>
  <Lines>378</Lines>
  <Paragraphs>106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Bundesministerium der Justiz</Company>
  <LinksUpToDate>false</LinksUpToDate>
  <CharactersWithSpaces>53255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Adler, Katharina</dc:creator>
  <cp:lastModifiedBy>Diana STOICA</cp:lastModifiedBy>
  <cp:revision>4</cp:revision>
  <cp:lastPrinted>2020-07-29T12:01:00Z</cp:lastPrinted>
  <dcterms:created xsi:type="dcterms:W3CDTF">2020-08-17T12:48:00Z</dcterms:created>
  <dcterms:modified xsi:type="dcterms:W3CDTF">2020-08-31T11:44:00Z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14.08.2020  15:07 Uhr</vt:lpwstr>
  </property>
  <property fmtid="{D5CDD505-2E9C-101B-9397-08002B2CF9AE}" pid="3" name="Meta_Initiant">
    <vt:lpwstr>Bundesministerium der Justiz und fuer Verbraucherschutz</vt:lpwstr>
  </property>
  <property fmtid="{D5CDD505-2E9C-101B-9397-08002B2CF9AE}" pid="4" name="Version">
    <vt:lpwstr>3.12.2.0</vt:lpwstr>
  </property>
  <property fmtid="{D5CDD505-2E9C-101B-9397-08002B2CF9AE}" pid="5" name="Last edited using">
    <vt:lpwstr>LW 5.4, Build 20200526</vt:lpwstr>
  </property>
  <property fmtid="{D5CDD505-2E9C-101B-9397-08002B2CF9AE}" pid="6" name="Kategorie">
    <vt:lpwstr>AENDER/NOVVER</vt:lpwstr>
  </property>
  <property fmtid="{D5CDD505-2E9C-101B-9397-08002B2CF9AE}" pid="7" name="eNorm-Version vorherige Bearbeitung">
    <vt:lpwstr>4.1.5 Bundesregierung [20200526]</vt:lpwstr>
  </property>
  <property fmtid="{D5CDD505-2E9C-101B-9397-08002B2CF9AE}" pid="8" name="eNorm-Version Erstellung">
    <vt:lpwstr>3.12.4, Bundesregierung</vt:lpwstr>
  </property>
  <property fmtid="{D5CDD505-2E9C-101B-9397-08002B2CF9AE}" pid="9" name="Created using">
    <vt:lpwstr>LW 5.4, Build 20151231</vt:lpwstr>
  </property>
  <property fmtid="{D5CDD505-2E9C-101B-9397-08002B2CF9AE}" pid="10" name="Classification">
    <vt:lpwstr> </vt:lpwstr>
  </property>
  <property fmtid="{D5CDD505-2E9C-101B-9397-08002B2CF9AE}" pid="11" name="eNorm-Version letzte Bearbeitung">
    <vt:lpwstr>4.1.5 Bundesregierung [20200526]</vt:lpwstr>
  </property>
  <property fmtid="{D5CDD505-2E9C-101B-9397-08002B2CF9AE}" pid="12" name="DQP-Ergebnis für Version 4">
    <vt:lpwstr>130 Fehler</vt:lpwstr>
  </property>
  <property fmtid="{D5CDD505-2E9C-101B-9397-08002B2CF9AE}" pid="13" name="eNorm-Version letzte DQP">
    <vt:lpwstr>4.1.5, Bundesregierung, [20200526]</vt:lpwstr>
  </property>
  <property fmtid="{D5CDD505-2E9C-101B-9397-08002B2CF9AE}" pid="14" name="Meta_Bezeichnung">
    <vt:lpwstr>Zweiundzwanzigste Verordnung zur Änderung der Bedarfsgegenständeverordnung</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Einzelnovelle einer Verordnung</vt:lpwstr>
  </property>
  <property fmtid="{D5CDD505-2E9C-101B-9397-08002B2CF9AE}" pid="18" name="Meta_Umsetzung von EU-Recht">
    <vt:lpwstr>otifiziert gemäß der Richtlinie (EU) 2015/1535 des Europäischen Parlaments und des Rates vom 9. September 2015 über ein Informationsverfahren auf dem Gebiet der technischen Vorschriften und der Vorschriften für die Dienste der Informationsgesellschaft (AB</vt:lpwstr>
  </property>
  <property fmtid="{D5CDD505-2E9C-101B-9397-08002B2CF9AE}" pid="19" name="Meta_Umsetzung von EU-Recht_2">
    <vt:lpwstr>l. L 241 vom 17.9.2015, S. 1).</vt:lpwstr>
  </property>
  <property fmtid="{D5CDD505-2E9C-101B-9397-08002B2CF9AE}" pid="20" name="Meta_Anlagen">
    <vt:lpwstr/>
  </property>
</Properties>
</file>