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szCs w:val="20"/>
        </w:rPr>
        <w:t>1. ------IND- 2020 0510 D-- LT-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Federalinės mitybos ir žemės ūkio ministerijos projektas</w:t>
      </w:r>
    </w:p>
    <w:p w14:paraId="453D9A69" w14:textId="77777777" w:rsidR="006444D5" w:rsidRPr="00D43FA1" w:rsidRDefault="006444D5" w:rsidP="00D43FA1">
      <w:pPr>
        <w:pStyle w:val="Bezeichnungnderungsdokument"/>
        <w:keepNext/>
        <w:keepLines/>
      </w:pPr>
      <w:r>
        <w:t>XXII nutarimas, kuriuo iš dalies keičiamas Vartojimo reikmenų nutarimas</w:t>
      </w:r>
      <w:r>
        <w:rPr>
          <w:rStyle w:val="FootnoteReference"/>
        </w:rPr>
        <w:footnoteReference w:customMarkFollows="1" w:id="1"/>
        <w:t>1)</w:t>
      </w:r>
      <w:r>
        <w:t xml:space="preserve"> </w:t>
      </w:r>
    </w:p>
    <w:p w14:paraId="6759776C" w14:textId="77777777" w:rsidR="006444D5" w:rsidRPr="00D43FA1" w:rsidRDefault="006444D5" w:rsidP="00D43FA1">
      <w:pPr>
        <w:pStyle w:val="Ausfertigungsdatumnderungsdokument"/>
        <w:keepNext/>
        <w:keepLines/>
      </w:pPr>
      <w:r>
        <w:t>2020 m. ...</w:t>
      </w:r>
    </w:p>
    <w:p w14:paraId="6E475CCC" w14:textId="77777777" w:rsidR="006444D5" w:rsidRPr="00D43FA1" w:rsidRDefault="006444D5" w:rsidP="000511BF">
      <w:pPr>
        <w:pStyle w:val="EingangsformelStandardnderungsdokument"/>
      </w:pPr>
      <w:r>
        <w:t xml:space="preserve">Federalinė maisto produktų ir žemės ūkio ministerija, remdamasi: </w:t>
      </w:r>
    </w:p>
    <w:p w14:paraId="42BFF3E6" w14:textId="77777777" w:rsidR="000511BF" w:rsidRPr="00D43FA1" w:rsidRDefault="006444D5" w:rsidP="00C74C74">
      <w:pPr>
        <w:pStyle w:val="EingangsformelStandardnderungsdokument"/>
        <w:numPr>
          <w:ilvl w:val="0"/>
          <w:numId w:val="1"/>
        </w:numPr>
        <w:ind w:left="0" w:firstLine="425"/>
      </w:pPr>
      <w:r>
        <w:t>2013 m. birželio 3 d. paskelbtos Maisto produktų ir pašarų kodekso redakcijos 31 straipsnio 2 dalies pirmo sakinio 2 punktu, susiejant su 4 straipsnio 2 dalies 2 punktu ir 46 straipsnio 2 dalies pirmo sakinio 1 punkto a papunkčiu (Federalinis oficialusis leidinys (toliau – BGBl. I), p. 1426) bei</w:t>
      </w:r>
    </w:p>
    <w:p w14:paraId="58FC86B6" w14:textId="77777777" w:rsidR="006444D5" w:rsidRPr="00D43FA1" w:rsidRDefault="000511BF" w:rsidP="00C74C74">
      <w:pPr>
        <w:pStyle w:val="EingangsformelStandardnderungsdokument"/>
        <w:numPr>
          <w:ilvl w:val="0"/>
          <w:numId w:val="1"/>
        </w:numPr>
        <w:ind w:left="0" w:firstLine="425"/>
      </w:pPr>
      <w:r>
        <w:t>34 straipsnio pirmo sakinio 2 punktu, iš dalies pakeistu 2015 m. rugpjūčio 31 d. nutarimo 67 straipsnio 6 punktu (BGBl. I, p. 1474), taip pat susiejant su 2013 m. birželio 3 d. paskelbtos Maisto produktų ir pašarų kodekso redakcijos 4 straipsnio 2 dalies 2 punktu (BGBl. I, p. 1426), suderinusi su Federaline ekonomikos ir energetikos ministerija:</w:t>
      </w:r>
    </w:p>
    <w:p w14:paraId="6AC8CAE2" w14:textId="1699357E" w:rsidR="006444D5" w:rsidRPr="00D43FA1" w:rsidRDefault="00D43FA1" w:rsidP="00D43FA1">
      <w:pPr>
        <w:pStyle w:val="ArtikelBezeichner"/>
        <w:keepLines/>
        <w:numPr>
          <w:ilvl w:val="0"/>
          <w:numId w:val="0"/>
        </w:numPr>
      </w:pPr>
      <w:r>
        <w:t>1 straipsnis</w:t>
      </w:r>
    </w:p>
    <w:p w14:paraId="37102DCC" w14:textId="1749B86C" w:rsidR="006444D5" w:rsidRPr="007E01A6" w:rsidRDefault="006444D5" w:rsidP="00D43FA1">
      <w:pPr>
        <w:pStyle w:val="Artikelberschrift"/>
        <w:keepLines/>
      </w:pPr>
      <w:r>
        <w:t>Vartojimo reikmenų nutarimo pakeitimas</w:t>
      </w:r>
    </w:p>
    <w:p w14:paraId="504DEE92" w14:textId="4F2C4E22" w:rsidR="00E24BD3" w:rsidRPr="007E01A6" w:rsidRDefault="00E24BD3" w:rsidP="00D43FA1">
      <w:pPr>
        <w:pStyle w:val="JuristischerAbsatznichtnummeriert"/>
        <w:keepNext/>
        <w:keepLines/>
        <w:rPr>
          <w:rStyle w:val="Marker"/>
          <w:color w:val="auto"/>
        </w:rPr>
      </w:pPr>
      <w:r>
        <w:rPr>
          <w:rStyle w:val="Marker"/>
          <w:color w:val="auto"/>
        </w:rPr>
        <w:t>Vartojimo reikmenų nutarimas su pakeitimais, paskelbtas 1997 m. gruodžio 23 d. (BGBl. I, p 5), su paskutiniais pakeitimais, padarytais 2016 m. vasario 15 d. įstatymo (BGBl. I, p. 198) 2 straipsnio 1 dalimi, iš dalies keičiamas taip:</w:t>
      </w:r>
    </w:p>
    <w:p w14:paraId="02B9B0F2" w14:textId="7CA490A4" w:rsidR="00846C2F" w:rsidRPr="00D43FA1" w:rsidRDefault="00846C2F" w:rsidP="00846C2F">
      <w:pPr>
        <w:pStyle w:val="NummerierungStufe1"/>
      </w:pPr>
      <w:r>
        <w:t>2 straipsnis iš dalies keičiamas taip:</w:t>
      </w:r>
    </w:p>
    <w:p w14:paraId="28C5F27B" w14:textId="77777777" w:rsidR="00846C2F" w:rsidRPr="00D43FA1" w:rsidRDefault="00846C2F" w:rsidP="00846C2F">
      <w:pPr>
        <w:pStyle w:val="NummerierungStufe2"/>
        <w:rPr>
          <w:rStyle w:val="Marker"/>
          <w:color w:val="auto"/>
        </w:rPr>
      </w:pPr>
      <w:r>
        <w:rPr>
          <w:rStyle w:val="Marker"/>
          <w:color w:val="auto"/>
        </w:rPr>
        <w:t>6 punkto pabaigoje taškas pakeičiamas kabliataškiu.</w:t>
      </w:r>
    </w:p>
    <w:p w14:paraId="4CF425DD" w14:textId="26F4A3C3" w:rsidR="00846C2F" w:rsidRPr="00D43FA1" w:rsidRDefault="003B2E93" w:rsidP="00846C2F">
      <w:pPr>
        <w:pStyle w:val="NummerierungStufe2"/>
        <w:rPr>
          <w:rStyle w:val="Marker"/>
          <w:color w:val="auto"/>
        </w:rPr>
      </w:pPr>
      <w:r>
        <w:rPr>
          <w:rStyle w:val="Marker"/>
          <w:color w:val="auto"/>
        </w:rPr>
        <w:t>Įterpiami tokie 7–10 punktai:</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„7) Perdirbto popieriaus medžiaga: perdirbimo procese iš naudoto popieriaus gaunama pluoštinė medžiaga popieriaus ir kartono gamybai.</w:t>
      </w:r>
    </w:p>
    <w:p w14:paraId="0106737F" w14:textId="4BB05830" w:rsidR="00E24BD3" w:rsidRPr="00D43FA1" w:rsidRDefault="00E24BD3" w:rsidP="00067EA9">
      <w:pPr>
        <w:pStyle w:val="JuristischerAbsatznichtnummeriert"/>
        <w:ind w:left="850" w:firstLine="295"/>
      </w:pPr>
      <w:r>
        <w:rPr>
          <w:rStyle w:val="Marker"/>
          <w:color w:val="auto"/>
        </w:rPr>
        <w:t xml:space="preserve">8) </w:t>
      </w:r>
      <w:r>
        <w:t>aromatiniai naftos angliavandeniliai: alkilinti angliavandeniliai, turintys nuo C16 iki C35 atomų, kuriuose yra viena ar daugiau žiedinių struktūrų, išskyrus di-izopropil naftalinus; atomų skaičiai yra susieti su eliuavimo sritimis arba atitinkamų n-alkanų sulaikymo trukme atliekant dujų chromatografinę analizę su atskyrimo kolonėle, padengta, dimetil-hil-polisiloksanu;</w:t>
      </w:r>
    </w:p>
    <w:p w14:paraId="1BECF263" w14:textId="3D179D1B" w:rsidR="00846C2F" w:rsidRPr="00D43FA1" w:rsidRDefault="00E24BD3" w:rsidP="00D43FA1">
      <w:pPr>
        <w:pStyle w:val="JuristischerAbsatznichtnummeriert"/>
        <w:keepNext/>
        <w:keepLines/>
        <w:ind w:left="425" w:firstLine="720"/>
      </w:pPr>
      <w:r>
        <w:rPr>
          <w:rStyle w:val="Marker"/>
          <w:color w:val="auto"/>
        </w:rPr>
        <w:t xml:space="preserve">9) </w:t>
      </w:r>
      <w:r>
        <w:t>funkcinis barjeras:</w:t>
      </w:r>
    </w:p>
    <w:p w14:paraId="74FD3E26" w14:textId="39827560" w:rsidR="00B643B8" w:rsidRPr="00D43FA1" w:rsidRDefault="002F7BDF" w:rsidP="00067EA9">
      <w:pPr>
        <w:pStyle w:val="JuristischerAbsatznichtnummeriert"/>
        <w:ind w:left="851" w:firstLine="589"/>
      </w:pPr>
      <w:r>
        <w:rPr>
          <w:rStyle w:val="Marker"/>
          <w:color w:val="auto"/>
        </w:rPr>
        <w:t xml:space="preserve">a) </w:t>
      </w:r>
      <w:r>
        <w:t>vienas arba daugiau su maistu liestis skirto vartojimo reikmens sluoksnių arba paviršiaus dangų arba</w:t>
      </w:r>
    </w:p>
    <w:p w14:paraId="6C74E0DD" w14:textId="61F756EB" w:rsidR="002F7BDF" w:rsidRPr="00D43FA1" w:rsidRDefault="002F7BDF" w:rsidP="00067EA9">
      <w:pPr>
        <w:pStyle w:val="JuristischerAbsatznichtnummeriert"/>
        <w:ind w:left="720" w:firstLine="720"/>
      </w:pPr>
      <w:r>
        <w:rPr>
          <w:rStyle w:val="Marker"/>
          <w:color w:val="auto"/>
        </w:rPr>
        <w:lastRenderedPageBreak/>
        <w:t>b) maisto produkto apvalkalas,</w:t>
      </w:r>
    </w:p>
    <w:p w14:paraId="326B7F41" w14:textId="0B4EE35B" w:rsidR="00E24BD3" w:rsidRPr="00D43FA1" w:rsidRDefault="00E24BD3" w:rsidP="00067EA9">
      <w:pPr>
        <w:pStyle w:val="JuristischerAbsatznichtnummeriert"/>
        <w:ind w:left="851" w:firstLine="0"/>
      </w:pPr>
      <w:r>
        <w:t>kuriuo užtikrinama, kad tam tikros medžiagos iš su maistu liestis skirto vartojimo reikmens nebūtų perduodami maisto produktui;</w:t>
      </w:r>
    </w:p>
    <w:p w14:paraId="4B18F3E3" w14:textId="70788493" w:rsidR="00846C2F" w:rsidRPr="00D43FA1" w:rsidRDefault="00E24BD3" w:rsidP="00067EA9">
      <w:pPr>
        <w:pStyle w:val="JuristischerAbsatznichtnummeriert"/>
        <w:ind w:left="851" w:firstLine="294"/>
      </w:pPr>
      <w:r>
        <w:rPr>
          <w:rStyle w:val="Marker"/>
          <w:color w:val="auto"/>
        </w:rPr>
        <w:t xml:space="preserve">10) </w:t>
      </w:r>
      <w:r>
        <w:t>Maisto modelinis tirpalas: maisto modelinis tirpalas pagal Reglamento (ES) Nr. 10/2011 3 straipsnio 12 punktą.“</w:t>
      </w:r>
    </w:p>
    <w:p w14:paraId="17512622" w14:textId="77777777" w:rsidR="00846C2F" w:rsidRPr="00D43FA1" w:rsidRDefault="00846C2F" w:rsidP="00D43FA1">
      <w:pPr>
        <w:pStyle w:val="NummerierungStufe1"/>
        <w:keepNext/>
        <w:keepLines/>
        <w:rPr>
          <w:rStyle w:val="Marker"/>
          <w:color w:val="auto"/>
        </w:rPr>
      </w:pPr>
      <w:r>
        <w:rPr>
          <w:rStyle w:val="Marker"/>
          <w:color w:val="auto"/>
        </w:rPr>
        <w:t>Po 6 straipsnio įterpiamas šis 6a straipsnis:</w:t>
      </w:r>
    </w:p>
    <w:p w14:paraId="254DF9EA" w14:textId="256D5011" w:rsidR="00846C2F" w:rsidRPr="00D43FA1" w:rsidRDefault="00846C2F" w:rsidP="007E01A6">
      <w:pPr>
        <w:pStyle w:val="RevisionParagraphBezeichnermanuell"/>
        <w:keepLines/>
        <w:ind w:left="425" w:hanging="75"/>
        <w:rPr>
          <w:color w:val="auto"/>
        </w:rPr>
      </w:pPr>
      <w:r>
        <w:rPr>
          <w:color w:val="auto"/>
        </w:rPr>
        <w:t>„</w:t>
      </w:r>
      <w:r>
        <w:rPr>
          <w:rStyle w:val="Marker"/>
          <w:color w:val="auto"/>
        </w:rPr>
        <w:t>6a straipsnis</w:t>
      </w:r>
      <w:r>
        <w:rPr>
          <w:rStyle w:val="Marker"/>
          <w:color w:val="auto"/>
        </w:rPr>
        <w:br/>
        <w:t>su maistu liestis skirti vartojimo reikmenys iš popieriaus arba kartono, kurių sudėtyje yra perdirbto popieriaus</w:t>
      </w:r>
    </w:p>
    <w:p w14:paraId="393F6670" w14:textId="6F9EF356" w:rsidR="00756335" w:rsidRPr="007E01A6" w:rsidRDefault="00E24BD3" w:rsidP="00067EA9">
      <w:pPr>
        <w:pStyle w:val="JuristischerAbsatznichtnummeriert"/>
        <w:ind w:left="425" w:firstLine="295"/>
        <w:rPr>
          <w:rStyle w:val="Marker"/>
          <w:color w:val="auto"/>
        </w:rPr>
      </w:pPr>
      <w:r>
        <w:rPr>
          <w:rStyle w:val="Marker"/>
          <w:color w:val="auto"/>
        </w:rPr>
        <w:t xml:space="preserve">1. Su maistu liestis skirtus vartojimo reikmenis iš popieriaus arba kartono naudojant perdirbtą popierių leidžiama gaminti ir teikti rinkai tik jei funkciniu barjeru pagal 2 straipsnio 9 punktą užtikrinama, kad iš su maistu liestis skirto vartojimo reikmens maisto produktui neperduodami jokie aromatiniai naftos angliavandeniliai. Perdavimu nelaikoma, jei: </w:t>
      </w:r>
    </w:p>
    <w:p w14:paraId="16C207F7" w14:textId="77777777" w:rsidR="002F7BDF" w:rsidRPr="00D43FA1" w:rsidRDefault="002F7BDF" w:rsidP="00067EA9">
      <w:pPr>
        <w:pStyle w:val="JuristischerAbsatznichtnummeriert"/>
        <w:ind w:left="425" w:firstLine="0"/>
        <w:rPr>
          <w:szCs w:val="24"/>
        </w:rPr>
      </w:pPr>
      <w:r>
        <w:t xml:space="preserve">1) neviršijama 0,5 miligramų bendro aromatinių naftos angliavandenilių kiekio aptikimo riba vienam kilogramui maisto produkto arba </w:t>
      </w:r>
    </w:p>
    <w:p w14:paraId="172F3F97" w14:textId="20287DA3" w:rsidR="00C74C74" w:rsidRPr="007E01A6" w:rsidRDefault="002F7BDF" w:rsidP="00067EA9">
      <w:pPr>
        <w:pStyle w:val="JuristischerAbsatznichtnummeriert"/>
        <w:ind w:left="425" w:firstLine="0"/>
        <w:rPr>
          <w:szCs w:val="24"/>
        </w:rPr>
      </w:pPr>
      <w:r>
        <w:t xml:space="preserve">2) neviršijama 0,15 miligramų bendro aromatinių naftos angliavandenilių kiekio aptikimo riba vienam kilogramui maisto modelinio tirpalo. </w:t>
      </w:r>
    </w:p>
    <w:p w14:paraId="4CAF2837" w14:textId="266BC0F6" w:rsidR="00C74C74" w:rsidRPr="00D43FA1" w:rsidRDefault="00E24BD3" w:rsidP="00067EA9">
      <w:pPr>
        <w:pStyle w:val="JuristischerAbsatznichtnummeriert"/>
        <w:ind w:left="425" w:firstLine="295"/>
      </w:pPr>
      <w:r>
        <w:rPr>
          <w:rStyle w:val="Marker"/>
          <w:color w:val="auto"/>
        </w:rPr>
        <w:t xml:space="preserve">2. </w:t>
      </w:r>
      <w:r>
        <w:t>1 dalies pirmas sakinys netaikomas, jei aromatinių naftos angliavandenilių perdavimas iš su maistu liestis skirto vartojimo reikmens maisto produktui pagal 1 dalies antrą sakinį negalimas, nes:</w:t>
      </w:r>
    </w:p>
    <w:p w14:paraId="6CBC600B" w14:textId="68240402" w:rsidR="002F7BDF" w:rsidRPr="00D43FA1" w:rsidRDefault="002F7BDF" w:rsidP="00067EA9">
      <w:pPr>
        <w:pStyle w:val="JuristischerAbsatznichtnummeriert"/>
        <w:ind w:left="425" w:firstLine="0"/>
      </w:pPr>
      <w:r>
        <w:rPr>
          <w:rStyle w:val="Marker"/>
          <w:color w:val="auto"/>
        </w:rPr>
        <w:t>1) su maistu liestis skirtas vartojimo reikmuo atitinka specialias būtinąsias sąlygas, ypač jei su maistu liestis skirto vartojimo reikmens sudėtyje yra tik nedidelis kiekis aromatinių naftos angliavandenilių arba</w:t>
      </w:r>
    </w:p>
    <w:p w14:paraId="05A8EA42" w14:textId="0B5F5620" w:rsidR="00123700" w:rsidRPr="00D43FA1" w:rsidRDefault="002F7BDF" w:rsidP="00067EA9">
      <w:pPr>
        <w:pStyle w:val="JuristischerAbsatznichtnummeriert"/>
        <w:ind w:left="425" w:firstLine="0"/>
      </w:pPr>
      <w:r>
        <w:rPr>
          <w:rStyle w:val="Marker"/>
          <w:color w:val="auto"/>
        </w:rPr>
        <w:t xml:space="preserve">2) </w:t>
      </w:r>
      <w:r>
        <w:t>su maistu liestis skirto vartojimo reikmens gamintojas ar pardavėjas ėmėsi kitų tinkamų priemonių, užkertančių kelią jų perdavimui.</w:t>
      </w:r>
    </w:p>
    <w:p w14:paraId="0AD974E6" w14:textId="6D982343" w:rsidR="00735843" w:rsidRPr="00D43FA1" w:rsidRDefault="00E24BD3" w:rsidP="00067EA9">
      <w:pPr>
        <w:pStyle w:val="JuristischerAbsatznichtnummeriert"/>
        <w:ind w:left="425" w:firstLine="295"/>
      </w:pPr>
      <w:r>
        <w:rPr>
          <w:rStyle w:val="Marker"/>
          <w:color w:val="auto"/>
        </w:rPr>
        <w:t xml:space="preserve">3. </w:t>
      </w:r>
      <w:r>
        <w:t xml:space="preserve">Nukrypstant nuo 1 dalies pirmo sakinio, jame nurodytus su maistu liestis skirtus vartojimo reikmenis be funkcinio barjero galima gaminti ir teikti rinkai, jei maisto verslo subjektas, pakuote arba kitais būdais užtikrinantis sąlytį su maisto produktu, prieš pateikiant su maistu liestis skirtą vartojimo reikmenį raštu arba elektroniniu būdu su maistu liestis skirto vartojimo reikmens gamintojui ar pardavėjui patvirtina atsisakantis funkcinio barjero pagal 2 straipsnio 9 punktą. </w:t>
      </w:r>
    </w:p>
    <w:p w14:paraId="789B1568" w14:textId="520EFB10" w:rsidR="00E24BD3" w:rsidRPr="00A21513" w:rsidRDefault="00E24BD3" w:rsidP="00067EA9">
      <w:pPr>
        <w:pStyle w:val="JuristischerAbsatznichtnummeriert"/>
        <w:ind w:left="425" w:firstLine="295"/>
        <w:rPr>
          <w:spacing w:val="-4"/>
        </w:rPr>
      </w:pPr>
      <w:r w:rsidRPr="00A21513">
        <w:rPr>
          <w:rStyle w:val="Marker"/>
          <w:color w:val="auto"/>
          <w:spacing w:val="-4"/>
        </w:rPr>
        <w:t>4.</w:t>
      </w:r>
      <w:r w:rsidRPr="00A21513">
        <w:rPr>
          <w:spacing w:val="-4"/>
        </w:rPr>
        <w:t xml:space="preserve"> 3 dalyje numatytais atvejais su maistu skirtą liestis vartojimo reikmenį naudojantis maisto verslo subjektas turi užtikrinti, kad aromatiniai naftos angliavandeniliai iš su maistu liestis skirto vartojimo reikmens maisto produktui neperduodami pagal 1 dalies antrą sakinį. Tam jis turi naudoti funkcinį barjerą pagal 1 straipsnio 9 punkto b papunktį arba kitą tinkamą priemonę. Antras sakinys netaikomas, jei ypač dėl maisto produkto, kuris liečiasi su su maistu liestis skirtu vartojimo reikmeniu, struktūros arba dėl numatytų su maistu liestis skirto vartojimo reikmens naudojimo sąlygų yra specialios būtinosios sąlygos, užtikrinančios, kad aromatiniai naftos angliavandeniliai iš su maistu liestis skirto vartojimo reikmens maisto produktui neperduodami pagal 1 dalies antrą sakinį.</w:t>
      </w:r>
    </w:p>
    <w:p w14:paraId="5366601D" w14:textId="03640CCF" w:rsidR="00313AFD" w:rsidRPr="00D43FA1" w:rsidRDefault="00E24BD3" w:rsidP="00A21513">
      <w:pPr>
        <w:pStyle w:val="JuristischerAbsatznichtnummeriert"/>
        <w:keepNext/>
        <w:ind w:firstLine="720"/>
      </w:pPr>
      <w:r>
        <w:rPr>
          <w:rStyle w:val="Marker"/>
          <w:color w:val="auto"/>
        </w:rPr>
        <w:lastRenderedPageBreak/>
        <w:t xml:space="preserve">5. </w:t>
      </w:r>
      <w:r>
        <w:t>Kompetentingai institucijai pareikalavus, būtina nurodyti, kad:</w:t>
      </w:r>
    </w:p>
    <w:p w14:paraId="77519757" w14:textId="4193C14E" w:rsidR="002F7BDF" w:rsidRPr="007E01A6" w:rsidRDefault="002F7BDF" w:rsidP="00C62066">
      <w:pPr>
        <w:pStyle w:val="JuristischerAbsatznichtnummeriert"/>
        <w:ind w:left="425" w:firstLine="0"/>
        <w:rPr>
          <w:rStyle w:val="Marker"/>
          <w:color w:val="auto"/>
        </w:rPr>
      </w:pPr>
      <w:r>
        <w:rPr>
          <w:rStyle w:val="Marker"/>
          <w:color w:val="auto"/>
        </w:rPr>
        <w:t>1) su maistu liestis skirto vartojimo reikmens gamintojas arba pardavėjas laikosi 2 ir 3 dalių reikalavimų ir</w:t>
      </w:r>
    </w:p>
    <w:p w14:paraId="2F2FD13A" w14:textId="19286176" w:rsidR="00313AFD" w:rsidRPr="007E01A6" w:rsidRDefault="002F7BDF" w:rsidP="00C62066">
      <w:pPr>
        <w:pStyle w:val="JuristischerAbsatznichtnummeriert"/>
        <w:ind w:left="425" w:firstLine="0"/>
        <w:rPr>
          <w:rStyle w:val="Marker"/>
          <w:color w:val="auto"/>
        </w:rPr>
      </w:pPr>
      <w:r>
        <w:rPr>
          <w:rStyle w:val="Marker"/>
          <w:color w:val="auto"/>
        </w:rPr>
        <w:t>2) maisto verslo subjektas laikosi 4 dalies reikalavimų.</w:t>
      </w:r>
    </w:p>
    <w:p w14:paraId="587A74FC" w14:textId="6F4A63D4" w:rsidR="004F1DB4" w:rsidRPr="00D43FA1" w:rsidRDefault="00E24BD3" w:rsidP="00C62066">
      <w:pPr>
        <w:pStyle w:val="JuristischerAbsatznichtnummeriert"/>
        <w:ind w:left="425" w:firstLine="0"/>
      </w:pPr>
      <w:r>
        <w:t>Įpareigotieji subjektai, nurodyti pirmame sakinyje privalo turėti dokumentus, patvirtinančius, kad aromatiniai naftos angliavandeniliai iš su maistu liestis skirto vartojimo reikmens maisto produktui neperduodami pagal 1 dalies antrą sakinį.</w:t>
      </w:r>
    </w:p>
    <w:p w14:paraId="0AA413D8" w14:textId="1C6B2756" w:rsidR="007F06A5" w:rsidRPr="00D43FA1" w:rsidRDefault="00E24BD3" w:rsidP="00C62066">
      <w:pPr>
        <w:pStyle w:val="JuristischerAbsatznichtnummeriert"/>
        <w:ind w:left="425" w:firstLine="295"/>
      </w:pPr>
      <w:r>
        <w:rPr>
          <w:rStyle w:val="Marker"/>
          <w:color w:val="auto"/>
        </w:rPr>
        <w:t xml:space="preserve">6. </w:t>
      </w:r>
      <w:r>
        <w:t>Draudžiama maisto produktus teikti rinkai kaip maisto produktus, kurie buvo apdoroti naudojant su maistu liestis skirtą vartojimo reikmenį, nesilaikant 1 dalies pirmo sakinio arba 4 dalies pirmo sakinio.“</w:t>
      </w:r>
    </w:p>
    <w:p w14:paraId="6FA09614" w14:textId="77777777" w:rsidR="00D10507" w:rsidRPr="00D43FA1" w:rsidRDefault="00D10507" w:rsidP="00D43FA1">
      <w:pPr>
        <w:pStyle w:val="NummerierungStufe1"/>
        <w:keepNext/>
        <w:keepLines/>
      </w:pPr>
      <w:r>
        <w:t>7 straipsnio 1 dalyje nuoroda „6 straipsnis“ keičiama nuoroda „6a straipsnio 4 dalis“.</w:t>
      </w:r>
    </w:p>
    <w:p w14:paraId="7EAA6364" w14:textId="77777777" w:rsidR="00D10507" w:rsidRPr="00D43FA1" w:rsidRDefault="00634FE4" w:rsidP="00D43FA1">
      <w:pPr>
        <w:pStyle w:val="NummerierungStufe1"/>
        <w:keepNext/>
        <w:keepLines/>
      </w:pPr>
      <w:r>
        <w:t xml:space="preserve">12 straipsnis iš dalies keičiamas taip: </w:t>
      </w:r>
    </w:p>
    <w:p w14:paraId="69B3E358" w14:textId="77777777" w:rsidR="005068AC" w:rsidRPr="00D43FA1" w:rsidRDefault="005068AC" w:rsidP="00D43FA1">
      <w:pPr>
        <w:pStyle w:val="NummerierungStufe2"/>
        <w:keepNext/>
        <w:keepLines/>
        <w:rPr>
          <w:rStyle w:val="Marker"/>
          <w:color w:val="auto"/>
        </w:rPr>
      </w:pPr>
      <w:r>
        <w:rPr>
          <w:rStyle w:val="Marker"/>
          <w:color w:val="auto"/>
        </w:rPr>
        <w:t>2 dalis iš dalies keičiama taip:</w:t>
      </w:r>
    </w:p>
    <w:p w14:paraId="35259617" w14:textId="77777777" w:rsidR="005068AC" w:rsidRPr="00D43FA1" w:rsidRDefault="00AC0D2A" w:rsidP="005068AC">
      <w:pPr>
        <w:pStyle w:val="NummerierungStufe3"/>
        <w:rPr>
          <w:rStyle w:val="Marker"/>
          <w:color w:val="auto"/>
        </w:rPr>
      </w:pPr>
      <w:r>
        <w:rPr>
          <w:rStyle w:val="Marker"/>
          <w:color w:val="auto"/>
        </w:rPr>
        <w:t>3 punkte žodis „arba“ pakeičiamas kableliu;</w:t>
      </w:r>
    </w:p>
    <w:p w14:paraId="7DFBB224" w14:textId="77777777" w:rsidR="005068AC" w:rsidRPr="00D43FA1" w:rsidRDefault="00AC0D2A" w:rsidP="005068AC">
      <w:pPr>
        <w:pStyle w:val="NummerierungStufe3"/>
        <w:rPr>
          <w:rStyle w:val="Marker"/>
          <w:color w:val="auto"/>
        </w:rPr>
      </w:pPr>
      <w:r>
        <w:rPr>
          <w:rStyle w:val="Marker"/>
          <w:color w:val="auto"/>
        </w:rPr>
        <w:t>4 punkto pabaigoje taškas pakeičiamas kableliu.</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t>Įterpiami tokie 5 ir 6 punktai:</w:t>
      </w:r>
    </w:p>
    <w:p w14:paraId="33D0714E" w14:textId="1077FDEF" w:rsidR="00241B36" w:rsidRPr="00D43FA1" w:rsidRDefault="00E24BD3" w:rsidP="00E24BD3">
      <w:pPr>
        <w:pStyle w:val="JuristischerAbsatznichtnummeriert"/>
        <w:ind w:left="850" w:firstLine="426"/>
        <w:rPr>
          <w:rStyle w:val="Marker"/>
          <w:color w:val="auto"/>
        </w:rPr>
      </w:pPr>
      <w:r>
        <w:rPr>
          <w:rStyle w:val="Marker"/>
          <w:color w:val="auto"/>
        </w:rPr>
        <w:t xml:space="preserve">„5) pažeisdamas 6a straipsnio 1dalies pirmo sakinį arba 6 dalį nuostatas su maistu liestis skirtą vartojimo reikmenį arba maisto produktą teikia rinkai arba </w:t>
      </w:r>
    </w:p>
    <w:p w14:paraId="5E978D5C" w14:textId="45631538" w:rsidR="00B77970" w:rsidRPr="00D43FA1" w:rsidRDefault="00E24BD3" w:rsidP="00E24BD3">
      <w:pPr>
        <w:pStyle w:val="JuristischerAbsatznichtnummeriert"/>
        <w:ind w:left="850" w:firstLine="426"/>
      </w:pPr>
      <w:r>
        <w:rPr>
          <w:rStyle w:val="Marker"/>
          <w:color w:val="auto"/>
        </w:rPr>
        <w:t xml:space="preserve">6) pažeisdamas 6a straipsnio 4 dalies pirmą sakinį neužtikrina, kad nebūtų perduodami aromatiniai naftos angliavandeniliai.“ </w:t>
      </w:r>
    </w:p>
    <w:p w14:paraId="7716DBF5" w14:textId="4D9148FD" w:rsidR="005068AC" w:rsidRPr="00D43FA1" w:rsidRDefault="005068AC" w:rsidP="00D43FA1">
      <w:pPr>
        <w:pStyle w:val="NummerierungStufe2"/>
        <w:keepNext/>
        <w:keepLines/>
        <w:rPr>
          <w:rStyle w:val="Marker"/>
          <w:color w:val="auto"/>
        </w:rPr>
      </w:pPr>
      <w:r>
        <w:rPr>
          <w:rStyle w:val="Marker"/>
          <w:color w:val="auto"/>
        </w:rPr>
        <w:t>6 dalis iš dalies keičiama taip:</w:t>
      </w:r>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Prieš 1 punktą pridedamas toks 1 punktas:</w:t>
      </w:r>
    </w:p>
    <w:p w14:paraId="008549AE" w14:textId="466291BF" w:rsidR="00E24BD3" w:rsidRPr="007E01A6" w:rsidRDefault="00E24BD3" w:rsidP="00E24BD3">
      <w:pPr>
        <w:pStyle w:val="JuristischerAbsatznichtnummeriert"/>
        <w:ind w:left="720" w:firstLine="556"/>
        <w:rPr>
          <w:rStyle w:val="Marker"/>
          <w:color w:val="auto"/>
        </w:rPr>
      </w:pPr>
      <w:r>
        <w:rPr>
          <w:rStyle w:val="Marker"/>
          <w:color w:val="auto"/>
        </w:rPr>
        <w:t>„1) nepaisydamas 6a straipsnio 5 dalies antro sakinio nesaugo dokumento, jį saugo netinkamai arba ne pilnutinai,“.</w:t>
      </w:r>
    </w:p>
    <w:p w14:paraId="27C15FD7" w14:textId="64F26C1B" w:rsidR="005068AC" w:rsidRPr="00D43FA1" w:rsidRDefault="00504030" w:rsidP="00E53816">
      <w:pPr>
        <w:pStyle w:val="NummerierungStufe3"/>
      </w:pPr>
      <w:r>
        <w:rPr>
          <w:rStyle w:val="Marker"/>
          <w:color w:val="auto"/>
        </w:rPr>
        <w:t>Buvęs 1 punktas tampa 2 punktu.</w:t>
      </w:r>
    </w:p>
    <w:p w14:paraId="40868CB4" w14:textId="77777777" w:rsidR="00DA7A9F" w:rsidRPr="00D43FA1" w:rsidRDefault="00DA7A9F" w:rsidP="00D43FA1">
      <w:pPr>
        <w:pStyle w:val="NummerierungStufe1"/>
        <w:keepNext/>
        <w:keepLines/>
      </w:pPr>
      <w:r>
        <w:t>16 straipsnis papildomas tokiomis 15 ir 16 dalimis:</w:t>
      </w:r>
    </w:p>
    <w:p w14:paraId="53C2A8E8" w14:textId="4612D6D2" w:rsidR="002666C4" w:rsidRPr="00D43FA1" w:rsidRDefault="00C07FE5" w:rsidP="00C07FE5">
      <w:pPr>
        <w:pStyle w:val="JuristischerAbsatznichtnummeriert"/>
        <w:ind w:left="425" w:firstLine="295"/>
      </w:pPr>
      <w:r>
        <w:rPr>
          <w:rStyle w:val="Marker"/>
          <w:color w:val="auto"/>
        </w:rPr>
        <w:t xml:space="preserve">„15. 6a </w:t>
      </w:r>
      <w:r>
        <w:t>straipsnis taikomas nuo … [įrašyti: trisdešimt septintojo mėnesio pirmosios dienos, sekančios po šio nutarimo paskelbimo mėnesio, data].</w:t>
      </w:r>
    </w:p>
    <w:p w14:paraId="0BC81A17" w14:textId="18B7C145" w:rsidR="00C07FE5" w:rsidRPr="00D43FA1" w:rsidRDefault="00C07FE5" w:rsidP="00C07FE5">
      <w:pPr>
        <w:pStyle w:val="JuristischerAbsatznichtnummeriert"/>
        <w:tabs>
          <w:tab w:val="left" w:pos="1134"/>
          <w:tab w:val="left" w:pos="1418"/>
        </w:tabs>
        <w:ind w:left="425" w:firstLine="295"/>
      </w:pPr>
      <w:r>
        <w:t>16.</w:t>
      </w:r>
      <w:r>
        <w:tab/>
        <w:t>Su maistu liestis skirtus vartojimo reikmenis, kurie pagaminti naudojant perdirbtą popierių iki 15 dalyje nurodytos nuostatos taikymo datos, galima teikti rinkai iki … [įrašyti: šešiasdešimt pirmojo mėnesio pirmosios dienos, sekančios po šio nutarimo paskelbimo mėnesio, data].“</w:t>
      </w:r>
    </w:p>
    <w:p w14:paraId="6DD6BE05" w14:textId="1E96CDA2" w:rsidR="00C86A55" w:rsidRPr="00D43FA1" w:rsidRDefault="00D43FA1" w:rsidP="00D43FA1">
      <w:pPr>
        <w:pStyle w:val="ArtikelBezeichner"/>
        <w:numPr>
          <w:ilvl w:val="0"/>
          <w:numId w:val="0"/>
        </w:numPr>
        <w:ind w:left="720" w:hanging="720"/>
      </w:pPr>
      <w:r>
        <w:lastRenderedPageBreak/>
        <w:t>2 straipsnis</w:t>
      </w:r>
    </w:p>
    <w:p w14:paraId="6244BBAD" w14:textId="77777777" w:rsidR="00C86A55" w:rsidRPr="00D43FA1" w:rsidRDefault="000B2DB8" w:rsidP="00C86A55">
      <w:pPr>
        <w:pStyle w:val="Artikelberschrift"/>
      </w:pPr>
      <w:r>
        <w:t>Leidimas skelbti</w:t>
      </w:r>
    </w:p>
    <w:p w14:paraId="01E0D16A" w14:textId="3D86B3E2" w:rsidR="00C86A55" w:rsidRPr="00D43FA1" w:rsidRDefault="00C86A55" w:rsidP="00B643B8">
      <w:pPr>
        <w:pStyle w:val="JuristischerAbsatznichtnummeriert"/>
      </w:pPr>
      <w:r>
        <w:t>Federalinės maisto produktų ir žemės ūkio ministerija gali Vartojimo reikmenų nutarimo, įsigaliojusio … [įrašyti: šio nutarimo paskelbimo data], tekstą paskelbti federaliniame oficialiajame leidinyje.</w:t>
      </w:r>
    </w:p>
    <w:p w14:paraId="28CE82C3" w14:textId="25904053" w:rsidR="006444D5" w:rsidRPr="00D43FA1" w:rsidRDefault="00D43FA1" w:rsidP="00D43FA1">
      <w:pPr>
        <w:pStyle w:val="ArtikelBezeichner"/>
        <w:numPr>
          <w:ilvl w:val="0"/>
          <w:numId w:val="0"/>
        </w:numPr>
      </w:pPr>
      <w:r>
        <w:t>3 straipsnis</w:t>
      </w:r>
    </w:p>
    <w:p w14:paraId="157B2F9D" w14:textId="77777777" w:rsidR="006444D5" w:rsidRPr="00D43FA1" w:rsidRDefault="006444D5" w:rsidP="00612652">
      <w:pPr>
        <w:pStyle w:val="Artikelberschrift"/>
      </w:pPr>
      <w:r>
        <w:rPr>
          <w:rStyle w:val="Marker"/>
          <w:color w:val="auto"/>
        </w:rPr>
        <w:t>Įsigaliojimas</w:t>
      </w:r>
    </w:p>
    <w:p w14:paraId="31DE4A11" w14:textId="77777777" w:rsidR="006444D5" w:rsidRPr="00D43FA1" w:rsidRDefault="00C86A55" w:rsidP="00612652">
      <w:pPr>
        <w:pStyle w:val="JuristischerAbsatznichtnummeriert"/>
      </w:pPr>
      <w:r>
        <w:rPr>
          <w:rStyle w:val="Marker"/>
          <w:color w:val="auto"/>
        </w:rPr>
        <w:t>Nutarimas įsigalioja kitą dieną po jo paskelbimo.</w:t>
      </w:r>
    </w:p>
    <w:p w14:paraId="37CC3236" w14:textId="77777777" w:rsidR="006444D5" w:rsidRPr="00D43FA1" w:rsidRDefault="006444D5" w:rsidP="006444D5">
      <w:pPr>
        <w:pStyle w:val="Schlussformel"/>
        <w:rPr>
          <w:rStyle w:val="Marker"/>
          <w:color w:val="auto"/>
        </w:rPr>
      </w:pPr>
      <w:r>
        <w:rPr>
          <w:rStyle w:val="Marker"/>
          <w:color w:val="auto"/>
        </w:rPr>
        <w:t>Bundesratas pritarė.</w:t>
      </w:r>
    </w:p>
    <w:p w14:paraId="2FAF18C3" w14:textId="5D4D10CB" w:rsidR="00646A3B" w:rsidRPr="00D43FA1" w:rsidRDefault="001B10CC" w:rsidP="00646A3B">
      <w:pPr>
        <w:pStyle w:val="OrtDatum"/>
      </w:pPr>
      <w:r>
        <w:t>Bona, 2020 m. ….. d.</w:t>
      </w:r>
    </w:p>
    <w:p w14:paraId="6B55ADD4" w14:textId="5958D35B" w:rsidR="00646A3B" w:rsidRPr="00D43FA1" w:rsidRDefault="00646A3B" w:rsidP="00646A3B">
      <w:pPr>
        <w:pStyle w:val="Organisation"/>
        <w:rPr>
          <w:spacing w:val="0"/>
        </w:rPr>
      </w:pPr>
    </w:p>
    <w:p w14:paraId="50FA98AC" w14:textId="24B1EF63" w:rsidR="00646A3B" w:rsidRPr="00A21513" w:rsidRDefault="00646A3B" w:rsidP="00646A3B">
      <w:pPr>
        <w:pStyle w:val="Organisation"/>
        <w:rPr>
          <w:spacing w:val="0"/>
        </w:rPr>
      </w:pPr>
      <w:r w:rsidRPr="00A21513">
        <w:rPr>
          <w:spacing w:val="0"/>
        </w:rPr>
        <w:t xml:space="preserve">Vokietijos federalinė </w:t>
      </w:r>
    </w:p>
    <w:p w14:paraId="38BFE5A9" w14:textId="2AF85087" w:rsidR="00646A3B" w:rsidRPr="00A21513" w:rsidRDefault="00646A3B" w:rsidP="00646A3B">
      <w:pPr>
        <w:pStyle w:val="Organisation"/>
        <w:rPr>
          <w:spacing w:val="0"/>
        </w:rPr>
      </w:pPr>
      <w:r w:rsidRPr="00A21513">
        <w:rPr>
          <w:spacing w:val="0"/>
        </w:rPr>
        <w:t>mitybos ir žemės ūkio ministrė</w:t>
      </w:r>
    </w:p>
    <w:p w14:paraId="390D4D95" w14:textId="18482467" w:rsidR="006444D5" w:rsidRPr="00D43FA1" w:rsidRDefault="006444D5" w:rsidP="00D43FA1">
      <w:pPr>
        <w:pStyle w:val="BegrndungTitel"/>
        <w:keepLines/>
        <w:pageBreakBefore/>
      </w:pPr>
      <w:r>
        <w:lastRenderedPageBreak/>
        <w:t>Aiškinamoji dalis</w:t>
      </w:r>
    </w:p>
    <w:p w14:paraId="4E661150" w14:textId="77777777" w:rsidR="006444D5" w:rsidRPr="00D43FA1" w:rsidRDefault="006444D5" w:rsidP="00D43FA1">
      <w:pPr>
        <w:pStyle w:val="BegrndungAllgemeinerTeil"/>
        <w:keepLines/>
      </w:pPr>
      <w:r>
        <w:t>A. Bendroji dalis</w:t>
      </w:r>
    </w:p>
    <w:p w14:paraId="3CB30F24" w14:textId="77777777" w:rsidR="006444D5" w:rsidRPr="00D43FA1" w:rsidRDefault="006444D5" w:rsidP="00D43FA1">
      <w:pPr>
        <w:pStyle w:val="berschriftrmischBegrndung"/>
        <w:keepLines/>
      </w:pPr>
      <w:r>
        <w:t>Taisyklių tikslas ir būtinybė</w:t>
      </w:r>
    </w:p>
    <w:p w14:paraId="3C58B331" w14:textId="65DA7301" w:rsidR="00CB5E99" w:rsidRPr="00D43FA1" w:rsidRDefault="00CB5E99" w:rsidP="00CB5E99">
      <w:pPr>
        <w:pStyle w:val="Text"/>
      </w:pPr>
      <w:r>
        <w:t xml:space="preserve">Maisto produktai gali būti užteršti mineraline alyva, kaip, be kita ko, parodė tyrimai, atlikti vykdant Federalinės maisto produktų ir žemės ūkio ministerijos remiamą projektą (Nepageidaujamų medžiagų išsiskyrimo į maisto produktus iš pakavimo medžiagų, pagamintų iš perdirbto popieriaus, mastai. Specialioji „119 maisto produktų“ tyrimų dėl nepageidaujamų medžiagų iš perdirbto popieriaus ataskaita, paramos numeris 2809HS012). Esminė tokio reiškinio yra be kitų šaltinių taip pat maisto produktų pakuočių iš popieriaus ir kartono ir ypač iš perdirbto popieriaus medžiagos. </w:t>
      </w:r>
    </w:p>
    <w:p w14:paraId="31DF33D8" w14:textId="77777777" w:rsidR="00CB5E99" w:rsidRPr="00D43FA1" w:rsidRDefault="00CB5E99" w:rsidP="00CB5E99">
      <w:pPr>
        <w:pStyle w:val="Text"/>
      </w:pPr>
      <w:r>
        <w:t>Perdirbant naudotą popierių, mineralinė alyva gali patekti į perdirbtą popierių. Perdirbtame popieriuje yra pluoštinės medžiagos, gautos iš naudoto popieriaus (vadinamoji perdirbto popieriaus medžiaga). Perdirbtas popierius iš esmės sudarytas iš laikraščių, skelbimų, žurnalų, katalogų ir kitokio grafinio popieriaus bei pakuočių popieriaus. Spausdinant ant tokio popieriaus naudojami spausdinimo dažai, kurio sudėtyje, priklausomai nuo spausdinimo metodo ir taikymo srities, yra mineralinės alyvos.</w:t>
      </w:r>
    </w:p>
    <w:p w14:paraId="5AD4C587" w14:textId="1F6D1D80" w:rsidR="00CB5E99" w:rsidRPr="00D43FA1" w:rsidRDefault="00CB5E99" w:rsidP="00CB5E99">
      <w:pPr>
        <w:pStyle w:val="Text"/>
      </w:pPr>
      <w:r>
        <w:t>Mineralinė alyva gaunama iš naftos ir yra sudėtinis mišinys, daugiausia sudarytas iš sočiųjų (linijinės ir šakotos struktūros) ir aromatinių (dažniausiai alkilintų) angliavandenilių. Maisto produktuose iš dalies buvo nustatyti dideli mineralinės alyvos angliavandenilių kiekiai. Tarp jų taip pat ir aromatiniai naftos angliavandeniliai (MOAH). MOAH vartojimą Federalinio rizikos vertinimo instituto (vok. santrumpa – BfR) nuomone būtina mažinti (pvz., BfR nuomonė Nr. 008/2010, BfR pranešimas spaudai 41/2012, BfR atsakymai į dažniausiai užduodamus klausimus, 2012 m. lapkričio 30 d. / 2015 m. lapkričio 26 d.), nes negalima paneigti, kad tarp MOAH yra medžiagų, kurių net mažiausi kiekiai gali sukelti pavojų sveikatai, pvz., vėžį. Taip pat ir Europos maisto saugos tarnyba (EFSA) 2012 m. gegužės 3 d. nuomonėje (EFSA žurnalas 2012;10(6):2704) sąlyčio su MOAH atžvilgiu išreiškė susirūpinimą dėl jų galimo kancerogeninio potencialo. Be to, EFSA nustatė, kad perdirbto popieriaus medžiagos pagrindu pagamintos maisto produktų pakuotės iš esmės gali sustiprinti aromatinių naftos angliavandenilių iš maisto produktų poveikį.</w:t>
      </w:r>
    </w:p>
    <w:p w14:paraId="2FAAA0A3" w14:textId="77777777" w:rsidR="00612652" w:rsidRPr="007E01A6" w:rsidRDefault="00612652">
      <w:pPr>
        <w:pStyle w:val="Text"/>
      </w:pPr>
      <w:r>
        <w:t>Šiuo nutarimu siekiama žymiai pagerinti vartotojų apsaugą nuo galimų pavojų sveikatai, kylančių iš su maistu liestis skirtų vartojimo reikmenų iš popieriaus arba kartono, kuris pagamintas naudojant perdirbtą popierių ir iš kurio maisto produktams gali būti perduodami MOAH.</w:t>
      </w:r>
    </w:p>
    <w:p w14:paraId="3FE169D4" w14:textId="0217AD32" w:rsidR="006444D5" w:rsidRPr="00D43FA1" w:rsidRDefault="006444D5">
      <w:pPr>
        <w:pStyle w:val="berschriftrmischBegrndung"/>
      </w:pPr>
      <w:r>
        <w:lastRenderedPageBreak/>
        <w:t>Esminis turinys</w:t>
      </w:r>
    </w:p>
    <w:p w14:paraId="45A5B0F9" w14:textId="2B0307C3" w:rsidR="00F04D45" w:rsidRPr="007E01A6" w:rsidRDefault="00F04D45" w:rsidP="00A21513">
      <w:pPr>
        <w:pStyle w:val="Text"/>
        <w:keepLines/>
        <w:rPr>
          <w:szCs w:val="24"/>
        </w:rPr>
      </w:pPr>
      <w:r>
        <w:t>Šiuo nutarimu turi būti kaip galima labiau apribotas MOAH iš su maistu liestis skirtų vartojimo reikmenų iš popieriaus arba kartono, kuris pagamintas naudojant perdirbtą popierių, perdavimas maisto produktams. Tinkama priemonė įgyvendinant tokį ribojimą yra funkcinis barjeras. Todėl patvirtinama esminė prievolė atitinkamiems su maistu liestis skirtiems vartojimo reikmenims naudoti tokį funkcinį barjerą. Vadovaujantis šiuo nutarimu reglamentuojamas barjero veiksmingumas, nustatant MOAH perdavimo iš su maistu liestis skirto vartojimo reikmens 0,5 miligramų vienam maisto produkto kilogramui aptikimo ribą. Tikrinant maisto modelinius tirpalus taikoma 0,15 miligramų MOAH aptikimo riba vienam kilogramui maisto modelinio tirpalo Tačiau su maistu liestis skirto vartojimo reikmens gamintojo arba pardavėjo prievolė su maistu liestis skirtuose vartojimo reikmenyse įdiegti funkcinį barjerą netaikoma, jei maisto verslo subjektas, įsigyjantis su maistu liestis skirtą vartojimo reikmenį prieš jį tiekiant gamintojui arba pardavėjui pareiškia atsisakantis funkcinio barjero. Tokiu atveju maisto verslo subjektas turi pats imtis priemonių, kurios užtikrintų, maisto produktams nebūtų perduodamos MOAH, nebent yra specialiosios būtinosios sąlygos, pvz., atsižvelgiant į maisto produktų struktūrą, kuri neleidžia MOAH perduoti maisto produktams. Prievolė su maistu liestis skirtuose vartojimo reikmenyse įdiegti funkcinį barjerą taip pat netaikoma, jei su maistu liestis skirtų vartojimo reikmenų gamintojas arba pardavėjas kitais būdais, nei naudojant funkcinį barjerą, gali užtikrinti, kad MOAH nebus perduodami maisto produktams. Tai gali būti, pvz., jei jau pačiame popieriuje arba kartone MOAH kiekis toks nedidelis, kad maistui neperduodamas didesnis MOAH kiekis, nei nustatytoji aptikimo riba.</w:t>
      </w:r>
    </w:p>
    <w:p w14:paraId="00831AD3" w14:textId="77777777" w:rsidR="006444D5" w:rsidRPr="00D43FA1" w:rsidRDefault="006444D5">
      <w:pPr>
        <w:pStyle w:val="berschriftrmischBegrndung"/>
      </w:pPr>
      <w:r>
        <w:t>Alternatyvos</w:t>
      </w:r>
    </w:p>
    <w:p w14:paraId="40A8C660" w14:textId="77777777" w:rsidR="00CB5E99" w:rsidRPr="00D43FA1" w:rsidRDefault="00E53816" w:rsidP="00CB5E99">
      <w:pPr>
        <w:pStyle w:val="Text"/>
      </w:pPr>
      <w:r>
        <w:t xml:space="preserve">Nėra. Siekiant užtikrinti vartotojų sveikatos apsaugą ir vieningą tvarkymą, būtinos atitinkamos teisinės nuostatos ir privalomas MOAH aptikimo ribos taikymas. </w:t>
      </w:r>
    </w:p>
    <w:p w14:paraId="25CF33C9" w14:textId="77777777" w:rsidR="00F279DE" w:rsidRPr="00D43FA1" w:rsidRDefault="00F279DE">
      <w:pPr>
        <w:pStyle w:val="berschriftrmischBegrndung"/>
      </w:pPr>
      <w:r>
        <w:t>Įstatymų leidybos kompetencija</w:t>
      </w:r>
    </w:p>
    <w:p w14:paraId="19025BF8" w14:textId="613F8FF1" w:rsidR="00F279DE" w:rsidRPr="00D43FA1" w:rsidRDefault="007525FC" w:rsidP="00F279DE">
      <w:pPr>
        <w:pStyle w:val="Text"/>
      </w:pPr>
      <w:r>
        <w:t>Federalinė maisto produktų ir žemės ūkio ministerija įgaliota patvirtinti šias taisykles, vadovaujantis Maisto produktų ir pašarų kodekso (vok. santrumpa – LFGB) 31 straipsnio 2 dalies pirmo sakinio 2 punktu, taip pat susiejant su LFGB 4 straipsnio 2 dalies 2 punktu ir 46 straipsnio 2 dalies pirmo sakinio 1 punkto a papunkčiu bei LFGB 34 straipsnio pirmo sakinio 2 punktu, taip pat susiejant su LFGB 4 straipsnio 2 punktu.</w:t>
      </w:r>
    </w:p>
    <w:p w14:paraId="0A8F0A8B" w14:textId="77777777" w:rsidR="00CD79FA" w:rsidRPr="00D43FA1" w:rsidRDefault="00CD79FA">
      <w:pPr>
        <w:pStyle w:val="berschriftrmischBegrndung"/>
      </w:pPr>
      <w:r>
        <w:t>Atitiktis Europos Sąjungos teisės aktams ir tarptautinėms sutartims</w:t>
      </w:r>
    </w:p>
    <w:p w14:paraId="2C943AFB" w14:textId="0C4761B7" w:rsidR="00CD79FA" w:rsidRPr="00D43FA1" w:rsidRDefault="00CD79FA" w:rsidP="00CD79FA">
      <w:pPr>
        <w:pStyle w:val="Text"/>
      </w:pPr>
      <w:r>
        <w:t>ES teisės aktai, reglamentuojantys su maistu liestis skirtus vartojimo reikmenis, iki šiol iki galo nesuderinti. Nors Reglamente (EB) Nr. 1935/2004 numatyti bendrieji reikalavimai. Tačiau atskiros priemonės iki šiol taikomos tik atskiroms medžiagų grupėms. Reglamento (EB) Nr. 1935/2004 6 straipsnyje ES valstybėms narėms leidžiama taikyti nacionalines taisykles ar jas patvirtinti tokioms medžiagų grupėms ar daiktams, kuriems ES lygmenyje iki šiol netaikomos atskiros priemonės. Su maistu liestis skirtiems vartojimo reikmenims iš popieriaus ir kartono, pagaminto tiek iš naujo pluošto, tiek iš perdirbto popieriaus medžiagos, tokių ES atskirų priemonių nėra. Todėl užtikrinamas suderinamumas su ES teise. Šis nutarimas nepaveiks tarptautinių susitarimų.</w:t>
      </w:r>
    </w:p>
    <w:p w14:paraId="4DA789C5" w14:textId="77777777" w:rsidR="006444D5" w:rsidRPr="00D43FA1" w:rsidRDefault="006444D5">
      <w:pPr>
        <w:pStyle w:val="berschriftrmischBegrndung"/>
      </w:pPr>
      <w:r>
        <w:lastRenderedPageBreak/>
        <w:t>Įstatymo poveikis</w:t>
      </w:r>
    </w:p>
    <w:p w14:paraId="2F5D3B8F" w14:textId="77777777" w:rsidR="009809AB" w:rsidRPr="00D43FA1" w:rsidRDefault="009809AB">
      <w:pPr>
        <w:pStyle w:val="berschriftarabischBegrndung"/>
      </w:pPr>
      <w:r>
        <w:t>Teisės ir administravimo tvarkos supaprastinimas</w:t>
      </w:r>
    </w:p>
    <w:p w14:paraId="26C2B37E" w14:textId="16E58B47" w:rsidR="009809AB" w:rsidRPr="00D43FA1" w:rsidRDefault="009809AB" w:rsidP="009809AB">
      <w:pPr>
        <w:pStyle w:val="Text"/>
      </w:pPr>
      <w:r>
        <w:t xml:space="preserve">Šiuo nutarimu nenumatomas taisyklių supaprastinimas ar jų panaikinimas. Tačiau suvienodinami reikalavimai siekiant išvengti MOAH iš su maistu liestis skirtų vartojimo reikmenų iš popieriaus ir kartono, kurio sudėtyje yra perdirbto popieriaus, perdavimo, ir žymiai pagerinamas teisinis tikrumas tiek kompetentingoms institucijoms, tiek atitinkamai su tuo susijusiai ekonomikai. </w:t>
      </w:r>
    </w:p>
    <w:p w14:paraId="166CBABF" w14:textId="77777777" w:rsidR="006444D5" w:rsidRPr="00D43FA1" w:rsidRDefault="006444D5">
      <w:pPr>
        <w:pStyle w:val="berschriftarabischBegrndung"/>
      </w:pPr>
      <w:r>
        <w:t>Tvarumo kriterijai</w:t>
      </w:r>
    </w:p>
    <w:p w14:paraId="64450049" w14:textId="6C431023" w:rsidR="00612652" w:rsidRPr="00D43FA1" w:rsidRDefault="00B269E6">
      <w:pPr>
        <w:pStyle w:val="Text"/>
      </w:pPr>
      <w:r>
        <w:t xml:space="preserve">Atliktas tvarumo patikrinimas pagal Bendrosios federalinių ministerijų darbo tvarkos (vok. santrumpa – GGO) 44 straipsnio 1 dalies ketvirtą sakinį. Šios taisyklės užtikrina ilgalaikį tvarumą pagal Vokietijos tvarumo strategiją. Ypatingai svarbus yra 3 visuotinis tvarumo tikslas. „Užtikrinti bet kokio amžiaus žmonių sveiką gyvenseną ir remti jų gerovę“. Be to, atsižvelgiama į darnaus vystymosi principą, nurodytą 3 punkto b papunktyje: „Vengti pavojų ir nepriimtinos rizikos žmonių sveikatai“. Taip pat prisidedama prie visuotinio 12 tikslo „Užtikrinti tvariu vartojimo ir gamybos pavyzdžius“. Tvarumo prasme ir ateityje bus galima naudoti perdirbtas medžiagas su maistu liestis skirtiems vartojimo reikmenims iš popieriaus ir kartono, jei bus vykdomi šiuo nutarimu sukonkretinti vartotojų apsaugai keliami reikalavimai. Nutarimas užtikrina, kad vartotojams nebūtų daroma žala, kurią lemia su maistu liestis skirtų vartojimo reikmenų iš popieriaus ir kartono, pagaminto iš perdirbto popieriaus, sudedamosios dalys iš mineralinių alyvų. Jis skirtas vartotojų sveikatos apsaugai ir taip prisideda prie darnaus vystymosi. </w:t>
      </w:r>
    </w:p>
    <w:p w14:paraId="4628D4A0" w14:textId="77777777" w:rsidR="006444D5" w:rsidRPr="00D43FA1" w:rsidRDefault="006444D5">
      <w:pPr>
        <w:pStyle w:val="berschriftarabischBegrndung"/>
      </w:pPr>
      <w:r>
        <w:t>Biudžeto išlaidos be vykdymo sąnaudų</w:t>
      </w:r>
    </w:p>
    <w:p w14:paraId="2771CB61" w14:textId="77777777" w:rsidR="003923C4" w:rsidRPr="00D43FA1" w:rsidRDefault="00CB5E99">
      <w:pPr>
        <w:pStyle w:val="Text"/>
      </w:pPr>
      <w:r>
        <w:t>Viešajam biudžetui neatsiras jokių biudžeto išlaidų be įgyvendinimo sąnaudų.</w:t>
      </w:r>
    </w:p>
    <w:p w14:paraId="53940621" w14:textId="77777777" w:rsidR="006444D5" w:rsidRPr="00D43FA1" w:rsidRDefault="006444D5" w:rsidP="0070360F">
      <w:pPr>
        <w:pStyle w:val="berschriftarabischBegrndung"/>
        <w:keepLines/>
      </w:pPr>
      <w:r>
        <w:t>Vykdymo sąnaudos</w:t>
      </w:r>
    </w:p>
    <w:p w14:paraId="70BBFB2C" w14:textId="77777777" w:rsidR="00D25113" w:rsidRPr="00D43FA1" w:rsidRDefault="00D25113" w:rsidP="0070360F">
      <w:pPr>
        <w:pStyle w:val="Text"/>
        <w:keepNext/>
        <w:keepLines/>
        <w:rPr>
          <w:u w:val="single"/>
        </w:rPr>
      </w:pPr>
      <w:r>
        <w:rPr>
          <w:u w:val="single"/>
        </w:rPr>
        <w:t>a) Administracijos vykdymo sąnaudos</w:t>
      </w:r>
    </w:p>
    <w:p w14:paraId="769FC95B" w14:textId="77777777" w:rsidR="00612652" w:rsidRPr="00D43FA1" w:rsidRDefault="00612652" w:rsidP="0070360F">
      <w:pPr>
        <w:pStyle w:val="Text"/>
        <w:keepNext/>
        <w:keepLines/>
      </w:pPr>
      <w:r>
        <w:t xml:space="preserve">Federacijos administracijai dėl šio nutarimo neatsiranda jokių papildomų išlaidų. </w:t>
      </w:r>
    </w:p>
    <w:p w14:paraId="6AFCAA5B" w14:textId="77777777" w:rsidR="00AD0A9D" w:rsidRPr="00D43FA1" w:rsidRDefault="006A578D" w:rsidP="0070360F">
      <w:pPr>
        <w:pStyle w:val="Text"/>
        <w:keepNext/>
        <w:keepLines/>
      </w:pPr>
      <w:r>
        <w:t>Remiantis federacinių žemių pateiktais duomenimis, federacinių žemių administracijai dėl papildomos priežiūros ir kontrolės veiklos dėl nutarimo atsiras toliau nurodytos papildomos vykdymo sąnaudos:</w:t>
      </w:r>
    </w:p>
    <w:tbl>
      <w:tblPr>
        <w:tblStyle w:val="TableGrid"/>
        <w:tblW w:w="0" w:type="auto"/>
        <w:tblLook w:val="04A0" w:firstRow="1" w:lastRow="0" w:firstColumn="1" w:lastColumn="0" w:noHBand="0" w:noVBand="1"/>
      </w:tblPr>
      <w:tblGrid>
        <w:gridCol w:w="4385"/>
        <w:gridCol w:w="4394"/>
      </w:tblGrid>
      <w:tr w:rsidR="00AD0A9D" w:rsidRPr="00D43FA1" w14:paraId="6E6BEC6C" w14:textId="77777777" w:rsidTr="007905CF">
        <w:tc>
          <w:tcPr>
            <w:tcW w:w="4464" w:type="dxa"/>
          </w:tcPr>
          <w:p w14:paraId="7A206076" w14:textId="77777777" w:rsidR="00AD0A9D" w:rsidRPr="00D43FA1" w:rsidRDefault="00E77C05" w:rsidP="007905CF">
            <w:pPr>
              <w:pStyle w:val="Text"/>
            </w:pPr>
            <w:r>
              <w:t>Vienkartinės materialinės išlaidos</w:t>
            </w:r>
          </w:p>
        </w:tc>
        <w:tc>
          <w:tcPr>
            <w:tcW w:w="4465" w:type="dxa"/>
          </w:tcPr>
          <w:p w14:paraId="4721955D" w14:textId="77777777" w:rsidR="00AD0A9D" w:rsidRPr="00D43FA1" w:rsidRDefault="00AD0A9D" w:rsidP="009969BE">
            <w:pPr>
              <w:pStyle w:val="Text"/>
              <w:jc w:val="left"/>
            </w:pPr>
            <w:r>
              <w:t>Maždaug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Vienkartinės personalo išlaidos</w:t>
            </w:r>
          </w:p>
        </w:tc>
        <w:tc>
          <w:tcPr>
            <w:tcW w:w="4465" w:type="dxa"/>
          </w:tcPr>
          <w:p w14:paraId="38C1D206" w14:textId="77777777" w:rsidR="00AD0A9D" w:rsidRPr="00D43FA1" w:rsidRDefault="00AD0A9D" w:rsidP="009969BE">
            <w:pPr>
              <w:pStyle w:val="Text"/>
              <w:jc w:val="left"/>
            </w:pPr>
            <w:r>
              <w:t>Maždaug 1 123 000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Materialinės išlaidos per metus</w:t>
            </w:r>
          </w:p>
        </w:tc>
        <w:tc>
          <w:tcPr>
            <w:tcW w:w="4465" w:type="dxa"/>
          </w:tcPr>
          <w:p w14:paraId="4080915D" w14:textId="77777777" w:rsidR="00AD0A9D" w:rsidRPr="00D43FA1" w:rsidRDefault="00AD0A9D" w:rsidP="009969BE">
            <w:pPr>
              <w:pStyle w:val="Text"/>
              <w:jc w:val="left"/>
            </w:pPr>
            <w:r>
              <w:t>Maždaug 1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Personalo išlaidos per metus</w:t>
            </w:r>
          </w:p>
        </w:tc>
        <w:tc>
          <w:tcPr>
            <w:tcW w:w="4465" w:type="dxa"/>
          </w:tcPr>
          <w:p w14:paraId="21ABAEB6" w14:textId="77777777" w:rsidR="00AD0A9D" w:rsidRPr="00D43FA1" w:rsidRDefault="00AD0A9D" w:rsidP="000636B3">
            <w:pPr>
              <w:pStyle w:val="Text"/>
              <w:jc w:val="left"/>
            </w:pPr>
            <w:r>
              <w:t>Maždaug 1 292 000 EUR</w:t>
            </w:r>
          </w:p>
        </w:tc>
      </w:tr>
    </w:tbl>
    <w:p w14:paraId="6B8CCD1C" w14:textId="77777777" w:rsidR="00E6133B" w:rsidRPr="00D43FA1" w:rsidRDefault="00E6133B" w:rsidP="00612652">
      <w:pPr>
        <w:pStyle w:val="Text"/>
      </w:pPr>
      <w:r>
        <w:t xml:space="preserve">Todėl per metus atsiras vidutiniškai vienkartinės 236 200 EUR sąnaudos ir vidutiniškai 74 400 EUR vykdymo sąnaudos per metus.  </w:t>
      </w:r>
    </w:p>
    <w:p w14:paraId="525979E7" w14:textId="108FCA64" w:rsidR="00891D8C" w:rsidRPr="007E01A6" w:rsidRDefault="007C7B00" w:rsidP="00E24BD3">
      <w:pPr>
        <w:pStyle w:val="Text"/>
      </w:pPr>
      <w:r>
        <w:t xml:space="preserve">Šias išlaidas sudaro kaštų eilutės pagal toliau nurodytus atskirus federacinių žemių duomenis. Ne visos federacinės žemės pateikė pranešimus apie dėl šio nutarimo atsirandančias išlaidas. Tai galima pagrįsti tuo, kad, pvz., kol kas neatliekami atitinkami tyrimai arba jie atliekami bendrai su kitomis federacinėmis žemėmis. </w:t>
      </w:r>
    </w:p>
    <w:p w14:paraId="4DA66B7C" w14:textId="77777777" w:rsidR="007C7B00" w:rsidRPr="00D43FA1" w:rsidRDefault="007C7B00" w:rsidP="0070360F">
      <w:pPr>
        <w:pStyle w:val="Text"/>
        <w:keepNext/>
        <w:keepLines/>
        <w:tabs>
          <w:tab w:val="left" w:pos="0"/>
        </w:tabs>
        <w:spacing w:before="0" w:after="0"/>
        <w:rPr>
          <w:u w:val="single"/>
        </w:rPr>
      </w:pPr>
      <w:r>
        <w:rPr>
          <w:u w:val="single"/>
        </w:rPr>
        <w:lastRenderedPageBreak/>
        <w:t>Badenas-Viurtembergas:</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5"/>
        <w:gridCol w:w="4394"/>
      </w:tblGrid>
      <w:tr w:rsidR="009969BE" w:rsidRPr="00A21513" w14:paraId="3386D9CF" w14:textId="77777777" w:rsidTr="0070360F">
        <w:tc>
          <w:tcPr>
            <w:tcW w:w="4464" w:type="dxa"/>
          </w:tcPr>
          <w:p w14:paraId="47DC230D" w14:textId="0F7E0FFB" w:rsidR="009969BE" w:rsidRPr="00A21513" w:rsidRDefault="009969BE" w:rsidP="00E24BD3">
            <w:pPr>
              <w:pStyle w:val="Text"/>
              <w:tabs>
                <w:tab w:val="left" w:pos="0"/>
              </w:tabs>
              <w:rPr>
                <w:spacing w:val="-4"/>
              </w:rPr>
            </w:pPr>
            <w:r w:rsidRPr="00A21513">
              <w:rPr>
                <w:spacing w:val="-4"/>
              </w:rPr>
              <w:t>Vienkartinės materialinės išlaidos:</w:t>
            </w:r>
          </w:p>
        </w:tc>
        <w:tc>
          <w:tcPr>
            <w:tcW w:w="4465" w:type="dxa"/>
          </w:tcPr>
          <w:p w14:paraId="633997F1" w14:textId="77777777" w:rsidR="009969BE" w:rsidRPr="00A21513" w:rsidRDefault="000636B3" w:rsidP="000636B3">
            <w:pPr>
              <w:pStyle w:val="Text"/>
              <w:rPr>
                <w:spacing w:val="-4"/>
              </w:rPr>
            </w:pPr>
            <w:r w:rsidRPr="00A21513">
              <w:rPr>
                <w:spacing w:val="-4"/>
              </w:rPr>
              <w:t xml:space="preserve">220 000 EUR (prietaisų įsigijimas) </w:t>
            </w:r>
          </w:p>
        </w:tc>
      </w:tr>
      <w:tr w:rsidR="009969BE" w:rsidRPr="00A21513" w14:paraId="0B1C7BA1" w14:textId="77777777" w:rsidTr="0070360F">
        <w:tc>
          <w:tcPr>
            <w:tcW w:w="4464" w:type="dxa"/>
          </w:tcPr>
          <w:p w14:paraId="575EAB32" w14:textId="77777777" w:rsidR="009969BE" w:rsidRPr="00A21513" w:rsidRDefault="009969BE" w:rsidP="000636B3">
            <w:pPr>
              <w:pStyle w:val="Text"/>
              <w:tabs>
                <w:tab w:val="left" w:pos="0"/>
              </w:tabs>
              <w:rPr>
                <w:spacing w:val="-4"/>
              </w:rPr>
            </w:pPr>
            <w:r w:rsidRPr="00A21513">
              <w:rPr>
                <w:spacing w:val="-4"/>
              </w:rPr>
              <w:t xml:space="preserve">Vienkartinės personalo išlaidos: </w:t>
            </w:r>
          </w:p>
        </w:tc>
        <w:tc>
          <w:tcPr>
            <w:tcW w:w="4465" w:type="dxa"/>
          </w:tcPr>
          <w:p w14:paraId="65DA8490" w14:textId="77777777" w:rsidR="009969BE" w:rsidRPr="00A21513" w:rsidRDefault="000636B3" w:rsidP="000636B3">
            <w:pPr>
              <w:pStyle w:val="Text"/>
              <w:tabs>
                <w:tab w:val="left" w:pos="0"/>
              </w:tabs>
              <w:jc w:val="left"/>
              <w:rPr>
                <w:spacing w:val="-4"/>
              </w:rPr>
            </w:pPr>
            <w:r w:rsidRPr="00A21513">
              <w:rPr>
                <w:spacing w:val="-4"/>
              </w:rPr>
              <w:t>35 000 EUR (standartizuotos analizės parengimas neatliekant įprastinių bandinių matavimų)</w:t>
            </w:r>
          </w:p>
        </w:tc>
      </w:tr>
      <w:tr w:rsidR="009969BE" w:rsidRPr="00A21513" w14:paraId="55E9234D" w14:textId="77777777" w:rsidTr="0070360F">
        <w:tc>
          <w:tcPr>
            <w:tcW w:w="4464" w:type="dxa"/>
          </w:tcPr>
          <w:p w14:paraId="5EBF97DE" w14:textId="117BCA06" w:rsidR="009969BE" w:rsidRPr="00A21513" w:rsidRDefault="009969BE" w:rsidP="00E24BD3">
            <w:pPr>
              <w:pStyle w:val="Text"/>
              <w:tabs>
                <w:tab w:val="left" w:pos="0"/>
              </w:tabs>
              <w:rPr>
                <w:spacing w:val="-4"/>
              </w:rPr>
            </w:pPr>
            <w:r w:rsidRPr="00A21513">
              <w:rPr>
                <w:spacing w:val="-4"/>
              </w:rPr>
              <w:t>Materialinės išlaidos per metus:</w:t>
            </w:r>
          </w:p>
        </w:tc>
        <w:tc>
          <w:tcPr>
            <w:tcW w:w="4465" w:type="dxa"/>
          </w:tcPr>
          <w:p w14:paraId="77320B51" w14:textId="77777777" w:rsidR="009969BE" w:rsidRPr="00A21513" w:rsidRDefault="009969BE" w:rsidP="000636B3">
            <w:pPr>
              <w:pStyle w:val="Text"/>
              <w:jc w:val="left"/>
              <w:rPr>
                <w:spacing w:val="-4"/>
              </w:rPr>
            </w:pPr>
            <w:r w:rsidRPr="00A21513">
              <w:rPr>
                <w:spacing w:val="-4"/>
              </w:rPr>
              <w:t>Maždaug 10 000 EUR (vertinimas) (prietaisų techninė priežiūra, eksploatacinės medžiagos remontas ir t.t.)</w:t>
            </w:r>
          </w:p>
        </w:tc>
      </w:tr>
      <w:tr w:rsidR="009969BE" w:rsidRPr="00A21513" w14:paraId="5B2A82B8" w14:textId="77777777" w:rsidTr="0070360F">
        <w:tc>
          <w:tcPr>
            <w:tcW w:w="4464" w:type="dxa"/>
          </w:tcPr>
          <w:p w14:paraId="6BFC2AFE" w14:textId="76CDD47F" w:rsidR="009969BE" w:rsidRPr="00A21513" w:rsidRDefault="009969BE" w:rsidP="00E24BD3">
            <w:pPr>
              <w:pStyle w:val="Text"/>
              <w:tabs>
                <w:tab w:val="left" w:pos="0"/>
              </w:tabs>
              <w:rPr>
                <w:spacing w:val="-4"/>
              </w:rPr>
            </w:pPr>
            <w:r w:rsidRPr="00A21513">
              <w:rPr>
                <w:spacing w:val="-4"/>
              </w:rPr>
              <w:t>Personalo išlaidos per metus:</w:t>
            </w:r>
          </w:p>
        </w:tc>
        <w:tc>
          <w:tcPr>
            <w:tcW w:w="4465" w:type="dxa"/>
          </w:tcPr>
          <w:p w14:paraId="440A534D" w14:textId="6BDB973C" w:rsidR="000636B3" w:rsidRPr="00A21513" w:rsidRDefault="000636B3" w:rsidP="00E24BD3">
            <w:pPr>
              <w:contextualSpacing/>
              <w:jc w:val="left"/>
              <w:rPr>
                <w:spacing w:val="-4"/>
              </w:rPr>
            </w:pPr>
            <w:r w:rsidRPr="00A21513">
              <w:rPr>
                <w:spacing w:val="-4"/>
              </w:rPr>
              <w:t>Maždaug 60 000 EUR (darant prielaidą, kad reikės po 50 % chemijos techninio asistento ir laboratorijos vedėjo etato; faktinės personalo išlaidos per metus turėtų priklausyti nuo faktinio bandinių skaičiaus ir faktinių išlaidų dokumentų patikrinimui).</w:t>
            </w:r>
          </w:p>
        </w:tc>
      </w:tr>
    </w:tbl>
    <w:p w14:paraId="08E5AD35" w14:textId="2F20F6E7" w:rsidR="007C7B00" w:rsidRPr="00D43FA1" w:rsidRDefault="007C7B00" w:rsidP="009969BE">
      <w:pPr>
        <w:pStyle w:val="Text"/>
        <w:spacing w:before="0" w:after="0"/>
      </w:pPr>
    </w:p>
    <w:p w14:paraId="37B8C963" w14:textId="77777777" w:rsidR="00D43FA1" w:rsidRPr="00A21513" w:rsidRDefault="007C7B00" w:rsidP="00BE6637">
      <w:pPr>
        <w:pStyle w:val="ListParagraph"/>
        <w:ind w:left="0"/>
        <w:contextualSpacing/>
        <w:rPr>
          <w:rFonts w:ascii="Arial" w:hAnsi="Arial" w:cs="Arial"/>
          <w:spacing w:val="-4"/>
          <w:sz w:val="22"/>
          <w:szCs w:val="22"/>
        </w:rPr>
      </w:pPr>
      <w:r w:rsidRPr="00A21513">
        <w:rPr>
          <w:rFonts w:ascii="Arial" w:hAnsi="Arial"/>
          <w:spacing w:val="-4"/>
          <w:sz w:val="22"/>
          <w:szCs w:val="22"/>
        </w:rPr>
        <w:t xml:space="preserve">Į nurodytas išlaidas įtrauktos analizės ir tik vienos dalies dokumentų patikrinimo tyrimus atliekančioje įstaigoje sąnaudos, nes su maistu liestis skirtų vartojimo reikmenų gamybos ir pateikimo rinkai srityje neprivaloma įmonių registracija ir todėl nėra pilnutinių duomenų apie šiuo nutarimu reglamentuojamų su maistu liestis skirtų vartojimo reikmenų gamintojų ir pardavėjų skaičių.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t>Bavarija:</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8"/>
        <w:gridCol w:w="4391"/>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Vienkartinės materialinės išlaidos:</w:t>
            </w:r>
          </w:p>
        </w:tc>
        <w:tc>
          <w:tcPr>
            <w:tcW w:w="4465" w:type="dxa"/>
          </w:tcPr>
          <w:p w14:paraId="368558E6" w14:textId="77777777" w:rsidR="000636B3" w:rsidRPr="00D43FA1" w:rsidRDefault="000636B3" w:rsidP="000636B3">
            <w:pPr>
              <w:pStyle w:val="Text"/>
              <w:rPr>
                <w:color w:val="000000"/>
              </w:rPr>
            </w:pPr>
            <w:r>
              <w:rPr>
                <w:color w:val="000000"/>
              </w:rPr>
              <w:t xml:space="preserve">Maždaug 200 000 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Personalo išlaidos per metus:</w:t>
            </w:r>
          </w:p>
        </w:tc>
        <w:tc>
          <w:tcPr>
            <w:tcW w:w="4465" w:type="dxa"/>
          </w:tcPr>
          <w:p w14:paraId="670B56AD" w14:textId="77777777" w:rsidR="000636B3" w:rsidRPr="00D43FA1" w:rsidRDefault="000636B3" w:rsidP="000636B3">
            <w:pPr>
              <w:pStyle w:val="Text"/>
              <w:rPr>
                <w:color w:val="000000"/>
              </w:rPr>
            </w:pPr>
            <w:r>
              <w:rPr>
                <w:color w:val="000000"/>
              </w:rPr>
              <w:t xml:space="preserve">Maždaug 72 000 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Materialinės išlaidos per metus: </w:t>
            </w:r>
          </w:p>
        </w:tc>
        <w:tc>
          <w:tcPr>
            <w:tcW w:w="4465" w:type="dxa"/>
          </w:tcPr>
          <w:p w14:paraId="3AA9289D" w14:textId="77777777" w:rsidR="000636B3" w:rsidRPr="00D43FA1" w:rsidRDefault="000636B3" w:rsidP="000636B3">
            <w:pPr>
              <w:pStyle w:val="Text"/>
              <w:rPr>
                <w:color w:val="000000"/>
              </w:rPr>
            </w:pPr>
            <w:r>
              <w:rPr>
                <w:color w:val="000000"/>
              </w:rPr>
              <w:t xml:space="preserve">Maždaug 10 000 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Žemutinė Saksonija:</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8"/>
        <w:gridCol w:w="4391"/>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Vienkartinės materialinės išlaidos: </w:t>
            </w:r>
          </w:p>
        </w:tc>
        <w:tc>
          <w:tcPr>
            <w:tcW w:w="4465" w:type="dxa"/>
          </w:tcPr>
          <w:p w14:paraId="3E9249EF" w14:textId="7A6FADAD" w:rsidR="0092712D" w:rsidRPr="00D43FA1" w:rsidRDefault="0092712D" w:rsidP="00CB2B7C">
            <w:pPr>
              <w:spacing w:before="0" w:after="0"/>
              <w:jc w:val="left"/>
            </w:pPr>
            <w:r>
              <w:t>170 000 EUR (išlaidos prietaisui, skirtam HPLC-GC sąsajai)</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Išlaidos per metus:</w:t>
            </w:r>
          </w:p>
        </w:tc>
        <w:tc>
          <w:tcPr>
            <w:tcW w:w="4465" w:type="dxa"/>
          </w:tcPr>
          <w:p w14:paraId="51489E53" w14:textId="640CCC19" w:rsidR="0092712D" w:rsidRPr="00D43FA1" w:rsidRDefault="0092712D" w:rsidP="00CB2B7C">
            <w:pPr>
              <w:pStyle w:val="Text"/>
              <w:spacing w:before="0" w:after="0"/>
              <w:jc w:val="left"/>
              <w:rPr>
                <w:u w:val="single"/>
              </w:rPr>
            </w:pPr>
            <w:r>
              <w:t>52 000 EUR (remiantis prielaida, kad bus tiriama 200 bandinių ir atliekama 40 dokumentų patikrinimų per metus)</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Šlėzvigas-Holšteinas</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8"/>
        <w:gridCol w:w="4391"/>
      </w:tblGrid>
      <w:tr w:rsidR="0092712D" w:rsidRPr="00A21513" w14:paraId="2868753F" w14:textId="77777777" w:rsidTr="00CB2B7C">
        <w:tc>
          <w:tcPr>
            <w:tcW w:w="4464" w:type="dxa"/>
          </w:tcPr>
          <w:p w14:paraId="58802FCE" w14:textId="584D20E4" w:rsidR="0092712D" w:rsidRPr="00A21513" w:rsidRDefault="0092712D" w:rsidP="00E24BD3">
            <w:pPr>
              <w:pStyle w:val="Text"/>
              <w:rPr>
                <w:spacing w:val="-4"/>
                <w:u w:val="single"/>
              </w:rPr>
            </w:pPr>
            <w:r w:rsidRPr="00A21513">
              <w:rPr>
                <w:color w:val="000000"/>
                <w:spacing w:val="-4"/>
              </w:rPr>
              <w:t>Vienkartinės materialinės išlaidos:</w:t>
            </w:r>
          </w:p>
        </w:tc>
        <w:tc>
          <w:tcPr>
            <w:tcW w:w="4465" w:type="dxa"/>
          </w:tcPr>
          <w:p w14:paraId="48B6D078" w14:textId="77777777" w:rsidR="0092712D" w:rsidRPr="00A21513" w:rsidRDefault="0092712D" w:rsidP="00CB2B7C">
            <w:pPr>
              <w:pStyle w:val="Text"/>
              <w:jc w:val="left"/>
              <w:rPr>
                <w:color w:val="000000"/>
                <w:spacing w:val="-4"/>
              </w:rPr>
            </w:pPr>
            <w:r w:rsidRPr="00A21513">
              <w:rPr>
                <w:color w:val="000000"/>
                <w:spacing w:val="-4"/>
              </w:rPr>
              <w:t>238 000 EUR (išlaidos prietaisui, skirtam HPLC-GC sąsajai; prietaisas buvo įsigytas 2017 m. kovo-balandžio mėnesiais)</w:t>
            </w:r>
          </w:p>
        </w:tc>
      </w:tr>
      <w:tr w:rsidR="0092712D" w:rsidRPr="00A21513" w14:paraId="35D9098E" w14:textId="77777777" w:rsidTr="00CB2B7C">
        <w:tc>
          <w:tcPr>
            <w:tcW w:w="4464" w:type="dxa"/>
          </w:tcPr>
          <w:p w14:paraId="4A66A9B5" w14:textId="1366BFA4" w:rsidR="0092712D" w:rsidRPr="00A21513" w:rsidRDefault="0092712D" w:rsidP="00E24BD3">
            <w:pPr>
              <w:pStyle w:val="Text"/>
              <w:rPr>
                <w:spacing w:val="-4"/>
                <w:u w:val="single"/>
              </w:rPr>
            </w:pPr>
            <w:r w:rsidRPr="00A21513">
              <w:rPr>
                <w:color w:val="000000"/>
                <w:spacing w:val="-4"/>
              </w:rPr>
              <w:t xml:space="preserve">Vienkartinės personalo išlaidos: </w:t>
            </w:r>
          </w:p>
        </w:tc>
        <w:tc>
          <w:tcPr>
            <w:tcW w:w="4465" w:type="dxa"/>
          </w:tcPr>
          <w:p w14:paraId="5F896AF4" w14:textId="77777777" w:rsidR="0092712D" w:rsidRPr="00A21513" w:rsidRDefault="0092712D" w:rsidP="0092712D">
            <w:pPr>
              <w:pStyle w:val="Text"/>
              <w:rPr>
                <w:color w:val="000000"/>
                <w:spacing w:val="-4"/>
              </w:rPr>
            </w:pPr>
            <w:r w:rsidRPr="00A21513">
              <w:rPr>
                <w:color w:val="000000"/>
                <w:spacing w:val="-4"/>
              </w:rPr>
              <w:t>5 000 EUR (kvalifikacijos kėlimas)</w:t>
            </w:r>
          </w:p>
        </w:tc>
      </w:tr>
      <w:tr w:rsidR="0092712D" w:rsidRPr="00A21513" w14:paraId="3E394749" w14:textId="77777777" w:rsidTr="00CB2B7C">
        <w:tc>
          <w:tcPr>
            <w:tcW w:w="4464" w:type="dxa"/>
          </w:tcPr>
          <w:p w14:paraId="62504A2D" w14:textId="77777777" w:rsidR="0092712D" w:rsidRPr="00A21513" w:rsidRDefault="0092712D" w:rsidP="0092712D">
            <w:pPr>
              <w:pStyle w:val="Text"/>
              <w:rPr>
                <w:spacing w:val="-4"/>
                <w:u w:val="single"/>
              </w:rPr>
            </w:pPr>
            <w:r w:rsidRPr="00A21513">
              <w:rPr>
                <w:color w:val="000000"/>
                <w:spacing w:val="-4"/>
              </w:rPr>
              <w:t xml:space="preserve">Personalo išlaidos per metus: </w:t>
            </w:r>
          </w:p>
        </w:tc>
        <w:tc>
          <w:tcPr>
            <w:tcW w:w="4465" w:type="dxa"/>
          </w:tcPr>
          <w:p w14:paraId="3D3A8607" w14:textId="77777777" w:rsidR="0092712D" w:rsidRPr="00A21513" w:rsidRDefault="00234C16" w:rsidP="00CB2B7C">
            <w:pPr>
              <w:pStyle w:val="Text"/>
              <w:tabs>
                <w:tab w:val="left" w:pos="2694"/>
              </w:tabs>
              <w:spacing w:after="0"/>
              <w:jc w:val="left"/>
              <w:rPr>
                <w:color w:val="000000"/>
                <w:spacing w:val="-4"/>
              </w:rPr>
            </w:pPr>
            <w:r w:rsidRPr="00A21513">
              <w:rPr>
                <w:color w:val="000000"/>
                <w:spacing w:val="-4"/>
              </w:rPr>
              <w:t>Maždaug 70 000 EUR (0,5 mokslinio darbuotojo (E14 atlygio grupė) etato,</w:t>
            </w:r>
          </w:p>
          <w:p w14:paraId="093480AE" w14:textId="77777777" w:rsidR="0092712D" w:rsidRPr="00A21513" w:rsidRDefault="0092712D" w:rsidP="0092712D">
            <w:pPr>
              <w:pStyle w:val="Text"/>
              <w:tabs>
                <w:tab w:val="left" w:pos="2694"/>
              </w:tabs>
              <w:spacing w:before="0"/>
              <w:rPr>
                <w:color w:val="000000"/>
                <w:spacing w:val="-4"/>
              </w:rPr>
            </w:pPr>
            <w:r w:rsidRPr="00A21513">
              <w:rPr>
                <w:color w:val="000000"/>
                <w:spacing w:val="-4"/>
              </w:rPr>
              <w:t>1 techninio darbuotojo etatas (E9 atlygio grupė)</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t>Saksonija:</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5"/>
        <w:gridCol w:w="4394"/>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Vienkartinės materialinės išlaidos:</w:t>
            </w:r>
          </w:p>
        </w:tc>
        <w:tc>
          <w:tcPr>
            <w:tcW w:w="4465" w:type="dxa"/>
          </w:tcPr>
          <w:p w14:paraId="071DBD33" w14:textId="77777777" w:rsidR="00891D8C" w:rsidRPr="00D43FA1" w:rsidRDefault="00891D8C" w:rsidP="00CB2B7C">
            <w:pPr>
              <w:pStyle w:val="Text"/>
              <w:tabs>
                <w:tab w:val="left" w:pos="0"/>
              </w:tabs>
              <w:jc w:val="left"/>
            </w:pPr>
            <w:r>
              <w:t>230 000 EUR (prietaiso įsigijimas)</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Vienkartinės personalo išlaidos:</w:t>
            </w:r>
          </w:p>
        </w:tc>
        <w:tc>
          <w:tcPr>
            <w:tcW w:w="4465" w:type="dxa"/>
          </w:tcPr>
          <w:p w14:paraId="6E7CBC6B" w14:textId="77777777" w:rsidR="00891D8C" w:rsidRPr="00D43FA1" w:rsidRDefault="00891D8C" w:rsidP="00CB2B7C">
            <w:pPr>
              <w:pStyle w:val="Text"/>
              <w:jc w:val="left"/>
              <w:rPr>
                <w:color w:val="000000"/>
                <w:u w:val="single"/>
              </w:rPr>
            </w:pPr>
            <w:r>
              <w:t>83 000 EUR (0,5 etato (Ü13 atlygio grupė) ir 1,0 etato (6 atlygio grupė) mokymo dirbti atitinkamais analizės prietaisais ir taikyti metodą etape)</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Materialinės išlaidos per metus: </w:t>
            </w:r>
          </w:p>
        </w:tc>
        <w:tc>
          <w:tcPr>
            <w:tcW w:w="4465" w:type="dxa"/>
          </w:tcPr>
          <w:p w14:paraId="3563608C" w14:textId="77777777" w:rsidR="00891D8C" w:rsidRPr="00D43FA1" w:rsidRDefault="00891D8C" w:rsidP="00CB2B7C">
            <w:pPr>
              <w:pStyle w:val="Text"/>
              <w:tabs>
                <w:tab w:val="left" w:pos="0"/>
              </w:tabs>
              <w:jc w:val="left"/>
              <w:rPr>
                <w:color w:val="000000"/>
                <w:u w:val="single"/>
              </w:rPr>
            </w:pPr>
            <w:r>
              <w:t>Maždaug nuo 6 000 iki 8 000 EUR (prietaiso techninė priežiūra, eksploatacinės priemonės, remontas)</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Personalo išlaidos per metus: </w:t>
            </w:r>
          </w:p>
        </w:tc>
        <w:tc>
          <w:tcPr>
            <w:tcW w:w="4465" w:type="dxa"/>
          </w:tcPr>
          <w:p w14:paraId="09C3AC3F" w14:textId="77777777" w:rsidR="00891D8C" w:rsidRPr="00D43FA1" w:rsidRDefault="00891D8C" w:rsidP="00CB2B7C">
            <w:pPr>
              <w:pStyle w:val="Text"/>
              <w:tabs>
                <w:tab w:val="left" w:pos="0"/>
              </w:tabs>
              <w:jc w:val="left"/>
              <w:rPr>
                <w:color w:val="000000"/>
                <w:u w:val="single"/>
              </w:rPr>
            </w:pPr>
            <w:r>
              <w:t>Maždaug 90 000 EUR (2,0 etato, 6 atlygio grupė įprastai eksploatuojant)</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u w:val="single"/>
        </w:rPr>
        <w:t>Saksonija-Anhaltas</w:t>
      </w:r>
      <w:r>
        <w:t xml:space="preserve"> iki šiol negalėjo įvardinti atsirandančių vienkartinių bei kartotinių išlaidų.</w:t>
      </w:r>
    </w:p>
    <w:p w14:paraId="3F91406B" w14:textId="494897A8" w:rsidR="00977AB9" w:rsidRPr="00D43FA1" w:rsidRDefault="00042625" w:rsidP="00E24BD3">
      <w:pPr>
        <w:pStyle w:val="Text"/>
        <w:spacing w:before="0" w:after="0"/>
      </w:pPr>
      <w:r>
        <w:t xml:space="preserve"> </w:t>
      </w:r>
    </w:p>
    <w:p w14:paraId="2291BC65" w14:textId="0F1CA2AE" w:rsidR="00042625" w:rsidRDefault="00042625" w:rsidP="00E24BD3">
      <w:pPr>
        <w:pStyle w:val="Text"/>
        <w:spacing w:before="0" w:after="0"/>
        <w:rPr>
          <w:color w:val="000000"/>
        </w:rPr>
      </w:pPr>
      <w:r>
        <w:rPr>
          <w:color w:val="000000"/>
          <w:u w:val="single"/>
        </w:rPr>
        <w:t>Tiuringija</w:t>
      </w:r>
      <w:r>
        <w:rPr>
          <w:color w:val="000000"/>
        </w:rPr>
        <w:t xml:space="preserve"> pranešė, kad tikėtina, jog vienkartinės išlaidos bus nemažos. Tačiau šiame etape Tiuringija negali pateikti išsamių duomenų apie išlaidas.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b) Vykdymo sąnaudos ūkio subjektams</w:t>
      </w:r>
    </w:p>
    <w:p w14:paraId="1AC16888" w14:textId="187C182C" w:rsidR="00755B7A" w:rsidRPr="00D43FA1" w:rsidRDefault="004D5050" w:rsidP="007C7B00">
      <w:pPr>
        <w:pStyle w:val="Text"/>
      </w:pPr>
      <w:r>
        <w:t>Kalbant apie vykdymo sąnaudas ūkio subjektams, tai ypač vidutinio dydžio ekonomikos subjektams dėl nutarimo atsiras papildomų išlaidų. Kadangi maisto produktų užterštumo mineralinės alyvos sudedamosiomis dalimis iš su maistu liestis skirtų vartojimo reikmenų jau senokai žinoma, jau buvo pertvarkyta visa eilė pakuočių, pvz., naudojant tarpinius maišelius, dangas arba naujus pluoštus vietoj pluoštų perdirbto popieriaus medžiagų pagrindu. Tačiau žymiai likusiai daliai su maistu liestis skirtų vartojimo reikmenų būtini pakeitimai, jei netaikoma išimties taisyklė.</w:t>
      </w:r>
    </w:p>
    <w:p w14:paraId="08D3E308" w14:textId="77777777" w:rsidR="0082568F" w:rsidRPr="00D43FA1" w:rsidRDefault="0082568F" w:rsidP="007C7B00">
      <w:pPr>
        <w:pStyle w:val="Text"/>
      </w:pPr>
      <w:r>
        <w:t xml:space="preserve">Statistikos federalinės tarnybos </w:t>
      </w:r>
      <w:r>
        <w:rPr>
          <w:i/>
          <w:iCs/>
        </w:rPr>
        <w:t>ex-ante</w:t>
      </w:r>
      <w:r>
        <w:t xml:space="preserve"> vertinimu nustatytos vienkartinės vykdymo sąnaudos (pertvarkymo išlaidos) sudarys maždaug 9 280 000 EUR, o papildomos vykdymo sąnaudos per metus sudarys maždaug 8 160 000 EUR. Dėl dviejų numatytų naujų informavimo prievolių – rašytinė ar elektroninės formos deklaracija atsisakant funkcinio barjero pagal 6a straipsnio 3 dalį bei patvirtinimo prievolė, kad MOAH neperduodami, pagal 6a straipsnio 5 dalį – Federalinės statistikos tarnybos vertinimu atsiras tik nedidelės išlaidos. </w:t>
      </w:r>
    </w:p>
    <w:p w14:paraId="43B9512B" w14:textId="77777777" w:rsidR="006B7BFE" w:rsidRPr="00D43FA1" w:rsidRDefault="006B7BFE" w:rsidP="0070360F">
      <w:pPr>
        <w:pStyle w:val="Text"/>
        <w:keepNext/>
        <w:keepLines/>
      </w:pPr>
      <w:r>
        <w:rPr>
          <w:b/>
          <w:bCs/>
        </w:rPr>
        <w:t xml:space="preserve">1 lentelė. Vykdymo sąnaudų suvestinė </w:t>
      </w:r>
    </w:p>
    <w:tbl>
      <w:tblPr>
        <w:tblStyle w:val="TableGrid"/>
        <w:tblW w:w="0" w:type="auto"/>
        <w:tblLayout w:type="fixed"/>
        <w:tblLook w:val="04A0" w:firstRow="1" w:lastRow="0" w:firstColumn="1" w:lastColumn="0" w:noHBand="0" w:noVBand="1"/>
      </w:tblPr>
      <w:tblGrid>
        <w:gridCol w:w="1530"/>
        <w:gridCol w:w="3470"/>
        <w:gridCol w:w="1912"/>
        <w:gridCol w:w="2093"/>
      </w:tblGrid>
      <w:tr w:rsidR="0082568F" w:rsidRPr="00A21513" w14:paraId="720AC6FB" w14:textId="77777777" w:rsidTr="00295A54">
        <w:tc>
          <w:tcPr>
            <w:tcW w:w="1530" w:type="dxa"/>
          </w:tcPr>
          <w:p w14:paraId="376BBF5B" w14:textId="77777777" w:rsidR="0082568F" w:rsidRPr="00A21513" w:rsidRDefault="0082568F" w:rsidP="0070360F">
            <w:pPr>
              <w:pStyle w:val="Text"/>
              <w:keepNext/>
              <w:keepLines/>
              <w:jc w:val="center"/>
              <w:rPr>
                <w:b/>
                <w:spacing w:val="-4"/>
              </w:rPr>
            </w:pPr>
            <w:r w:rsidRPr="00A21513">
              <w:rPr>
                <w:b/>
                <w:spacing w:val="-4"/>
              </w:rPr>
              <w:t>Taisyklė</w:t>
            </w:r>
          </w:p>
        </w:tc>
        <w:tc>
          <w:tcPr>
            <w:tcW w:w="3470" w:type="dxa"/>
          </w:tcPr>
          <w:p w14:paraId="3B98CCA4" w14:textId="77777777" w:rsidR="0082568F" w:rsidRPr="00A21513" w:rsidRDefault="0082568F" w:rsidP="0070360F">
            <w:pPr>
              <w:pStyle w:val="Text"/>
              <w:keepNext/>
              <w:keepLines/>
              <w:jc w:val="center"/>
              <w:rPr>
                <w:b/>
                <w:spacing w:val="-4"/>
              </w:rPr>
            </w:pPr>
            <w:r w:rsidRPr="00A21513">
              <w:rPr>
                <w:b/>
                <w:spacing w:val="-4"/>
              </w:rPr>
              <w:t>Reikalavimas arba informavimo prievolė</w:t>
            </w:r>
          </w:p>
        </w:tc>
        <w:tc>
          <w:tcPr>
            <w:tcW w:w="1912" w:type="dxa"/>
          </w:tcPr>
          <w:p w14:paraId="6FEF8D76" w14:textId="77777777" w:rsidR="0082568F" w:rsidRPr="00A21513" w:rsidRDefault="0082568F" w:rsidP="0070360F">
            <w:pPr>
              <w:pStyle w:val="Text"/>
              <w:keepNext/>
              <w:keepLines/>
              <w:jc w:val="center"/>
              <w:rPr>
                <w:b/>
                <w:spacing w:val="-4"/>
              </w:rPr>
            </w:pPr>
            <w:r w:rsidRPr="00A21513">
              <w:rPr>
                <w:b/>
                <w:spacing w:val="-4"/>
              </w:rPr>
              <w:t xml:space="preserve">Metinių išlaidų balansas </w:t>
            </w:r>
          </w:p>
        </w:tc>
        <w:tc>
          <w:tcPr>
            <w:tcW w:w="2093" w:type="dxa"/>
          </w:tcPr>
          <w:p w14:paraId="5412D88F" w14:textId="77777777" w:rsidR="0082568F" w:rsidRPr="00A21513" w:rsidRDefault="00295A54" w:rsidP="0070360F">
            <w:pPr>
              <w:pStyle w:val="Text"/>
              <w:keepNext/>
              <w:keepLines/>
              <w:jc w:val="center"/>
              <w:rPr>
                <w:b/>
                <w:spacing w:val="-4"/>
              </w:rPr>
            </w:pPr>
            <w:r w:rsidRPr="00A21513">
              <w:rPr>
                <w:b/>
                <w:spacing w:val="-4"/>
              </w:rPr>
              <w:t xml:space="preserve">Vienkartinės pertvarkymo išlaidos </w:t>
            </w:r>
          </w:p>
        </w:tc>
      </w:tr>
      <w:tr w:rsidR="0082568F" w:rsidRPr="00A21513" w14:paraId="28659270" w14:textId="77777777" w:rsidTr="00295A54">
        <w:tc>
          <w:tcPr>
            <w:tcW w:w="1530" w:type="dxa"/>
          </w:tcPr>
          <w:p w14:paraId="22806DA4" w14:textId="2D7CD670" w:rsidR="0082568F" w:rsidRPr="00A21513" w:rsidRDefault="0082568F" w:rsidP="00E24BD3">
            <w:pPr>
              <w:pStyle w:val="Text"/>
              <w:jc w:val="left"/>
              <w:rPr>
                <w:spacing w:val="-4"/>
              </w:rPr>
            </w:pPr>
            <w:r w:rsidRPr="00A21513">
              <w:rPr>
                <w:spacing w:val="-4"/>
              </w:rPr>
              <w:t>6a straipsnio 1 ir 4 dalis</w:t>
            </w:r>
          </w:p>
        </w:tc>
        <w:tc>
          <w:tcPr>
            <w:tcW w:w="3470" w:type="dxa"/>
          </w:tcPr>
          <w:p w14:paraId="33FAFA21" w14:textId="77777777" w:rsidR="0082568F" w:rsidRPr="00A21513" w:rsidRDefault="0082568F" w:rsidP="00295A54">
            <w:pPr>
              <w:pStyle w:val="Text"/>
              <w:jc w:val="left"/>
              <w:rPr>
                <w:spacing w:val="-4"/>
              </w:rPr>
            </w:pPr>
            <w:r w:rsidRPr="00A21513">
              <w:rPr>
                <w:spacing w:val="-4"/>
              </w:rPr>
              <w:t>Funkcinis barjeras su maistu liestis skirtiems vartojimo reikmenims iš perdirbto popieriaus</w:t>
            </w:r>
          </w:p>
        </w:tc>
        <w:tc>
          <w:tcPr>
            <w:tcW w:w="1912" w:type="dxa"/>
          </w:tcPr>
          <w:p w14:paraId="3E5A9DC1" w14:textId="77777777" w:rsidR="0082568F" w:rsidRPr="00A21513" w:rsidRDefault="000F6183" w:rsidP="00295A54">
            <w:pPr>
              <w:pStyle w:val="Text"/>
              <w:jc w:val="left"/>
              <w:rPr>
                <w:spacing w:val="-4"/>
              </w:rPr>
            </w:pPr>
            <w:r w:rsidRPr="00A21513">
              <w:rPr>
                <w:spacing w:val="-4"/>
              </w:rPr>
              <w:t xml:space="preserve"> 8 160 000 EUR</w:t>
            </w:r>
          </w:p>
        </w:tc>
        <w:tc>
          <w:tcPr>
            <w:tcW w:w="2093" w:type="dxa"/>
          </w:tcPr>
          <w:p w14:paraId="3562BFD1" w14:textId="77777777" w:rsidR="0082568F" w:rsidRPr="00A21513" w:rsidRDefault="000F6183" w:rsidP="00295A54">
            <w:pPr>
              <w:pStyle w:val="Text"/>
              <w:jc w:val="left"/>
              <w:rPr>
                <w:spacing w:val="-4"/>
              </w:rPr>
            </w:pPr>
            <w:r w:rsidRPr="00A21513">
              <w:rPr>
                <w:spacing w:val="-4"/>
              </w:rPr>
              <w:t>9 280 000 EUR</w:t>
            </w:r>
          </w:p>
        </w:tc>
      </w:tr>
      <w:tr w:rsidR="0082568F" w:rsidRPr="00A21513" w14:paraId="0106BED3" w14:textId="77777777" w:rsidTr="00295A54">
        <w:tc>
          <w:tcPr>
            <w:tcW w:w="1530" w:type="dxa"/>
          </w:tcPr>
          <w:p w14:paraId="5BAFA089" w14:textId="0EFB06F8" w:rsidR="0082568F" w:rsidRPr="00A21513" w:rsidRDefault="0082568F" w:rsidP="00E24BD3">
            <w:pPr>
              <w:pStyle w:val="Text"/>
              <w:jc w:val="left"/>
              <w:rPr>
                <w:spacing w:val="-4"/>
              </w:rPr>
            </w:pPr>
            <w:r w:rsidRPr="00A21513">
              <w:rPr>
                <w:spacing w:val="-4"/>
              </w:rPr>
              <w:lastRenderedPageBreak/>
              <w:t>6a straipsnio 3 dalis</w:t>
            </w:r>
          </w:p>
        </w:tc>
        <w:tc>
          <w:tcPr>
            <w:tcW w:w="3470" w:type="dxa"/>
          </w:tcPr>
          <w:p w14:paraId="7BAE9D67" w14:textId="77777777" w:rsidR="0082568F" w:rsidRPr="00A21513" w:rsidRDefault="0082568F" w:rsidP="00295A54">
            <w:pPr>
              <w:pStyle w:val="Text"/>
              <w:jc w:val="left"/>
              <w:rPr>
                <w:spacing w:val="-4"/>
              </w:rPr>
            </w:pPr>
            <w:r w:rsidRPr="00A21513">
              <w:rPr>
                <w:spacing w:val="-4"/>
              </w:rPr>
              <w:t>Rašytinė ar elektroninė deklaracija dėl funkcinio barjero atsisakymo</w:t>
            </w:r>
          </w:p>
        </w:tc>
        <w:tc>
          <w:tcPr>
            <w:tcW w:w="1912" w:type="dxa"/>
          </w:tcPr>
          <w:p w14:paraId="74D97F5C" w14:textId="77777777" w:rsidR="0082568F" w:rsidRPr="00A21513" w:rsidRDefault="0082568F" w:rsidP="00295A54">
            <w:pPr>
              <w:pStyle w:val="Text"/>
              <w:jc w:val="left"/>
              <w:rPr>
                <w:spacing w:val="-4"/>
              </w:rPr>
            </w:pPr>
            <w:r w:rsidRPr="00A21513">
              <w:rPr>
                <w:spacing w:val="-4"/>
              </w:rPr>
              <w:t>Nedidelės papildomos sąnaudos</w:t>
            </w:r>
          </w:p>
        </w:tc>
        <w:tc>
          <w:tcPr>
            <w:tcW w:w="2093" w:type="dxa"/>
          </w:tcPr>
          <w:p w14:paraId="56F7F1DE" w14:textId="77777777" w:rsidR="0082568F" w:rsidRPr="00A21513" w:rsidRDefault="0082568F" w:rsidP="00295A54">
            <w:pPr>
              <w:pStyle w:val="Text"/>
              <w:jc w:val="left"/>
              <w:rPr>
                <w:spacing w:val="-4"/>
              </w:rPr>
            </w:pPr>
            <w:r w:rsidRPr="00A21513">
              <w:rPr>
                <w:spacing w:val="-4"/>
              </w:rPr>
              <w:t>-</w:t>
            </w:r>
          </w:p>
        </w:tc>
      </w:tr>
      <w:tr w:rsidR="0082568F" w:rsidRPr="00A21513" w14:paraId="3E200EA4" w14:textId="77777777" w:rsidTr="00295A54">
        <w:tc>
          <w:tcPr>
            <w:tcW w:w="1530" w:type="dxa"/>
          </w:tcPr>
          <w:p w14:paraId="7AD34AB6" w14:textId="3F27C1E4" w:rsidR="0082568F" w:rsidRPr="00A21513" w:rsidRDefault="0082568F" w:rsidP="00E24BD3">
            <w:pPr>
              <w:pStyle w:val="Text"/>
              <w:jc w:val="left"/>
              <w:rPr>
                <w:spacing w:val="-4"/>
              </w:rPr>
            </w:pPr>
            <w:r w:rsidRPr="00A21513">
              <w:rPr>
                <w:spacing w:val="-4"/>
              </w:rPr>
              <w:t>6a straipsnio 5 dalis</w:t>
            </w:r>
          </w:p>
        </w:tc>
        <w:tc>
          <w:tcPr>
            <w:tcW w:w="3470" w:type="dxa"/>
          </w:tcPr>
          <w:p w14:paraId="16E632D0" w14:textId="77777777" w:rsidR="0082568F" w:rsidRPr="00A21513" w:rsidRDefault="0082568F" w:rsidP="00295A54">
            <w:pPr>
              <w:pStyle w:val="Text"/>
              <w:jc w:val="left"/>
              <w:rPr>
                <w:spacing w:val="-4"/>
              </w:rPr>
            </w:pPr>
            <w:r w:rsidRPr="00A21513">
              <w:rPr>
                <w:spacing w:val="-4"/>
              </w:rPr>
              <w:t>Patvirtinimo, kad MOAH neperduodami, prievolė pagal 6a straipsnio 1, 2 ir 4 dalis</w:t>
            </w:r>
          </w:p>
        </w:tc>
        <w:tc>
          <w:tcPr>
            <w:tcW w:w="1912" w:type="dxa"/>
          </w:tcPr>
          <w:p w14:paraId="18381CF9" w14:textId="77777777" w:rsidR="0082568F" w:rsidRPr="00A21513" w:rsidRDefault="0082568F" w:rsidP="00295A54">
            <w:pPr>
              <w:pStyle w:val="Text"/>
              <w:jc w:val="left"/>
              <w:rPr>
                <w:spacing w:val="-4"/>
              </w:rPr>
            </w:pPr>
            <w:r w:rsidRPr="00A21513">
              <w:rPr>
                <w:spacing w:val="-4"/>
              </w:rPr>
              <w:t>Nedidelės papildomos sąnaudos</w:t>
            </w:r>
          </w:p>
        </w:tc>
        <w:tc>
          <w:tcPr>
            <w:tcW w:w="2093" w:type="dxa"/>
          </w:tcPr>
          <w:p w14:paraId="3BBC33E8" w14:textId="77777777" w:rsidR="0082568F" w:rsidRPr="00A21513" w:rsidRDefault="0082568F" w:rsidP="00295A54">
            <w:pPr>
              <w:pStyle w:val="Text"/>
              <w:jc w:val="left"/>
              <w:rPr>
                <w:spacing w:val="-4"/>
              </w:rPr>
            </w:pPr>
            <w:r w:rsidRPr="00A21513">
              <w:rPr>
                <w:spacing w:val="-4"/>
              </w:rPr>
              <w:t>-</w:t>
            </w:r>
          </w:p>
        </w:tc>
      </w:tr>
      <w:tr w:rsidR="0082568F" w:rsidRPr="00A21513" w14:paraId="2CE5F889" w14:textId="77777777" w:rsidTr="00295A54">
        <w:tc>
          <w:tcPr>
            <w:tcW w:w="1530" w:type="dxa"/>
            <w:shd w:val="clear" w:color="auto" w:fill="D9D9D9" w:themeFill="background1" w:themeFillShade="D9"/>
          </w:tcPr>
          <w:p w14:paraId="6EDE8EBB" w14:textId="77777777" w:rsidR="0082568F" w:rsidRPr="00A21513" w:rsidRDefault="0082568F" w:rsidP="00295A54">
            <w:pPr>
              <w:pStyle w:val="Text"/>
              <w:jc w:val="left"/>
              <w:rPr>
                <w:b/>
                <w:spacing w:val="-4"/>
              </w:rPr>
            </w:pPr>
          </w:p>
        </w:tc>
        <w:tc>
          <w:tcPr>
            <w:tcW w:w="3470" w:type="dxa"/>
            <w:shd w:val="clear" w:color="auto" w:fill="D9D9D9" w:themeFill="background1" w:themeFillShade="D9"/>
          </w:tcPr>
          <w:p w14:paraId="6B167E03" w14:textId="77777777" w:rsidR="0082568F" w:rsidRPr="00A21513" w:rsidRDefault="0082568F" w:rsidP="00295A54">
            <w:pPr>
              <w:pStyle w:val="Text"/>
              <w:jc w:val="left"/>
              <w:rPr>
                <w:b/>
                <w:spacing w:val="-4"/>
              </w:rPr>
            </w:pPr>
            <w:r w:rsidRPr="00A21513">
              <w:rPr>
                <w:b/>
                <w:spacing w:val="-4"/>
              </w:rPr>
              <w:t xml:space="preserve">Iš viso </w:t>
            </w:r>
          </w:p>
        </w:tc>
        <w:tc>
          <w:tcPr>
            <w:tcW w:w="1912" w:type="dxa"/>
            <w:shd w:val="clear" w:color="auto" w:fill="D9D9D9" w:themeFill="background1" w:themeFillShade="D9"/>
          </w:tcPr>
          <w:p w14:paraId="58ED3073" w14:textId="77777777" w:rsidR="0082568F" w:rsidRPr="00A21513" w:rsidRDefault="00AD0A9D" w:rsidP="00295A54">
            <w:pPr>
              <w:pStyle w:val="Text"/>
              <w:jc w:val="left"/>
              <w:rPr>
                <w:b/>
                <w:spacing w:val="-4"/>
              </w:rPr>
            </w:pPr>
            <w:r w:rsidRPr="00A21513">
              <w:rPr>
                <w:b/>
                <w:spacing w:val="-4"/>
              </w:rPr>
              <w:t xml:space="preserve"> 8 160 000 EUR</w:t>
            </w:r>
          </w:p>
        </w:tc>
        <w:tc>
          <w:tcPr>
            <w:tcW w:w="2093" w:type="dxa"/>
            <w:shd w:val="clear" w:color="auto" w:fill="D9D9D9" w:themeFill="background1" w:themeFillShade="D9"/>
          </w:tcPr>
          <w:p w14:paraId="1E689341" w14:textId="77777777" w:rsidR="0082568F" w:rsidRPr="00A21513" w:rsidRDefault="000F6183" w:rsidP="00295A54">
            <w:pPr>
              <w:pStyle w:val="Text"/>
              <w:jc w:val="left"/>
              <w:rPr>
                <w:b/>
                <w:spacing w:val="-4"/>
              </w:rPr>
            </w:pPr>
            <w:r w:rsidRPr="00A21513">
              <w:rPr>
                <w:b/>
                <w:spacing w:val="-4"/>
              </w:rPr>
              <w:t>9 280 000 EUR</w:t>
            </w:r>
          </w:p>
        </w:tc>
      </w:tr>
    </w:tbl>
    <w:p w14:paraId="0D7C6408" w14:textId="77777777" w:rsidR="006B7BFE" w:rsidRPr="00D43FA1" w:rsidRDefault="006B7BFE" w:rsidP="00612652">
      <w:pPr>
        <w:pStyle w:val="Text"/>
      </w:pPr>
    </w:p>
    <w:p w14:paraId="78164C96" w14:textId="211348C1" w:rsidR="009140F6" w:rsidRPr="00D43FA1" w:rsidRDefault="0082568F" w:rsidP="0070360F">
      <w:pPr>
        <w:pStyle w:val="Text"/>
        <w:keepNext/>
        <w:keepLines/>
        <w:tabs>
          <w:tab w:val="left" w:pos="0"/>
        </w:tabs>
      </w:pPr>
      <w:r>
        <w:rPr>
          <w:i/>
          <w:iCs/>
        </w:rPr>
        <w:t>Ex-ante</w:t>
      </w:r>
      <w:r>
        <w:t xml:space="preserve"> vertinimo rezultatas paremtas tokiais pagrindais:</w:t>
      </w:r>
    </w:p>
    <w:p w14:paraId="0A8513DA" w14:textId="77777777" w:rsidR="006B7BFE" w:rsidRPr="00D43FA1" w:rsidRDefault="006B7BFE" w:rsidP="0070360F">
      <w:pPr>
        <w:pStyle w:val="Text"/>
        <w:keepNext/>
        <w:keepLines/>
        <w:tabs>
          <w:tab w:val="left" w:pos="0"/>
        </w:tabs>
      </w:pPr>
      <w:r>
        <w:rPr>
          <w:i/>
          <w:iCs/>
        </w:rPr>
        <w:t>Ex-ante</w:t>
      </w:r>
      <w:r>
        <w:t xml:space="preserve"> vertinimas paremtas dviem informavimo prievolėmis bei kitu ūkio subjektams keliamu reikalavimu, kurie nurodyti naujame Vartojimo reikmenų nutarimo 6a straipsnyje: </w:t>
      </w:r>
    </w:p>
    <w:p w14:paraId="2E574154" w14:textId="77777777" w:rsidR="006B7BFE" w:rsidRPr="00D43FA1" w:rsidRDefault="006B7BFE" w:rsidP="0070360F">
      <w:pPr>
        <w:pStyle w:val="Text"/>
        <w:keepNext/>
        <w:keepLines/>
        <w:numPr>
          <w:ilvl w:val="0"/>
          <w:numId w:val="2"/>
        </w:numPr>
        <w:ind w:left="0" w:firstLine="0"/>
      </w:pPr>
      <w:r>
        <w:t xml:space="preserve">Perdirbto popieriaus pagrindu pagaminti su maistu liestis skirti vartojimo reikmenys gali būti gaminami tik su funkciniu barjeru ir teikiami rinkai (1 dalies pirmas sakinys; 4 dalis). Šios taisyklės išimtys galioja, jei: </w:t>
      </w:r>
    </w:p>
    <w:p w14:paraId="6471F0A8" w14:textId="77777777" w:rsidR="006B7BFE" w:rsidRPr="00D43FA1" w:rsidRDefault="000F1682" w:rsidP="00557D18">
      <w:pPr>
        <w:pStyle w:val="Text"/>
        <w:numPr>
          <w:ilvl w:val="0"/>
          <w:numId w:val="4"/>
        </w:numPr>
        <w:ind w:left="1134" w:hanging="425"/>
      </w:pPr>
      <w:r>
        <w:t>su maistu liestis skirtame vartojimo reikmenyje yra toks ypač nedidelis MOAH kiekis, kad jie neperduodami maisto produktui (2 dalies pirmas sakinys);</w:t>
      </w:r>
    </w:p>
    <w:p w14:paraId="022A3F44" w14:textId="64B85AD9" w:rsidR="006B7BFE" w:rsidRPr="00D43FA1" w:rsidRDefault="006B7BFE" w:rsidP="00557D18">
      <w:pPr>
        <w:pStyle w:val="Text"/>
        <w:numPr>
          <w:ilvl w:val="0"/>
          <w:numId w:val="4"/>
        </w:numPr>
        <w:ind w:left="1134" w:hanging="425"/>
      </w:pPr>
      <w:r>
        <w:t>imtasi kitų tinkamų priemonių, kurios neleidžia perduoti MOAH misto produktams (2 dalies antras sakinys).</w:t>
      </w:r>
    </w:p>
    <w:p w14:paraId="29C9CC33" w14:textId="77777777" w:rsidR="006B7BFE" w:rsidRPr="00D43FA1" w:rsidRDefault="006B7BFE" w:rsidP="00557D18">
      <w:pPr>
        <w:pStyle w:val="Text"/>
        <w:numPr>
          <w:ilvl w:val="0"/>
          <w:numId w:val="3"/>
        </w:numPr>
        <w:ind w:left="0" w:firstLine="0"/>
      </w:pPr>
      <w:r>
        <w:t xml:space="preserve">Jei maisto verslo subjektas pats naudoja funkcinį barjerą (tarpinį maišelį ar pan.) arba imasi kitų priemonių, saugančių nuo MOAH perdavimo maisto produktui ir todėl atsisako, kad su maistu liestis skirtas vartojimo reikmens gamintojas ar pardavėjas su maistu liestis skirtame vartojimo reikmenyje įdiegia funkcinį barjerą, prieš tiekdamas su maistu liestis skirtą vartojimo reikmenį jis privalo pateikti raštišką ar elektroninę deklaraciją apie tai su maistu liestis skirto vartojimo reikmens gamintojui ar pardavėjui (3 dalis). </w:t>
      </w:r>
    </w:p>
    <w:p w14:paraId="3DAB98B9" w14:textId="77777777" w:rsidR="006B7BFE" w:rsidRPr="00D43FA1" w:rsidRDefault="006B7BFE" w:rsidP="0070360F">
      <w:pPr>
        <w:pStyle w:val="Text"/>
        <w:keepNext/>
        <w:keepLines/>
        <w:numPr>
          <w:ilvl w:val="0"/>
          <w:numId w:val="3"/>
        </w:numPr>
        <w:ind w:left="709" w:hanging="709"/>
      </w:pPr>
      <w:r>
        <w:t xml:space="preserve">Patvirtinimo pateikimo prievolė, kad neperduodami MOAH (5 dalis). </w:t>
      </w:r>
    </w:p>
    <w:p w14:paraId="7B0EB3AA" w14:textId="77777777" w:rsidR="006B7BFE" w:rsidRPr="00D43FA1" w:rsidRDefault="000447FD" w:rsidP="009140F6">
      <w:pPr>
        <w:pStyle w:val="Text"/>
      </w:pPr>
      <w:r>
        <w:t>Pateikiamas vertinimas paremtas „Vykdymo sąnaudų nustatymo ir pateikimo Federalinės vyriausybės reglamentuojamuose projektuose gairės“</w:t>
      </w:r>
      <w:r w:rsidR="006B7BFE" w:rsidRPr="00D43FA1">
        <w:rPr>
          <w:rStyle w:val="FootnoteReference"/>
        </w:rPr>
        <w:footnoteReference w:id="2"/>
      </w:r>
      <w:r>
        <w:t xml:space="preserve">. Vertinant galimus atvejų skaičius bei laiko ir materialines sąnaudas, įmonės ir tyrimų institucijos buvo apklaustos telefonu. Galimų atvejų skaičiavimai paremti oficialiosios statistikos duomenimis. </w:t>
      </w:r>
    </w:p>
    <w:p w14:paraId="7E0F8561" w14:textId="4AAB2740" w:rsidR="006B7BFE" w:rsidRPr="007E01A6" w:rsidRDefault="006B7BFE" w:rsidP="0070360F">
      <w:pPr>
        <w:pStyle w:val="Text"/>
        <w:keepNext/>
        <w:keepLines/>
        <w:rPr>
          <w:b/>
          <w:bCs/>
          <w:u w:val="single"/>
        </w:rPr>
      </w:pPr>
      <w:r>
        <w:rPr>
          <w:b/>
          <w:bCs/>
          <w:u w:val="single"/>
        </w:rPr>
        <w:t>Funkcinis barjeras su maistu liestis skirtiems vartojimo reikmenims pagal 6a straipsnio 1 ir 4 dalis</w:t>
      </w:r>
    </w:p>
    <w:p w14:paraId="347CC78F" w14:textId="77777777" w:rsidR="006B7BFE" w:rsidRPr="00D43FA1" w:rsidRDefault="006B7BFE" w:rsidP="0070360F">
      <w:pPr>
        <w:pStyle w:val="Text"/>
        <w:keepNext/>
        <w:keepLines/>
      </w:pPr>
      <w:r>
        <w:t xml:space="preserve">a) Vienkartinės pertvarkymo sąnaudos </w:t>
      </w:r>
    </w:p>
    <w:p w14:paraId="32009364" w14:textId="77777777" w:rsidR="006B7BFE" w:rsidRPr="00D43FA1" w:rsidRDefault="006B7BFE" w:rsidP="009140F6">
      <w:pPr>
        <w:pStyle w:val="Text"/>
      </w:pPr>
      <w:r>
        <w:rPr>
          <w:i/>
          <w:iCs/>
        </w:rPr>
        <w:t>Pertvarkymo sąnaudos apima personalo ir materialines sąnaudas pirminiam maisto produktų ir su maistu liestis skirtų vartojimo reikmenų pirminį patikrinimą bei tinkamos pakuotės kūrimą, patikrinimą ir atidavimą eksploatuoti pagal 6a straipsnį.</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iCs/>
          <w:color w:val="000000"/>
        </w:rPr>
        <w:lastRenderedPageBreak/>
        <w:t xml:space="preserve">Atvejų skaičius </w:t>
      </w:r>
    </w:p>
    <w:p w14:paraId="6D903E99" w14:textId="77777777" w:rsidR="006B7BFE" w:rsidRPr="00D43FA1" w:rsidRDefault="006B7BFE" w:rsidP="0070360F">
      <w:pPr>
        <w:pStyle w:val="Text"/>
        <w:keepNext/>
        <w:keepLines/>
        <w:rPr>
          <w:color w:val="000000"/>
        </w:rPr>
      </w:pPr>
      <w:r>
        <w:rPr>
          <w:color w:val="000000"/>
        </w:rPr>
        <w:t>Nustatant atvejų skaičių (= atitinkami produktai: maisto produktai ir su jais nesiliečiantys su maistu liestis skirti vartojimo reikmenys) buvo naudojami kaip ir vertinant iš interviu gautus duomenis, taip ir apdirbamojo verslo išlaidų struktūros tyrimus.</w:t>
      </w:r>
      <w:r w:rsidRPr="00D43FA1">
        <w:rPr>
          <w:rStyle w:val="FootnoteReference"/>
          <w:color w:val="000000"/>
        </w:rPr>
        <w:footnoteReference w:id="3"/>
      </w:r>
      <w:r>
        <w:rPr>
          <w:color w:val="000000"/>
          <w:vertAlign w:val="superscript"/>
        </w:rPr>
        <w:t xml:space="preserve"> </w:t>
      </w:r>
      <w:r>
        <w:rPr>
          <w:color w:val="000000"/>
        </w:rPr>
        <w:t xml:space="preserve">Remiantis atliktais interviu buvo nustatyti atskirų įmonių produktų skaičiaus duomenys. Įmonių apyvartų skaičiai buvo paimti iš viešai prieinamų šaltinių. Remiantis šiomis vertėmis buvo nustatyta penkių įmonių apyvarta vienam produktui, kurios mediana sudaro apytikriai 2,5 milijono EUR. Nustatant išlaidų struktūrą įtraukta informacija apie įmonių skaičių ir apyvartą perdirbamojo verslo ekonomikos šakose (pagal ekonomikos šakų klasifikaciją, 2008 m. leidimas). Remiantis iš interviu gauta informacija buvo identifikuotos atitinkamos septynios ekonomikos šakos: </w:t>
      </w:r>
    </w:p>
    <w:p w14:paraId="51BE6B2B" w14:textId="77777777" w:rsidR="006B7BFE" w:rsidRPr="00D43FA1" w:rsidRDefault="006B7BFE" w:rsidP="0070360F">
      <w:pPr>
        <w:pStyle w:val="Text"/>
        <w:keepNext/>
        <w:keepLines/>
        <w:spacing w:before="0" w:after="0"/>
        <w:rPr>
          <w:color w:val="000000"/>
        </w:rPr>
      </w:pPr>
      <w:r>
        <w:rPr>
          <w:color w:val="000000"/>
        </w:rPr>
        <w:t xml:space="preserve">Produktų gamyba: </w:t>
      </w:r>
    </w:p>
    <w:p w14:paraId="11222691" w14:textId="77777777" w:rsidR="006B7BFE" w:rsidRPr="00D43FA1" w:rsidRDefault="006B7BFE" w:rsidP="009140F6">
      <w:pPr>
        <w:pStyle w:val="Text"/>
        <w:spacing w:before="0" w:after="0"/>
        <w:rPr>
          <w:color w:val="000000"/>
        </w:rPr>
      </w:pPr>
      <w:r>
        <w:rPr>
          <w:color w:val="000000"/>
        </w:rPr>
        <w:t xml:space="preserve">• Krakmolas ir krakmolo gaminiai </w:t>
      </w:r>
    </w:p>
    <w:p w14:paraId="662E4943" w14:textId="77777777" w:rsidR="006B7BFE" w:rsidRPr="00D43FA1" w:rsidRDefault="006B7BFE" w:rsidP="009140F6">
      <w:pPr>
        <w:pStyle w:val="Text"/>
        <w:spacing w:before="0" w:after="0"/>
        <w:rPr>
          <w:color w:val="000000"/>
        </w:rPr>
      </w:pPr>
      <w:r>
        <w:rPr>
          <w:color w:val="000000"/>
        </w:rPr>
        <w:t xml:space="preserve">• Ilgai išsilaikantys kepiniai </w:t>
      </w:r>
    </w:p>
    <w:p w14:paraId="18BD7F36" w14:textId="77777777" w:rsidR="006B7BFE" w:rsidRPr="00D43FA1" w:rsidRDefault="006B7BFE" w:rsidP="009140F6">
      <w:pPr>
        <w:pStyle w:val="Text"/>
        <w:spacing w:before="0" w:after="0"/>
        <w:rPr>
          <w:color w:val="000000"/>
        </w:rPr>
      </w:pPr>
      <w:r>
        <w:rPr>
          <w:color w:val="000000"/>
        </w:rPr>
        <w:t xml:space="preserve">• Tešlos gaminiai </w:t>
      </w:r>
    </w:p>
    <w:p w14:paraId="38C5F55D" w14:textId="77777777" w:rsidR="006B7BFE" w:rsidRPr="00D43FA1" w:rsidRDefault="006B7BFE" w:rsidP="009140F6">
      <w:pPr>
        <w:pStyle w:val="Text"/>
        <w:spacing w:before="0" w:after="0"/>
        <w:rPr>
          <w:color w:val="000000"/>
        </w:rPr>
      </w:pPr>
      <w:r>
        <w:rPr>
          <w:color w:val="000000"/>
        </w:rPr>
        <w:t xml:space="preserve">• Saldumynai </w:t>
      </w:r>
    </w:p>
    <w:p w14:paraId="1D62B3D9" w14:textId="77777777" w:rsidR="006B7BFE" w:rsidRPr="00D43FA1" w:rsidRDefault="006B7BFE" w:rsidP="009140F6">
      <w:pPr>
        <w:pStyle w:val="Text"/>
        <w:spacing w:before="0" w:after="0"/>
        <w:rPr>
          <w:color w:val="000000"/>
        </w:rPr>
      </w:pPr>
      <w:r>
        <w:rPr>
          <w:color w:val="000000"/>
        </w:rPr>
        <w:t xml:space="preserve">• Kava ir arbata </w:t>
      </w:r>
    </w:p>
    <w:p w14:paraId="6E9A551C" w14:textId="77777777" w:rsidR="006B7BFE" w:rsidRPr="00D43FA1" w:rsidRDefault="006B7BFE" w:rsidP="009140F6">
      <w:pPr>
        <w:pStyle w:val="Text"/>
        <w:spacing w:before="0" w:after="0"/>
        <w:rPr>
          <w:color w:val="000000"/>
        </w:rPr>
      </w:pPr>
      <w:r>
        <w:rPr>
          <w:color w:val="000000"/>
        </w:rPr>
        <w:t xml:space="preserve">• Malti ir išlukštenti gaminiai </w:t>
      </w:r>
    </w:p>
    <w:p w14:paraId="31C005BD" w14:textId="3394A96C" w:rsidR="006B7BFE" w:rsidRDefault="006B7BFE" w:rsidP="00557D18">
      <w:pPr>
        <w:pStyle w:val="Text"/>
        <w:spacing w:before="0" w:after="0"/>
        <w:jc w:val="left"/>
        <w:rPr>
          <w:color w:val="000000"/>
        </w:rPr>
      </w:pPr>
      <w:r>
        <w:rPr>
          <w:color w:val="000000"/>
        </w:rPr>
        <w:t xml:space="preserve">• Paruošti patiekalai </w:t>
      </w:r>
    </w:p>
    <w:p w14:paraId="69346562" w14:textId="77777777" w:rsidR="00D43FA1" w:rsidRPr="00D43FA1" w:rsidRDefault="00D43FA1" w:rsidP="00557D18">
      <w:pPr>
        <w:pStyle w:val="Text"/>
        <w:spacing w:before="0" w:after="0"/>
        <w:jc w:val="left"/>
        <w:rPr>
          <w:color w:val="000000"/>
        </w:rPr>
      </w:pPr>
    </w:p>
    <w:p w14:paraId="22853B05" w14:textId="02272ACD" w:rsidR="006B7BFE" w:rsidRPr="00D43FA1" w:rsidRDefault="006B7BFE" w:rsidP="009140F6">
      <w:pPr>
        <w:pStyle w:val="Text"/>
        <w:spacing w:before="0" w:after="0"/>
        <w:rPr>
          <w:color w:val="000000"/>
        </w:rPr>
      </w:pPr>
      <w:r>
        <w:rPr>
          <w:color w:val="000000"/>
        </w:rPr>
        <w:t xml:space="preserve">Susumavus 415 atitinkamų įmonių apyvarta sudaro apytikriai 26 milijardus EUR. </w:t>
      </w:r>
    </w:p>
    <w:p w14:paraId="6EE2F31E" w14:textId="2FFA7DC6" w:rsidR="006B7BFE" w:rsidRDefault="006B7BFE" w:rsidP="00557D18">
      <w:pPr>
        <w:pStyle w:val="Text"/>
        <w:spacing w:before="0" w:after="0"/>
        <w:rPr>
          <w:color w:val="000000"/>
        </w:rPr>
      </w:pPr>
      <w:r>
        <w:rPr>
          <w:color w:val="000000"/>
        </w:rPr>
        <w:t xml:space="preserve">Remiantis bendrąja apyvarta vertinama, kiek produktų (= maisto produktai ir su maistu liestis skirti vartojimo reikmenys) šios įmonės bendrai pagamina Vokietijos rinkai: esant bendrai 26 milijardų EUR apyvartai ir 2,5 milijono EUR apyvartą vienam produktui, pagaminama </w:t>
      </w:r>
      <w:r>
        <w:rPr>
          <w:b/>
          <w:bCs/>
          <w:color w:val="000000"/>
        </w:rPr>
        <w:t>apytikriai 10 000 produktų</w:t>
      </w:r>
      <w:r>
        <w:rPr>
          <w:color w:val="000000"/>
        </w:rPr>
        <w:t xml:space="preserve">. Faktiškai reikės pertvarkyti tik dalį produktų pakuočių, nes tai paliečia įmones nevienodai: Kai kurios įmonės turės pertvarkyti visą produktų paletę, kitose įmonėse tokie produktai sudaro nedidelę dalį. Tačiau turi būti patikrinti visi produktai, ar esama pakuotė pakankamai apsaugo nuo MOAH perdavimo maisto produktui. Taip pat bus tikrinami ir tik į plėvelę įpakuoti maisto produktai, kadangi šie produktai daugiausiai vėliau pakuojami ir tiekiami dėžutėse iš perdirbto popieriaus.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iCs/>
          <w:color w:val="000000"/>
        </w:rPr>
        <w:t xml:space="preserve">Veiklos išlaidos </w:t>
      </w:r>
    </w:p>
    <w:p w14:paraId="20856574" w14:textId="77777777" w:rsidR="00D43FA1" w:rsidRPr="00D43FA1" w:rsidRDefault="00D43FA1" w:rsidP="0070360F">
      <w:pPr>
        <w:keepNext/>
        <w:keepLines/>
        <w:spacing w:before="0" w:after="0"/>
      </w:pPr>
    </w:p>
    <w:p w14:paraId="3F2BE815" w14:textId="0DDDAA09" w:rsidR="006B7BFE" w:rsidRPr="00D43FA1" w:rsidRDefault="006B7BFE" w:rsidP="009140F6">
      <w:pPr>
        <w:pStyle w:val="Text"/>
        <w:spacing w:before="0" w:after="0"/>
        <w:rPr>
          <w:color w:val="000000"/>
        </w:rPr>
      </w:pPr>
      <w:r>
        <w:rPr>
          <w:color w:val="000000"/>
        </w:rPr>
        <w:t>Materialines išlaidas sudaro pirminio maisto produktų ir su maistu liestis skirtų vartojimo reikmenų (paprastai – pakuočių) analizės išlaidos bei naujų pakuočių kūrimo ir įdiegimo išlaidos. Išlaidos atsiranda tyrimų užsakymus pateikiant išorinėms laboratorijoms. Tik nedaugelis įmonių pačios atlieka pilnutinę analizę. Įmonės buvo apklaustos dėl visų atitinkamų produktų bendrųjų išlaidų ir tos bendrosios išlaidos buvo perskaičiuotos pagal įmonės produktų, kuriuos reglamentuoja šis nutarimas, skaičių.</w:t>
      </w:r>
    </w:p>
    <w:p w14:paraId="12734BF7" w14:textId="0BD0DC03" w:rsidR="006B7BFE" w:rsidRPr="00D43FA1" w:rsidRDefault="006B7BFE" w:rsidP="009140F6">
      <w:pPr>
        <w:pStyle w:val="Text"/>
        <w:spacing w:before="0" w:after="0"/>
        <w:rPr>
          <w:color w:val="000000"/>
        </w:rPr>
      </w:pPr>
      <w:r>
        <w:rPr>
          <w:color w:val="000000"/>
        </w:rPr>
        <w:t xml:space="preserve">Remiantis atliktais interviu buvo nustatyta, kad maisto produktų ir su jais susijusių su maistu liestis skirtų vartojimo reikmenų patikrinimo išlaidos sudarys apytikriai </w:t>
      </w:r>
      <w:r>
        <w:rPr>
          <w:b/>
          <w:bCs/>
          <w:color w:val="000000"/>
        </w:rPr>
        <w:t>290 EUR vienam produktui</w:t>
      </w:r>
      <w:r>
        <w:rPr>
          <w:color w:val="000000"/>
        </w:rPr>
        <w:t>. Šios išlaidos atsiras visiems 10 000 produktų.</w:t>
      </w:r>
    </w:p>
    <w:p w14:paraId="6C361081" w14:textId="6695102A" w:rsidR="006B7BFE" w:rsidRPr="00D43FA1" w:rsidRDefault="006B7BFE" w:rsidP="009140F6">
      <w:pPr>
        <w:pStyle w:val="Text"/>
        <w:spacing w:before="0" w:after="0"/>
        <w:rPr>
          <w:color w:val="000000"/>
        </w:rPr>
      </w:pPr>
      <w:r>
        <w:rPr>
          <w:color w:val="000000"/>
        </w:rPr>
        <w:t xml:space="preserve">Darant prielaidą, kad 50 % patikrintų produktų pakuotę reikės pertvarkyti, susidaro 5 000 produktų. Tam vidutiniškai susidarys </w:t>
      </w:r>
      <w:r>
        <w:rPr>
          <w:b/>
          <w:bCs/>
          <w:color w:val="000000"/>
        </w:rPr>
        <w:t>550 UR medžiagų išlaidų vienam produktui</w:t>
      </w:r>
      <w:r>
        <w:rPr>
          <w:color w:val="000000"/>
        </w:rPr>
        <w:t>.</w:t>
      </w:r>
    </w:p>
    <w:p w14:paraId="71241388" w14:textId="7F9A1A7C" w:rsidR="00C23235" w:rsidRPr="00D43FA1" w:rsidRDefault="006B7BFE" w:rsidP="0070360F">
      <w:pPr>
        <w:pStyle w:val="Text"/>
        <w:keepNext/>
        <w:keepLines/>
        <w:spacing w:before="0" w:after="0"/>
        <w:rPr>
          <w:color w:val="000000"/>
        </w:rPr>
      </w:pPr>
      <w:r>
        <w:rPr>
          <w:color w:val="000000"/>
        </w:rPr>
        <w:t>Remiantis toliau pateiktu skaičiavimu, susidarys tokios vienkartinės veiklos išlaidos:</w:t>
      </w:r>
    </w:p>
    <w:p w14:paraId="0AE849C1" w14:textId="0BE5CE3F" w:rsidR="006B7BFE" w:rsidRDefault="006B7BFE" w:rsidP="009140F6">
      <w:pPr>
        <w:pStyle w:val="Text"/>
        <w:spacing w:before="0" w:after="0"/>
        <w:rPr>
          <w:color w:val="000000"/>
        </w:rPr>
      </w:pPr>
      <w:r>
        <w:rPr>
          <w:color w:val="000000"/>
        </w:rPr>
        <w:t xml:space="preserve">290 EUR patikrinimo išlaidos x 10 000 tikrinamų produktų + 550 EUR medžiagų išlaidos x 5 000 pertvarkytinų produktų pakuočių = 5 650 000 EUR.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iCs/>
          <w:color w:val="000000"/>
        </w:rPr>
        <w:lastRenderedPageBreak/>
        <w:t xml:space="preserve">Išlaidos personalui </w:t>
      </w:r>
    </w:p>
    <w:p w14:paraId="3CDF1E12" w14:textId="77777777" w:rsidR="00D43FA1" w:rsidRPr="00D43FA1" w:rsidRDefault="00D43FA1" w:rsidP="0070360F">
      <w:pPr>
        <w:pStyle w:val="Text"/>
        <w:keepNext/>
        <w:keepLines/>
        <w:spacing w:before="0" w:after="0"/>
        <w:ind w:left="360"/>
        <w:rPr>
          <w:u w:val="single"/>
        </w:rPr>
      </w:pPr>
    </w:p>
    <w:p w14:paraId="060CC136" w14:textId="0224181D" w:rsidR="006B7BFE" w:rsidRPr="00D43FA1" w:rsidRDefault="006B7BFE" w:rsidP="00A21513">
      <w:pPr>
        <w:pStyle w:val="Text"/>
        <w:keepLines/>
        <w:spacing w:before="0" w:after="0"/>
      </w:pPr>
      <w:r>
        <w:t>Personalo išlaidas sudaro laiko sąnaudos tikrinant maisto produktus ir su jais susijusius su maistu liestis skirtus vartojimo reikmenis (paprastai – pakuotes) bei pakuočių pertvarkymas (pirminis ir paskesnis laboratorijų tyrimų parengimas; pačios analizės daugiausiai atliekamos išorinėse institucijose). Įmonės buvo apklaustos dėl visų atitinkamų produktų bendrųjų išlaidų ir tos bendrosios išlaidos buvo perskaičiuotos pagal įmonės produktų, kuriuos reglamentuoja šis nutarimas, skaičių.</w:t>
      </w:r>
    </w:p>
    <w:p w14:paraId="325CED0A" w14:textId="3DBDD0D3" w:rsidR="006B7BFE" w:rsidRPr="00D43FA1" w:rsidRDefault="006B7BFE" w:rsidP="009140F6">
      <w:pPr>
        <w:pStyle w:val="Text"/>
        <w:spacing w:before="0" w:after="0"/>
      </w:pPr>
      <w:r>
        <w:t xml:space="preserve">Remiantis atliktais interviu nustatyta, kad maisto produktų ir su jais susijusių su maistu liestis skirtų vartojimo reikmenų tyrimo laiko sąnaudos sudarys apytikriai </w:t>
      </w:r>
      <w:r>
        <w:rPr>
          <w:b/>
          <w:bCs/>
        </w:rPr>
        <w:t>tris valandas vienam produktui</w:t>
      </w:r>
      <w:r>
        <w:t>. Jos be MOAH analizės apima taip pat parengiamuosius darbus, tokius kaip bandinių ėmimas. Skaičiavimams naudojamas 60,50 EUR / val. atlyginimo tarifas.</w:t>
      </w:r>
      <w:r>
        <w:rPr>
          <w:rStyle w:val="FootnoteReference"/>
        </w:rPr>
        <w:footnoteReference w:customMarkFollows="1" w:id="4"/>
        <w:t>3</w:t>
      </w:r>
      <w:r>
        <w:rPr>
          <w:vertAlign w:val="superscript"/>
        </w:rPr>
        <w:t xml:space="preserve"> </w:t>
      </w:r>
      <w:r>
        <w:t>Šios išlaidos atsiras visiems 10 000 produktų.</w:t>
      </w:r>
    </w:p>
    <w:p w14:paraId="31FE69DB" w14:textId="360102A6" w:rsidR="006B7BFE" w:rsidRPr="00D43FA1" w:rsidRDefault="002201EF" w:rsidP="009140F6">
      <w:pPr>
        <w:pStyle w:val="Text"/>
        <w:spacing w:before="0" w:after="0"/>
      </w:pPr>
      <w:r>
        <w:t xml:space="preserve">Produkto pakuotės pertvarkymo laiko sąnaudos sudaro maždaug </w:t>
      </w:r>
      <w:r>
        <w:rPr>
          <w:b/>
          <w:bCs/>
        </w:rPr>
        <w:t>šešias darbo laiko sąnaudas vienam produktui</w:t>
      </w:r>
      <w:r>
        <w:t>. Skaičiavimams naudojamas 60,50 EUR / val. atlyginimo tarifas.</w:t>
      </w:r>
      <w:r>
        <w:rPr>
          <w:vertAlign w:val="superscript"/>
        </w:rPr>
        <w:t xml:space="preserve">3 </w:t>
      </w:r>
      <w:r>
        <w:t>Darant prielaidą, kad reikės pertvarkyti apytikriai 50 % visų produktų, susidarys atlyginimo išlaidos, tenkančios 5 000 produktų.</w:t>
      </w:r>
    </w:p>
    <w:p w14:paraId="082FCC81" w14:textId="77777777" w:rsidR="002201EF" w:rsidRPr="0086292F" w:rsidRDefault="006B7BFE" w:rsidP="009140F6">
      <w:pPr>
        <w:pStyle w:val="Text"/>
        <w:spacing w:before="0" w:after="0"/>
      </w:pPr>
      <w:r>
        <w:t xml:space="preserve">Remiantis toliau pateiktu skaičiavimu, susidarys tokios vienkartinės personalo išlaidos: </w:t>
      </w:r>
    </w:p>
    <w:p w14:paraId="0A22DD87" w14:textId="5FCF7C89" w:rsidR="00D43FA1" w:rsidRDefault="006B7BFE" w:rsidP="009140F6">
      <w:pPr>
        <w:pStyle w:val="Text"/>
        <w:spacing w:before="0" w:after="0"/>
      </w:pPr>
      <w:r>
        <w:t>3 val. patikrinimo sąnaudų x 60,50 EUR atlyginimo tarifas x 10 000 tikrinamų produktų + 6 val. pertvarkymo sąnaudų + 60,50 EUR atlyginimo tarifas x 5 000 pertvarkytinų produktų = 3 630 000 EUR.</w:t>
      </w:r>
    </w:p>
    <w:p w14:paraId="2406F8A6" w14:textId="7A9A3CFE" w:rsidR="006B7BFE" w:rsidRPr="00D43FA1" w:rsidRDefault="006B7BFE" w:rsidP="009140F6">
      <w:pPr>
        <w:pStyle w:val="Text"/>
        <w:spacing w:before="0" w:after="0"/>
      </w:pPr>
    </w:p>
    <w:p w14:paraId="3A7DB30D" w14:textId="77777777" w:rsidR="006B7BFE" w:rsidRPr="00D43FA1" w:rsidRDefault="006B7BFE" w:rsidP="0070360F">
      <w:pPr>
        <w:pStyle w:val="Text"/>
        <w:keepNext/>
        <w:keepLines/>
        <w:spacing w:before="0" w:after="0"/>
        <w:rPr>
          <w:u w:val="single"/>
        </w:rPr>
      </w:pPr>
      <w:r>
        <w:rPr>
          <w:b/>
          <w:bCs/>
        </w:rPr>
        <w:t xml:space="preserve">2 lentelė. Pertvarkymo išlaidų apžvalga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418"/>
        <w:gridCol w:w="1389"/>
        <w:gridCol w:w="1446"/>
        <w:gridCol w:w="1276"/>
        <w:gridCol w:w="1276"/>
        <w:gridCol w:w="1105"/>
      </w:tblGrid>
      <w:tr w:rsidR="006B7BFE" w:rsidRPr="00A21513" w14:paraId="3E0ACA00" w14:textId="77777777" w:rsidTr="00A21513">
        <w:tc>
          <w:tcPr>
            <w:tcW w:w="2547" w:type="dxa"/>
            <w:gridSpan w:val="2"/>
          </w:tcPr>
          <w:p w14:paraId="6539344C" w14:textId="6E1D7699" w:rsidR="006B7BFE" w:rsidRPr="00A21513" w:rsidRDefault="006B7BFE" w:rsidP="0070360F">
            <w:pPr>
              <w:pStyle w:val="Default"/>
              <w:rPr>
                <w:rFonts w:ascii="Arial" w:hAnsi="Arial" w:cs="Arial"/>
                <w:b/>
                <w:spacing w:val="-4"/>
                <w:sz w:val="22"/>
                <w:szCs w:val="22"/>
              </w:rPr>
            </w:pPr>
            <w:r w:rsidRPr="00A21513">
              <w:rPr>
                <w:rFonts w:ascii="Arial" w:hAnsi="Arial"/>
                <w:b/>
                <w:iCs/>
                <w:spacing w:val="-4"/>
                <w:sz w:val="22"/>
                <w:szCs w:val="22"/>
              </w:rPr>
              <w:t xml:space="preserve">Nuostata arba informacijos teikimo reikalavimas (IP) </w:t>
            </w:r>
          </w:p>
        </w:tc>
        <w:tc>
          <w:tcPr>
            <w:tcW w:w="1389" w:type="dxa"/>
          </w:tcPr>
          <w:p w14:paraId="49FCAF62" w14:textId="7EB5F8DF" w:rsidR="006B7BFE" w:rsidRPr="00A21513" w:rsidRDefault="006B7BFE" w:rsidP="0070360F">
            <w:pPr>
              <w:pStyle w:val="Default"/>
              <w:rPr>
                <w:rFonts w:ascii="Arial" w:hAnsi="Arial" w:cs="Arial"/>
                <w:b/>
                <w:spacing w:val="-4"/>
                <w:sz w:val="22"/>
                <w:szCs w:val="22"/>
              </w:rPr>
            </w:pPr>
            <w:r w:rsidRPr="00A21513">
              <w:rPr>
                <w:rFonts w:ascii="Arial" w:hAnsi="Arial"/>
                <w:b/>
                <w:iCs/>
                <w:spacing w:val="-4"/>
                <w:sz w:val="22"/>
                <w:szCs w:val="22"/>
              </w:rPr>
              <w:t>Vienkar</w:t>
            </w:r>
            <w:r w:rsidR="00A21513">
              <w:rPr>
                <w:rFonts w:ascii="Arial" w:hAnsi="Arial"/>
                <w:b/>
                <w:iCs/>
                <w:spacing w:val="-4"/>
                <w:sz w:val="22"/>
                <w:szCs w:val="22"/>
              </w:rPr>
              <w:t>-</w:t>
            </w:r>
            <w:r w:rsidRPr="00A21513">
              <w:rPr>
                <w:rFonts w:ascii="Arial" w:hAnsi="Arial"/>
                <w:b/>
                <w:iCs/>
                <w:spacing w:val="-4"/>
                <w:sz w:val="22"/>
                <w:szCs w:val="22"/>
              </w:rPr>
              <w:t xml:space="preserve">tinės laiko sąnaudos val. </w:t>
            </w:r>
          </w:p>
        </w:tc>
        <w:tc>
          <w:tcPr>
            <w:tcW w:w="1446" w:type="dxa"/>
          </w:tcPr>
          <w:p w14:paraId="3FB6B09A" w14:textId="6C98ECC7" w:rsidR="006B7BFE" w:rsidRPr="00A21513" w:rsidRDefault="006B7BFE" w:rsidP="0070360F">
            <w:pPr>
              <w:pStyle w:val="Default"/>
              <w:rPr>
                <w:rFonts w:ascii="Arial" w:hAnsi="Arial" w:cs="Arial"/>
                <w:b/>
                <w:spacing w:val="-4"/>
                <w:sz w:val="22"/>
                <w:szCs w:val="22"/>
              </w:rPr>
            </w:pPr>
            <w:r w:rsidRPr="00A21513">
              <w:rPr>
                <w:rFonts w:ascii="Arial" w:hAnsi="Arial"/>
                <w:b/>
                <w:iCs/>
                <w:spacing w:val="-4"/>
                <w:sz w:val="22"/>
                <w:szCs w:val="22"/>
              </w:rPr>
              <w:t xml:space="preserve">Atlyginimo tarifas EUR / val. </w:t>
            </w:r>
          </w:p>
        </w:tc>
        <w:tc>
          <w:tcPr>
            <w:tcW w:w="1276" w:type="dxa"/>
          </w:tcPr>
          <w:p w14:paraId="0F54C0E3" w14:textId="2619714F" w:rsidR="006B7BFE" w:rsidRPr="00A21513" w:rsidRDefault="006B7BFE" w:rsidP="0070360F">
            <w:pPr>
              <w:pStyle w:val="Default"/>
              <w:rPr>
                <w:rFonts w:ascii="Arial" w:hAnsi="Arial" w:cs="Arial"/>
                <w:b/>
                <w:spacing w:val="-4"/>
                <w:sz w:val="22"/>
                <w:szCs w:val="22"/>
              </w:rPr>
            </w:pPr>
            <w:r w:rsidRPr="00A21513">
              <w:rPr>
                <w:rFonts w:ascii="Arial" w:hAnsi="Arial"/>
                <w:b/>
                <w:iCs/>
                <w:spacing w:val="-4"/>
                <w:sz w:val="22"/>
                <w:szCs w:val="22"/>
              </w:rPr>
              <w:t>Vienkar</w:t>
            </w:r>
            <w:r w:rsidR="00A21513">
              <w:rPr>
                <w:rFonts w:ascii="Arial" w:hAnsi="Arial"/>
                <w:b/>
                <w:iCs/>
                <w:spacing w:val="-4"/>
                <w:sz w:val="22"/>
                <w:szCs w:val="22"/>
              </w:rPr>
              <w:t>-</w:t>
            </w:r>
            <w:r w:rsidRPr="00A21513">
              <w:rPr>
                <w:rFonts w:ascii="Arial" w:hAnsi="Arial"/>
                <w:b/>
                <w:iCs/>
                <w:spacing w:val="-4"/>
                <w:sz w:val="22"/>
                <w:szCs w:val="22"/>
              </w:rPr>
              <w:t xml:space="preserve">tinės personalo išlaidos EUR </w:t>
            </w:r>
          </w:p>
        </w:tc>
        <w:tc>
          <w:tcPr>
            <w:tcW w:w="1276" w:type="dxa"/>
          </w:tcPr>
          <w:p w14:paraId="2AD81DFC" w14:textId="391CA590" w:rsidR="006B7BFE" w:rsidRPr="00A21513" w:rsidRDefault="006B7BFE" w:rsidP="0070360F">
            <w:pPr>
              <w:pStyle w:val="Default"/>
              <w:rPr>
                <w:rFonts w:ascii="Arial" w:hAnsi="Arial" w:cs="Arial"/>
                <w:b/>
                <w:spacing w:val="-4"/>
                <w:sz w:val="22"/>
                <w:szCs w:val="22"/>
              </w:rPr>
            </w:pPr>
            <w:r w:rsidRPr="00A21513">
              <w:rPr>
                <w:rFonts w:ascii="Arial" w:hAnsi="Arial"/>
                <w:b/>
                <w:iCs/>
                <w:spacing w:val="-4"/>
                <w:sz w:val="22"/>
                <w:szCs w:val="22"/>
              </w:rPr>
              <w:t>Vienkar</w:t>
            </w:r>
            <w:r w:rsidR="00A21513">
              <w:rPr>
                <w:rFonts w:ascii="Arial" w:hAnsi="Arial"/>
                <w:b/>
                <w:iCs/>
                <w:spacing w:val="-4"/>
                <w:sz w:val="22"/>
                <w:szCs w:val="22"/>
              </w:rPr>
              <w:t>-</w:t>
            </w:r>
            <w:r w:rsidRPr="00A21513">
              <w:rPr>
                <w:rFonts w:ascii="Arial" w:hAnsi="Arial"/>
                <w:b/>
                <w:iCs/>
                <w:spacing w:val="-4"/>
                <w:sz w:val="22"/>
                <w:szCs w:val="22"/>
              </w:rPr>
              <w:t xml:space="preserve">tinės veiklos išlaidos EUR </w:t>
            </w:r>
          </w:p>
        </w:tc>
        <w:tc>
          <w:tcPr>
            <w:tcW w:w="1105" w:type="dxa"/>
          </w:tcPr>
          <w:p w14:paraId="50C55997" w14:textId="1B085231" w:rsidR="006B7BFE" w:rsidRPr="00A21513" w:rsidRDefault="006B7BFE" w:rsidP="0070360F">
            <w:pPr>
              <w:pStyle w:val="Default"/>
              <w:rPr>
                <w:rFonts w:ascii="Arial" w:hAnsi="Arial" w:cs="Arial"/>
                <w:b/>
                <w:spacing w:val="-4"/>
                <w:sz w:val="22"/>
                <w:szCs w:val="22"/>
              </w:rPr>
            </w:pPr>
            <w:r w:rsidRPr="00A21513">
              <w:rPr>
                <w:rFonts w:ascii="Arial" w:hAnsi="Arial"/>
                <w:b/>
                <w:bCs/>
                <w:iCs/>
                <w:spacing w:val="-4"/>
                <w:sz w:val="22"/>
                <w:szCs w:val="22"/>
              </w:rPr>
              <w:t>Vienkar</w:t>
            </w:r>
            <w:r w:rsidR="00A21513">
              <w:rPr>
                <w:rFonts w:ascii="Arial" w:hAnsi="Arial"/>
                <w:b/>
                <w:bCs/>
                <w:iCs/>
                <w:spacing w:val="-4"/>
                <w:sz w:val="22"/>
                <w:szCs w:val="22"/>
              </w:rPr>
              <w:t>-</w:t>
            </w:r>
            <w:r w:rsidRPr="00A21513">
              <w:rPr>
                <w:rFonts w:ascii="Arial" w:hAnsi="Arial"/>
                <w:b/>
                <w:bCs/>
                <w:iCs/>
                <w:spacing w:val="-4"/>
                <w:sz w:val="22"/>
                <w:szCs w:val="22"/>
              </w:rPr>
              <w:t xml:space="preserve">tinės vykdymo sąnaudos EUR </w:t>
            </w:r>
          </w:p>
        </w:tc>
      </w:tr>
      <w:tr w:rsidR="006B7BFE" w:rsidRPr="00A21513" w14:paraId="19635ABD" w14:textId="77777777" w:rsidTr="00A21513">
        <w:tc>
          <w:tcPr>
            <w:tcW w:w="1129" w:type="dxa"/>
          </w:tcPr>
          <w:p w14:paraId="3EF43B2A" w14:textId="77777777" w:rsidR="006B7BFE" w:rsidRPr="00A21513" w:rsidRDefault="006B7BFE" w:rsidP="006B7BFE">
            <w:pPr>
              <w:pStyle w:val="Default"/>
              <w:rPr>
                <w:rFonts w:ascii="Arial" w:hAnsi="Arial" w:cs="Arial"/>
                <w:spacing w:val="-4"/>
                <w:sz w:val="22"/>
                <w:szCs w:val="22"/>
              </w:rPr>
            </w:pPr>
            <w:r w:rsidRPr="00A21513">
              <w:rPr>
                <w:rFonts w:ascii="Arial" w:hAnsi="Arial"/>
                <w:spacing w:val="-4"/>
                <w:sz w:val="22"/>
                <w:szCs w:val="22"/>
              </w:rPr>
              <w:t xml:space="preserve">Funkcinis barjeras </w:t>
            </w:r>
          </w:p>
        </w:tc>
        <w:tc>
          <w:tcPr>
            <w:tcW w:w="1418" w:type="dxa"/>
          </w:tcPr>
          <w:p w14:paraId="3A8E99F1" w14:textId="77777777" w:rsidR="006B7BFE" w:rsidRPr="00A21513" w:rsidRDefault="006B7BFE" w:rsidP="000F1682">
            <w:pPr>
              <w:pStyle w:val="Default"/>
              <w:rPr>
                <w:rFonts w:ascii="Arial" w:hAnsi="Arial" w:cs="Arial"/>
                <w:spacing w:val="-4"/>
                <w:sz w:val="22"/>
                <w:szCs w:val="22"/>
              </w:rPr>
            </w:pPr>
            <w:r w:rsidRPr="00A21513">
              <w:rPr>
                <w:rFonts w:ascii="Arial" w:hAnsi="Arial"/>
                <w:spacing w:val="-4"/>
                <w:sz w:val="22"/>
                <w:szCs w:val="22"/>
              </w:rPr>
              <w:t xml:space="preserve">6a straipsnio 1 ir 4 dalis </w:t>
            </w:r>
          </w:p>
        </w:tc>
        <w:tc>
          <w:tcPr>
            <w:tcW w:w="1389" w:type="dxa"/>
          </w:tcPr>
          <w:p w14:paraId="0BB48AAC" w14:textId="77777777" w:rsidR="006B7BFE" w:rsidRPr="00A21513" w:rsidRDefault="006B7BFE" w:rsidP="002F4768">
            <w:pPr>
              <w:pStyle w:val="Default"/>
              <w:rPr>
                <w:rFonts w:ascii="Arial" w:hAnsi="Arial" w:cs="Arial"/>
                <w:spacing w:val="-4"/>
                <w:sz w:val="22"/>
                <w:szCs w:val="22"/>
              </w:rPr>
            </w:pPr>
            <w:r w:rsidRPr="00A21513">
              <w:rPr>
                <w:rFonts w:ascii="Arial" w:hAnsi="Arial"/>
                <w:spacing w:val="-4"/>
                <w:sz w:val="22"/>
                <w:szCs w:val="22"/>
              </w:rPr>
              <w:t xml:space="preserve">60 000 </w:t>
            </w:r>
          </w:p>
        </w:tc>
        <w:tc>
          <w:tcPr>
            <w:tcW w:w="1446" w:type="dxa"/>
          </w:tcPr>
          <w:p w14:paraId="28388CFA" w14:textId="77777777" w:rsidR="006B7BFE" w:rsidRPr="00A21513" w:rsidRDefault="00A4031B" w:rsidP="006B7BFE">
            <w:pPr>
              <w:pStyle w:val="Default"/>
              <w:rPr>
                <w:rFonts w:ascii="Arial" w:hAnsi="Arial" w:cs="Arial"/>
                <w:spacing w:val="-4"/>
                <w:sz w:val="22"/>
                <w:szCs w:val="22"/>
              </w:rPr>
            </w:pPr>
            <w:r w:rsidRPr="00A21513">
              <w:rPr>
                <w:rFonts w:ascii="Arial" w:hAnsi="Arial"/>
                <w:spacing w:val="-4"/>
                <w:sz w:val="22"/>
                <w:szCs w:val="22"/>
              </w:rPr>
              <w:t>60,50</w:t>
            </w:r>
          </w:p>
        </w:tc>
        <w:tc>
          <w:tcPr>
            <w:tcW w:w="1276" w:type="dxa"/>
          </w:tcPr>
          <w:p w14:paraId="1C8517E8" w14:textId="77777777" w:rsidR="006B7BFE" w:rsidRPr="00A21513" w:rsidRDefault="00A4031B" w:rsidP="002F4768">
            <w:pPr>
              <w:pStyle w:val="Default"/>
              <w:rPr>
                <w:rFonts w:ascii="Arial" w:hAnsi="Arial" w:cs="Arial"/>
                <w:spacing w:val="-4"/>
                <w:sz w:val="22"/>
                <w:szCs w:val="22"/>
              </w:rPr>
            </w:pPr>
            <w:r w:rsidRPr="00A21513">
              <w:rPr>
                <w:rFonts w:ascii="Arial" w:hAnsi="Arial"/>
                <w:spacing w:val="-4"/>
                <w:sz w:val="22"/>
                <w:szCs w:val="22"/>
              </w:rPr>
              <w:t xml:space="preserve">3 630 000 </w:t>
            </w:r>
          </w:p>
        </w:tc>
        <w:tc>
          <w:tcPr>
            <w:tcW w:w="1276" w:type="dxa"/>
          </w:tcPr>
          <w:p w14:paraId="38F2E4E4" w14:textId="77777777" w:rsidR="006B7BFE" w:rsidRPr="00A21513" w:rsidRDefault="006B7BFE" w:rsidP="002F4768">
            <w:pPr>
              <w:pStyle w:val="Default"/>
              <w:rPr>
                <w:rFonts w:ascii="Arial" w:hAnsi="Arial" w:cs="Arial"/>
                <w:spacing w:val="-4"/>
                <w:sz w:val="22"/>
                <w:szCs w:val="22"/>
              </w:rPr>
            </w:pPr>
            <w:r w:rsidRPr="00A21513">
              <w:rPr>
                <w:rFonts w:ascii="Arial" w:hAnsi="Arial"/>
                <w:spacing w:val="-4"/>
                <w:sz w:val="22"/>
                <w:szCs w:val="22"/>
              </w:rPr>
              <w:t xml:space="preserve">5 650 000 </w:t>
            </w:r>
          </w:p>
        </w:tc>
        <w:tc>
          <w:tcPr>
            <w:tcW w:w="1105" w:type="dxa"/>
            <w:shd w:val="clear" w:color="auto" w:fill="BFBFBF" w:themeFill="background1" w:themeFillShade="BF"/>
          </w:tcPr>
          <w:p w14:paraId="5943CEDA" w14:textId="77777777" w:rsidR="006B7BFE" w:rsidRPr="00A21513" w:rsidRDefault="002F4768" w:rsidP="002F4768">
            <w:pPr>
              <w:pStyle w:val="Default"/>
              <w:rPr>
                <w:rFonts w:ascii="Arial" w:hAnsi="Arial" w:cs="Arial"/>
                <w:spacing w:val="-4"/>
                <w:sz w:val="22"/>
                <w:szCs w:val="22"/>
              </w:rPr>
            </w:pPr>
            <w:r w:rsidRPr="00A21513">
              <w:rPr>
                <w:rFonts w:ascii="Arial" w:hAnsi="Arial"/>
                <w:b/>
                <w:bCs/>
                <w:spacing w:val="-4"/>
                <w:sz w:val="22"/>
                <w:szCs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b) Vykdymo sąnaudos per metus </w:t>
      </w:r>
    </w:p>
    <w:p w14:paraId="5CB6CCB6" w14:textId="521BA6B6" w:rsidR="006B7BFE" w:rsidRPr="00D43FA1" w:rsidRDefault="006B7BFE" w:rsidP="0086292F">
      <w:pPr>
        <w:pStyle w:val="Text"/>
        <w:keepNext/>
        <w:keepLines/>
        <w:spacing w:before="0" w:after="0"/>
        <w:jc w:val="left"/>
      </w:pPr>
    </w:p>
    <w:p w14:paraId="318EDF1F" w14:textId="77777777" w:rsidR="00D43FA1" w:rsidRDefault="006B7BFE" w:rsidP="0086292F">
      <w:pPr>
        <w:pStyle w:val="Text"/>
        <w:keepNext/>
        <w:keepLines/>
        <w:spacing w:before="0" w:after="0"/>
        <w:rPr>
          <w:i/>
          <w:iCs/>
        </w:rPr>
      </w:pPr>
      <w:r>
        <w:rPr>
          <w:i/>
          <w:iCs/>
        </w:rPr>
        <w:t xml:space="preserve">Vykdymo sąnaudos per metus apima personalo ir materialines sąnaudas periodiniam patikrinimui ir papildomas išlaidas dėl taisykles atitinkančio pakuotės sprendimo pagal 6a straipsnį. Periodinis maisto produktų ir pakuočių sprendimų patikrinimas apima bandinių ėmimą, analizę ir vertinimą. </w:t>
      </w:r>
    </w:p>
    <w:p w14:paraId="61757831" w14:textId="2AB309E2" w:rsidR="006B7BFE" w:rsidRPr="00D43FA1" w:rsidRDefault="006B7BFE" w:rsidP="0086292F">
      <w:pPr>
        <w:pStyle w:val="Text"/>
        <w:keepNext/>
        <w:keepLines/>
        <w:spacing w:before="0" w:after="0"/>
        <w:rPr>
          <w:i/>
          <w:iCs/>
        </w:rPr>
      </w:pPr>
    </w:p>
    <w:p w14:paraId="3A014E51" w14:textId="43820923" w:rsidR="006B7BFE" w:rsidRPr="0086292F" w:rsidRDefault="006B7BFE" w:rsidP="00557D18">
      <w:pPr>
        <w:pStyle w:val="Text"/>
        <w:numPr>
          <w:ilvl w:val="0"/>
          <w:numId w:val="5"/>
        </w:numPr>
        <w:spacing w:before="0" w:after="0"/>
        <w:rPr>
          <w:color w:val="000000"/>
        </w:rPr>
      </w:pPr>
      <w:r>
        <w:t xml:space="preserve">Atvejų skaičius </w:t>
      </w:r>
      <w:r>
        <w:rPr>
          <w:color w:val="000000"/>
        </w:rPr>
        <w:t xml:space="preserve">(= atitinkami produktai: maisto produktai ir su jais besiliečiantys su maistu liestis skirti vartojimo reikmenys) </w:t>
      </w:r>
    </w:p>
    <w:p w14:paraId="6EA56C3D" w14:textId="77777777" w:rsidR="00D43FA1" w:rsidRPr="00D43FA1" w:rsidRDefault="00D43FA1" w:rsidP="00D43FA1">
      <w:pPr>
        <w:pStyle w:val="Text"/>
        <w:spacing w:before="0" w:after="0"/>
        <w:ind w:left="360"/>
        <w:rPr>
          <w:u w:val="single"/>
        </w:rPr>
      </w:pPr>
    </w:p>
    <w:p w14:paraId="5F264B2C" w14:textId="77777777" w:rsidR="006B7BFE" w:rsidRPr="00D43FA1" w:rsidRDefault="006B7BFE" w:rsidP="009140F6">
      <w:pPr>
        <w:pStyle w:val="Text"/>
        <w:spacing w:before="0" w:after="0"/>
      </w:pPr>
      <w:r>
        <w:t xml:space="preserve">Bendras produktų, kuriuos reglamentuoja šis nutarimas, skaičius atitinkamai nustatomas pagal produktų, kuriems tenka vienkartinės pertvarkymo sąnaudos, atvejų skaičių: iš esmės tai palies 10 000 produktų, 5 000 produktų pakuotės turės būti pertvarkytos. Šių 5 000 produktų naujų pakuočių atitiktis turės būti tikrinama kasmet. Remiantis apklaustų įmonių informacija, šios sąnaudos susidarys ir produktams, kurių nereikia pertvarkyti. Daroma prielaida, kad patikrinimas atitinka maždaug trečdalį pertvarkytų produktų sąnaudų.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iCs/>
        </w:rPr>
        <w:lastRenderedPageBreak/>
        <w:t>Išlaidos personalui</w:t>
      </w:r>
    </w:p>
    <w:p w14:paraId="0FD42608" w14:textId="77777777" w:rsidR="006B7BFE" w:rsidRPr="00D43FA1" w:rsidRDefault="006B7BFE" w:rsidP="0070360F">
      <w:pPr>
        <w:pStyle w:val="Text"/>
        <w:keepNext/>
        <w:keepLines/>
        <w:spacing w:before="0" w:after="0"/>
        <w:rPr>
          <w:i/>
          <w:iCs/>
          <w:u w:val="single"/>
        </w:rPr>
      </w:pPr>
    </w:p>
    <w:p w14:paraId="58C3C95C" w14:textId="77777777" w:rsidR="006B7BFE" w:rsidRPr="00D43FA1" w:rsidRDefault="00E71594" w:rsidP="009140F6">
      <w:pPr>
        <w:pStyle w:val="Text"/>
        <w:spacing w:before="0" w:after="0"/>
      </w:pPr>
      <w:r>
        <w:t xml:space="preserve">Vykdymo sąnaudas per metus sudarys personalo išlaidos už užduotis maisto produktų ir su jais susijusių su maistu liestis skirtų vartojimo reikmenų (paprastai – pakuočių) periodinių patikrinimų srityje (pirminis ir paskesnis laboratorijų tyrimų parengimas; pačios analizės daugiausiai atliekamos išorinėse institucijose). Įmonės buvo apklaustos dėl visų atitinkamų produktų bendrųjų išlaidų ir tos bendrosios išlaidos buvo perskaičiuotos pagal įmonės produktų, kuriuos reglamentuoja šis nutarimas, skaičių. </w:t>
      </w:r>
    </w:p>
    <w:p w14:paraId="6A10C10F" w14:textId="77777777" w:rsidR="006B7BFE" w:rsidRPr="00D43FA1" w:rsidRDefault="006B7BFE" w:rsidP="009140F6">
      <w:pPr>
        <w:pStyle w:val="Text"/>
        <w:spacing w:before="0" w:after="0"/>
        <w:rPr>
          <w:vertAlign w:val="superscript"/>
        </w:rPr>
      </w:pPr>
      <w:r>
        <w:t xml:space="preserve">Remiantis atliktais interviu nustatyta, kad maisto produktų ir su jais susijusių su maistu liestis skirtų vartojimo reikmenų tyrimo laiko sąnaudos per metus sudarys apytikriai </w:t>
      </w:r>
      <w:r>
        <w:rPr>
          <w:b/>
          <w:bCs/>
        </w:rPr>
        <w:t>tris valandas vienam produktui</w:t>
      </w:r>
      <w:r>
        <w:t>. Jos be MOAH analizės apima taip pat parengiamuosius darbus, tokius kaip bandinių ėmimas. Skaičiavimams naudojamas 60,50 EUR / val. atlyginimo tarifas.</w:t>
      </w:r>
      <w:r>
        <w:rPr>
          <w:vertAlign w:val="superscript"/>
        </w:rPr>
        <w:t>3</w:t>
      </w:r>
    </w:p>
    <w:p w14:paraId="1FCB5935" w14:textId="77777777" w:rsidR="006B7BFE" w:rsidRPr="00D43FA1" w:rsidRDefault="006B7BFE" w:rsidP="009140F6">
      <w:pPr>
        <w:pStyle w:val="Text"/>
        <w:spacing w:before="0" w:after="0"/>
        <w:rPr>
          <w:vertAlign w:val="superscript"/>
        </w:rPr>
      </w:pPr>
      <w:r>
        <w:t xml:space="preserve">Remiantis atliktais interviu nustatyta, kad nepertvarkytiems produktams (50 % bendro produktų skaičiaus, t. y. 5 000 produktams) reikės ne tokio intensyvaus patikrinimo. Pagal tai laiko sąnaudos per metus atitinka </w:t>
      </w:r>
      <w:r>
        <w:rPr>
          <w:b/>
          <w:bCs/>
        </w:rPr>
        <w:t>vieną valandą vienam produktui</w:t>
      </w:r>
      <w:r>
        <w:t>. Skaičiavimams naudojamas 60,50 EUR / val. atlyginimo tarifas.</w:t>
      </w:r>
      <w:r>
        <w:rPr>
          <w:vertAlign w:val="superscript"/>
        </w:rPr>
        <w:t xml:space="preserve">3 </w:t>
      </w:r>
    </w:p>
    <w:p w14:paraId="572A0A4A" w14:textId="671EEE96" w:rsidR="006B7BFE" w:rsidRPr="00D43FA1" w:rsidRDefault="006B7BFE" w:rsidP="009140F6">
      <w:pPr>
        <w:pStyle w:val="Text"/>
        <w:spacing w:before="0" w:after="0"/>
      </w:pPr>
      <w:r>
        <w:t xml:space="preserve">Pagal tai susidarys tokios personalo išlaidos per metus: 3 val. patikrinimo sąnaudų x 60,50 EUR atlyginimo tarifas x 5 000 produktų + 1 val. patikrinimo sąnaudų + 60,50 EUR atlyginimo tarifas x 5 000 produktų = 1 210 000 EUR.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iCs/>
        </w:rPr>
        <w:t xml:space="preserve">Veiklos išlaidos </w:t>
      </w:r>
    </w:p>
    <w:p w14:paraId="1E71B5C0" w14:textId="77777777" w:rsidR="006B7BFE" w:rsidRPr="00D43FA1" w:rsidRDefault="006B7BFE" w:rsidP="0070360F">
      <w:pPr>
        <w:pStyle w:val="Text"/>
        <w:keepNext/>
        <w:keepLines/>
        <w:spacing w:before="0" w:after="0"/>
        <w:rPr>
          <w:i/>
          <w:iCs/>
          <w:u w:val="single"/>
        </w:rPr>
      </w:pPr>
    </w:p>
    <w:p w14:paraId="0B563A15" w14:textId="77777777" w:rsidR="006B7BFE" w:rsidRPr="00D43FA1" w:rsidRDefault="006B7BFE" w:rsidP="009140F6">
      <w:pPr>
        <w:pStyle w:val="Text"/>
        <w:spacing w:before="0" w:after="0"/>
      </w:pPr>
      <w:r>
        <w:t xml:space="preserve">Materialines išlaidas sudaro maisto produktų ir su jais susijusių su maistu liestis skirtų vartojimo reikmenų (paprastai – pakuočių) periodinių patikrinimų išlaidos kartu su papildomomis išlaidomis pertvarkytinoms pakuotėms. Išlaidos atsiranda tyrimų užsakymus pateikiant išorinėms laboratorijoms. Tik nedaugelis įmonių pačios atlieka pilnutinę analizę. Įmonės buvo apklaustos dėl visų nagrinėjamų produktų išlaidų ir tos bendrosios išlaidos buvo perskaičiuotos pagal įmonės produktų, kuriuos reglamentuoja šis nutarimas, skaičių. </w:t>
      </w:r>
    </w:p>
    <w:p w14:paraId="05FEEC02" w14:textId="77777777" w:rsidR="006B7BFE" w:rsidRPr="00D43FA1" w:rsidRDefault="006B7BFE" w:rsidP="009140F6">
      <w:pPr>
        <w:pStyle w:val="Text"/>
        <w:spacing w:before="0" w:after="0"/>
      </w:pPr>
      <w:r>
        <w:t xml:space="preserve">Remiantis atliktais interviu buvo nustatyta, kad maisto produktų ir su jais susijusių su maistu liestis skirtų vartojimo reikmenų patikrinimo išlaidos per metus sudarys apytikriai </w:t>
      </w:r>
      <w:r>
        <w:rPr>
          <w:b/>
          <w:bCs/>
        </w:rPr>
        <w:t>290 EUR vienam produktui</w:t>
      </w:r>
      <w:r>
        <w:t xml:space="preserve">. Šios veiklos išlaidos atsiras 5 000 produktų. Nustatyta, kad ne tokiam intensyviam maisto produktų, kurie nebus pertvarkomi, tyrimui reikės apytikriai </w:t>
      </w:r>
      <w:r>
        <w:rPr>
          <w:b/>
          <w:bCs/>
        </w:rPr>
        <w:t>100 EUR vienam produktui</w:t>
      </w:r>
      <w:r>
        <w:t xml:space="preserve">, ir tokios išlaidos susidarys 5 000 produktų. </w:t>
      </w:r>
    </w:p>
    <w:p w14:paraId="1FB0BAEE" w14:textId="77777777" w:rsidR="006B7BFE" w:rsidRPr="00D43FA1" w:rsidRDefault="006B7BFE" w:rsidP="009140F6">
      <w:pPr>
        <w:pStyle w:val="Text"/>
        <w:spacing w:before="0" w:after="0"/>
      </w:pPr>
      <w:r>
        <w:t xml:space="preserve">Papildomos išlaidos pakuočių medžiagoms, skirtoms 5 000 pertvarkomų produktų, sudaro apytikriai </w:t>
      </w:r>
      <w:r>
        <w:rPr>
          <w:b/>
          <w:bCs/>
        </w:rPr>
        <w:t>1 000 EUR vienam produktu</w:t>
      </w:r>
      <w:r>
        <w:t xml:space="preserve">. </w:t>
      </w:r>
    </w:p>
    <w:p w14:paraId="5A000AC2" w14:textId="77777777" w:rsidR="006B7BFE" w:rsidRPr="00D43FA1" w:rsidRDefault="006B7BFE" w:rsidP="009140F6">
      <w:pPr>
        <w:pStyle w:val="Text"/>
        <w:spacing w:before="0" w:after="0"/>
      </w:pPr>
      <w:r>
        <w:t xml:space="preserve">Pagal tai susidarys tokios veiklos išlaidos per metus: 290 EUR patikrinimo išlaidos x 5 000 produktų + 100 EUR patikrinimo išlaidos x 5 000 produktų + 1 000 EUR medžiagų išlaidos x 5 000 produktų = 6 950 000 EUR.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bCs/>
        </w:rPr>
        <w:t xml:space="preserve">3 lentelė. Einamųjų vykdymo sąnaudų apžvalga </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491"/>
        <w:gridCol w:w="1276"/>
        <w:gridCol w:w="1276"/>
        <w:gridCol w:w="1276"/>
      </w:tblGrid>
      <w:tr w:rsidR="006B7BFE" w:rsidRPr="00A21513" w14:paraId="1A7C22AA" w14:textId="77777777" w:rsidTr="00A21513">
        <w:tc>
          <w:tcPr>
            <w:tcW w:w="2660" w:type="dxa"/>
            <w:gridSpan w:val="2"/>
          </w:tcPr>
          <w:p w14:paraId="4EBDEFBC" w14:textId="603EE879" w:rsidR="006B7BFE" w:rsidRPr="00A21513" w:rsidRDefault="006B7BFE" w:rsidP="0070360F">
            <w:pPr>
              <w:pStyle w:val="Default"/>
              <w:keepNext/>
              <w:keepLines/>
              <w:rPr>
                <w:rFonts w:ascii="Arial" w:hAnsi="Arial" w:cs="Arial"/>
                <w:b/>
                <w:spacing w:val="-4"/>
                <w:sz w:val="22"/>
                <w:szCs w:val="22"/>
              </w:rPr>
            </w:pPr>
            <w:r w:rsidRPr="00A21513">
              <w:rPr>
                <w:rFonts w:ascii="Arial" w:hAnsi="Arial"/>
                <w:b/>
                <w:iCs/>
                <w:spacing w:val="-4"/>
                <w:sz w:val="22"/>
                <w:szCs w:val="22"/>
              </w:rPr>
              <w:t xml:space="preserve">Nuostata arba informacijos teikimo reikalavimas (IP) </w:t>
            </w:r>
          </w:p>
          <w:p w14:paraId="67A2E6B2" w14:textId="77777777" w:rsidR="006B7BFE" w:rsidRPr="00A21513" w:rsidRDefault="006B7BFE" w:rsidP="0070360F">
            <w:pPr>
              <w:pStyle w:val="Default"/>
              <w:keepNext/>
              <w:keepLines/>
              <w:rPr>
                <w:rFonts w:ascii="Arial" w:hAnsi="Arial" w:cs="Arial"/>
                <w:b/>
                <w:spacing w:val="-4"/>
                <w:sz w:val="22"/>
                <w:szCs w:val="22"/>
              </w:rPr>
            </w:pPr>
          </w:p>
        </w:tc>
        <w:tc>
          <w:tcPr>
            <w:tcW w:w="1276" w:type="dxa"/>
          </w:tcPr>
          <w:p w14:paraId="06CC8623" w14:textId="2AD90995" w:rsidR="006B7BFE" w:rsidRPr="00A21513" w:rsidRDefault="006B7BFE" w:rsidP="0070360F">
            <w:pPr>
              <w:pStyle w:val="Default"/>
              <w:keepNext/>
              <w:keepLines/>
              <w:rPr>
                <w:rFonts w:ascii="Arial" w:hAnsi="Arial" w:cs="Arial"/>
                <w:b/>
                <w:spacing w:val="-4"/>
                <w:sz w:val="22"/>
                <w:szCs w:val="22"/>
              </w:rPr>
            </w:pPr>
            <w:r w:rsidRPr="00A21513">
              <w:rPr>
                <w:rFonts w:ascii="Arial" w:hAnsi="Arial"/>
                <w:b/>
                <w:iCs/>
                <w:spacing w:val="-4"/>
                <w:sz w:val="22"/>
                <w:szCs w:val="22"/>
              </w:rPr>
              <w:t xml:space="preserve">Laiko sąnaudos val. per metus </w:t>
            </w:r>
          </w:p>
        </w:tc>
        <w:tc>
          <w:tcPr>
            <w:tcW w:w="1491" w:type="dxa"/>
          </w:tcPr>
          <w:p w14:paraId="6C38D040" w14:textId="63516781" w:rsidR="006B7BFE" w:rsidRPr="00A21513" w:rsidRDefault="006B7BFE" w:rsidP="0070360F">
            <w:pPr>
              <w:pStyle w:val="Default"/>
              <w:keepNext/>
              <w:keepLines/>
              <w:rPr>
                <w:rFonts w:ascii="Arial" w:hAnsi="Arial" w:cs="Arial"/>
                <w:b/>
                <w:spacing w:val="-4"/>
                <w:sz w:val="22"/>
                <w:szCs w:val="22"/>
              </w:rPr>
            </w:pPr>
            <w:r w:rsidRPr="00A21513">
              <w:rPr>
                <w:rFonts w:ascii="Arial" w:hAnsi="Arial"/>
                <w:b/>
                <w:iCs/>
                <w:spacing w:val="-4"/>
                <w:sz w:val="22"/>
                <w:szCs w:val="22"/>
              </w:rPr>
              <w:t xml:space="preserve">Atlyginimo tarifas EUR / val. </w:t>
            </w:r>
          </w:p>
        </w:tc>
        <w:tc>
          <w:tcPr>
            <w:tcW w:w="1276" w:type="dxa"/>
          </w:tcPr>
          <w:p w14:paraId="759A246A" w14:textId="299BA053" w:rsidR="006B7BFE" w:rsidRPr="00A21513" w:rsidRDefault="006B7BFE" w:rsidP="0070360F">
            <w:pPr>
              <w:pStyle w:val="Default"/>
              <w:keepNext/>
              <w:keepLines/>
              <w:rPr>
                <w:rFonts w:ascii="Arial" w:hAnsi="Arial" w:cs="Arial"/>
                <w:b/>
                <w:spacing w:val="-4"/>
                <w:sz w:val="22"/>
                <w:szCs w:val="22"/>
              </w:rPr>
            </w:pPr>
            <w:r w:rsidRPr="00A21513">
              <w:rPr>
                <w:rFonts w:ascii="Arial" w:hAnsi="Arial"/>
                <w:b/>
                <w:iCs/>
                <w:spacing w:val="-4"/>
                <w:sz w:val="22"/>
                <w:szCs w:val="22"/>
              </w:rPr>
              <w:t xml:space="preserve">Personalo išlaidos EUR per metus </w:t>
            </w:r>
          </w:p>
        </w:tc>
        <w:tc>
          <w:tcPr>
            <w:tcW w:w="1276" w:type="dxa"/>
          </w:tcPr>
          <w:p w14:paraId="3BAD02CC" w14:textId="52624B6B" w:rsidR="006B7BFE" w:rsidRPr="00A21513" w:rsidRDefault="006B7BFE" w:rsidP="0070360F">
            <w:pPr>
              <w:pStyle w:val="Default"/>
              <w:keepNext/>
              <w:keepLines/>
              <w:rPr>
                <w:rFonts w:ascii="Arial" w:hAnsi="Arial" w:cs="Arial"/>
                <w:b/>
                <w:spacing w:val="-4"/>
                <w:sz w:val="22"/>
                <w:szCs w:val="22"/>
              </w:rPr>
            </w:pPr>
            <w:r w:rsidRPr="00A21513">
              <w:rPr>
                <w:rFonts w:ascii="Arial" w:hAnsi="Arial"/>
                <w:b/>
                <w:iCs/>
                <w:spacing w:val="-4"/>
                <w:sz w:val="22"/>
                <w:szCs w:val="22"/>
              </w:rPr>
              <w:t xml:space="preserve">Veiklos išlaidos EUR per metus </w:t>
            </w:r>
          </w:p>
        </w:tc>
        <w:tc>
          <w:tcPr>
            <w:tcW w:w="1276" w:type="dxa"/>
          </w:tcPr>
          <w:p w14:paraId="7EA852C4" w14:textId="1FF43BB6" w:rsidR="006B7BFE" w:rsidRPr="00A21513" w:rsidRDefault="006B7BFE" w:rsidP="0070360F">
            <w:pPr>
              <w:pStyle w:val="Default"/>
              <w:keepNext/>
              <w:keepLines/>
              <w:rPr>
                <w:rFonts w:ascii="Arial" w:hAnsi="Arial" w:cs="Arial"/>
                <w:b/>
                <w:spacing w:val="-4"/>
                <w:sz w:val="22"/>
                <w:szCs w:val="22"/>
              </w:rPr>
            </w:pPr>
            <w:r w:rsidRPr="00A21513">
              <w:rPr>
                <w:rFonts w:ascii="Arial" w:hAnsi="Arial"/>
                <w:b/>
                <w:bCs/>
                <w:iCs/>
                <w:spacing w:val="-4"/>
                <w:sz w:val="22"/>
                <w:szCs w:val="22"/>
              </w:rPr>
              <w:t xml:space="preserve">Vykdymo sąnaudos EUR per metus </w:t>
            </w:r>
          </w:p>
        </w:tc>
      </w:tr>
      <w:tr w:rsidR="006B7BFE" w:rsidRPr="00A21513" w14:paraId="17404952" w14:textId="77777777" w:rsidTr="00A21513">
        <w:tc>
          <w:tcPr>
            <w:tcW w:w="1366" w:type="dxa"/>
          </w:tcPr>
          <w:p w14:paraId="274A982B" w14:textId="77777777" w:rsidR="006B7BFE" w:rsidRPr="00A21513" w:rsidRDefault="006B7BFE" w:rsidP="006B7BFE">
            <w:pPr>
              <w:pStyle w:val="Default"/>
              <w:rPr>
                <w:rFonts w:ascii="Arial" w:hAnsi="Arial" w:cs="Arial"/>
                <w:spacing w:val="-4"/>
                <w:sz w:val="22"/>
                <w:szCs w:val="22"/>
              </w:rPr>
            </w:pPr>
            <w:r w:rsidRPr="00A21513">
              <w:rPr>
                <w:rFonts w:ascii="Arial" w:hAnsi="Arial"/>
                <w:spacing w:val="-4"/>
                <w:sz w:val="22"/>
                <w:szCs w:val="22"/>
              </w:rPr>
              <w:t xml:space="preserve">Funkcinis barjeras </w:t>
            </w:r>
          </w:p>
        </w:tc>
        <w:tc>
          <w:tcPr>
            <w:tcW w:w="1294" w:type="dxa"/>
          </w:tcPr>
          <w:p w14:paraId="73BC7D3D" w14:textId="77777777" w:rsidR="006B7BFE" w:rsidRPr="00A21513" w:rsidRDefault="006B7BFE" w:rsidP="000F1682">
            <w:pPr>
              <w:pStyle w:val="Default"/>
              <w:rPr>
                <w:rFonts w:ascii="Arial" w:hAnsi="Arial" w:cs="Arial"/>
                <w:spacing w:val="-4"/>
                <w:sz w:val="22"/>
                <w:szCs w:val="22"/>
              </w:rPr>
            </w:pPr>
            <w:r w:rsidRPr="00A21513">
              <w:rPr>
                <w:rFonts w:ascii="Arial" w:hAnsi="Arial"/>
                <w:spacing w:val="-4"/>
                <w:sz w:val="22"/>
                <w:szCs w:val="22"/>
              </w:rPr>
              <w:t xml:space="preserve">6a straipsnio 1 ir 4 dalis </w:t>
            </w:r>
          </w:p>
        </w:tc>
        <w:tc>
          <w:tcPr>
            <w:tcW w:w="1276" w:type="dxa"/>
          </w:tcPr>
          <w:p w14:paraId="211D8246" w14:textId="77777777" w:rsidR="006B7BFE" w:rsidRPr="00A21513" w:rsidRDefault="006B7BFE" w:rsidP="002F4768">
            <w:pPr>
              <w:pStyle w:val="Default"/>
              <w:rPr>
                <w:rFonts w:ascii="Arial" w:hAnsi="Arial" w:cs="Arial"/>
                <w:spacing w:val="-4"/>
                <w:sz w:val="22"/>
                <w:szCs w:val="22"/>
              </w:rPr>
            </w:pPr>
            <w:r w:rsidRPr="00A21513">
              <w:rPr>
                <w:rFonts w:ascii="Arial" w:hAnsi="Arial"/>
                <w:spacing w:val="-4"/>
                <w:sz w:val="22"/>
                <w:szCs w:val="22"/>
              </w:rPr>
              <w:t xml:space="preserve">20 000 </w:t>
            </w:r>
          </w:p>
        </w:tc>
        <w:tc>
          <w:tcPr>
            <w:tcW w:w="1491" w:type="dxa"/>
          </w:tcPr>
          <w:p w14:paraId="041B8DAD" w14:textId="77777777" w:rsidR="006B7BFE" w:rsidRPr="00A21513" w:rsidRDefault="00A4031B" w:rsidP="006B7BFE">
            <w:pPr>
              <w:pStyle w:val="Default"/>
              <w:rPr>
                <w:rFonts w:ascii="Arial" w:hAnsi="Arial" w:cs="Arial"/>
                <w:spacing w:val="-4"/>
                <w:sz w:val="22"/>
                <w:szCs w:val="22"/>
              </w:rPr>
            </w:pPr>
            <w:r w:rsidRPr="00A21513">
              <w:rPr>
                <w:rFonts w:ascii="Arial" w:hAnsi="Arial"/>
                <w:spacing w:val="-4"/>
                <w:sz w:val="22"/>
                <w:szCs w:val="22"/>
              </w:rPr>
              <w:t>60,50</w:t>
            </w:r>
          </w:p>
        </w:tc>
        <w:tc>
          <w:tcPr>
            <w:tcW w:w="1276" w:type="dxa"/>
          </w:tcPr>
          <w:p w14:paraId="3016DBF2" w14:textId="77777777" w:rsidR="006B7BFE" w:rsidRPr="00A21513" w:rsidRDefault="00A4031B" w:rsidP="002F4768">
            <w:pPr>
              <w:pStyle w:val="Default"/>
              <w:rPr>
                <w:rFonts w:ascii="Arial" w:hAnsi="Arial" w:cs="Arial"/>
                <w:spacing w:val="-4"/>
                <w:sz w:val="22"/>
                <w:szCs w:val="22"/>
              </w:rPr>
            </w:pPr>
            <w:r w:rsidRPr="00A21513">
              <w:rPr>
                <w:rFonts w:ascii="Arial" w:hAnsi="Arial"/>
                <w:spacing w:val="-4"/>
                <w:sz w:val="22"/>
                <w:szCs w:val="22"/>
              </w:rPr>
              <w:t xml:space="preserve">1 210 000 </w:t>
            </w:r>
          </w:p>
        </w:tc>
        <w:tc>
          <w:tcPr>
            <w:tcW w:w="1276" w:type="dxa"/>
          </w:tcPr>
          <w:p w14:paraId="7800B24B" w14:textId="77777777" w:rsidR="006B7BFE" w:rsidRPr="00A21513" w:rsidRDefault="006B7BFE" w:rsidP="002F4768">
            <w:pPr>
              <w:pStyle w:val="Default"/>
              <w:rPr>
                <w:rFonts w:ascii="Arial" w:hAnsi="Arial" w:cs="Arial"/>
                <w:spacing w:val="-4"/>
                <w:sz w:val="22"/>
                <w:szCs w:val="22"/>
              </w:rPr>
            </w:pPr>
            <w:r w:rsidRPr="00A21513">
              <w:rPr>
                <w:rFonts w:ascii="Arial" w:hAnsi="Arial"/>
                <w:spacing w:val="-4"/>
                <w:sz w:val="22"/>
                <w:szCs w:val="22"/>
              </w:rPr>
              <w:t xml:space="preserve">6 950 000 </w:t>
            </w:r>
          </w:p>
        </w:tc>
        <w:tc>
          <w:tcPr>
            <w:tcW w:w="1276" w:type="dxa"/>
            <w:shd w:val="clear" w:color="auto" w:fill="BFBFBF" w:themeFill="background1" w:themeFillShade="BF"/>
          </w:tcPr>
          <w:p w14:paraId="4DC4F037" w14:textId="77777777" w:rsidR="006B7BFE" w:rsidRPr="00A21513" w:rsidRDefault="002F4768" w:rsidP="002F4768">
            <w:pPr>
              <w:pStyle w:val="Default"/>
              <w:rPr>
                <w:rFonts w:ascii="Arial" w:hAnsi="Arial" w:cs="Arial"/>
                <w:spacing w:val="-4"/>
                <w:sz w:val="22"/>
                <w:szCs w:val="22"/>
              </w:rPr>
            </w:pPr>
            <w:r w:rsidRPr="00A21513">
              <w:rPr>
                <w:rFonts w:ascii="Arial" w:hAnsi="Arial"/>
                <w:b/>
                <w:bCs/>
                <w:spacing w:val="-4"/>
                <w:sz w:val="22"/>
                <w:szCs w:val="22"/>
              </w:rPr>
              <w:t xml:space="preserve"> 8 160 000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bCs/>
          <w:u w:val="single"/>
        </w:rPr>
        <w:t xml:space="preserve">Rašytinė ar elektroninė deklaracija dėl funkcinio barjero atsisakymo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Vienkartinės pertvarkymo sąnaudos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Vienkartinės pertvarkymo sąnaudos neatsiras.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lastRenderedPageBreak/>
        <w:t xml:space="preserve">b) Vykdymo sąnaudos per metus </w:t>
      </w:r>
    </w:p>
    <w:p w14:paraId="35D80FBA" w14:textId="77777777" w:rsidR="006B7BFE" w:rsidRPr="00D43FA1" w:rsidRDefault="006B7BFE" w:rsidP="0070360F">
      <w:pPr>
        <w:pStyle w:val="Text"/>
        <w:keepNext/>
        <w:keepLines/>
        <w:spacing w:before="0" w:after="0"/>
      </w:pPr>
    </w:p>
    <w:p w14:paraId="3CE01598" w14:textId="77777777" w:rsidR="006B7BFE" w:rsidRPr="00D43FA1" w:rsidRDefault="006B7BFE" w:rsidP="009140F6">
      <w:pPr>
        <w:pStyle w:val="Text"/>
        <w:spacing w:before="0" w:after="0"/>
      </w:pPr>
      <w:r>
        <w:t xml:space="preserve">Būtini papildomi duomenys, t. y. atsisakymo deklaracijos turinys, aptariami tarp pakuočių ir maisto produktų gamintojų susitarimų dėl pakuotės medžiagos forma. Papildomai atsirandančios vykdymo sąnaudos yra nedidelės. </w:t>
      </w:r>
    </w:p>
    <w:p w14:paraId="7BA9413B" w14:textId="77777777" w:rsidR="006B7BFE" w:rsidRPr="00D43FA1" w:rsidRDefault="006B7BFE" w:rsidP="009140F6">
      <w:pPr>
        <w:pStyle w:val="Text"/>
        <w:spacing w:before="0" w:after="0"/>
      </w:pPr>
    </w:p>
    <w:p w14:paraId="27386C8C" w14:textId="77777777" w:rsidR="006B7BFE" w:rsidRPr="00D43FA1" w:rsidRDefault="006B7BFE" w:rsidP="0070360F">
      <w:pPr>
        <w:pStyle w:val="Text"/>
        <w:keepNext/>
        <w:keepLines/>
        <w:spacing w:before="0" w:after="0"/>
        <w:rPr>
          <w:b/>
          <w:bCs/>
          <w:u w:val="single"/>
        </w:rPr>
      </w:pPr>
      <w:r>
        <w:rPr>
          <w:b/>
          <w:bCs/>
          <w:u w:val="single"/>
        </w:rPr>
        <w:t>Patvirtinimo, kad MOAH neperduodami, prievolė pagal 6a straipsnio 1, 2 ir 4 dalis</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Vienkartinės pertvarkymo sąnaudos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t xml:space="preserve">Vienkartinės pertvarkymo sąnaudos neatsiras.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t xml:space="preserve">b) Vykdymo sąnaudos per metus </w:t>
      </w:r>
    </w:p>
    <w:p w14:paraId="3DD42870" w14:textId="77777777" w:rsidR="006B7BFE" w:rsidRPr="00D43FA1" w:rsidRDefault="006B7BFE" w:rsidP="0070360F">
      <w:pPr>
        <w:pStyle w:val="Text"/>
        <w:keepNext/>
        <w:keepLines/>
        <w:spacing w:before="0" w:after="0"/>
      </w:pPr>
    </w:p>
    <w:p w14:paraId="0F203911" w14:textId="77777777" w:rsidR="00013F7F" w:rsidRPr="00D43FA1" w:rsidRDefault="006B7BFE" w:rsidP="00557D18">
      <w:pPr>
        <w:pStyle w:val="Text"/>
        <w:spacing w:before="0" w:after="0"/>
      </w:pPr>
      <w:r>
        <w:t>2006 m. gruodžio 22 d. Komisijos reglamente (EB) Nr. 2023/2006 dėl medžiagų ir gaminių, skirtų liestis su maistu, geros gamybos praktikos (OL L 384, 2006 12 29, p. 75) (vadinamasis GGP nutarimas), jau įtvirtinta visuotinė dokumentavimo prievolė su maistu liestis skirtiems vartojimo reikmenims. Be to, jau parengti dokumentai pirminiam patikrinimui bei periodiniams maisto produktų ir maisto produktų pakuočių patikrinimams, kurie gali būti naudojami kaip patvirtinimai. Papildomai atsirandančios vykdymo sąnaudos yra nedidelės.</w:t>
      </w:r>
    </w:p>
    <w:p w14:paraId="6239F5A0" w14:textId="77777777" w:rsidR="00013F7F" w:rsidRPr="00D43FA1" w:rsidRDefault="00013F7F" w:rsidP="00013F7F">
      <w:pPr>
        <w:pStyle w:val="Text"/>
        <w:spacing w:before="0" w:after="0"/>
        <w:jc w:val="left"/>
      </w:pPr>
    </w:p>
    <w:p w14:paraId="24214F93" w14:textId="3181681B" w:rsidR="00425BF3" w:rsidRPr="00D43FA1" w:rsidRDefault="00425BF3" w:rsidP="00557D18">
      <w:pPr>
        <w:pStyle w:val="Text"/>
        <w:spacing w:before="0" w:after="0"/>
      </w:pPr>
      <w:r>
        <w:t>Nutarimo nuostatos vienodai taikomos mažoms ir vidutinio dydžio įmonėms (vok. santrumpa KMU, toliau – MVĮ). Ypatingos išimtys MVĮ negali būti taikomos dėl vartotojų sveikatos apsaugos priežasčių. Tačiau nutarime numatytos bendrosios išimtys taikant funkcinį barjerą, jei tam yra reikiamos būtinosios sąlygos.</w:t>
      </w:r>
    </w:p>
    <w:p w14:paraId="4C839333" w14:textId="77777777" w:rsidR="00325F70" w:rsidRPr="00D43FA1" w:rsidRDefault="00325F70" w:rsidP="00013F7F">
      <w:pPr>
        <w:pStyle w:val="Text"/>
        <w:spacing w:before="0" w:after="0"/>
        <w:jc w:val="left"/>
      </w:pPr>
    </w:p>
    <w:p w14:paraId="2CF68D80" w14:textId="7272FBDC" w:rsidR="003F6BDA" w:rsidRPr="00D43FA1" w:rsidRDefault="00091B75" w:rsidP="00557D18">
      <w:pPr>
        <w:pStyle w:val="Text"/>
        <w:spacing w:before="0" w:after="0"/>
      </w:pPr>
      <w:r>
        <w:t>Dėl šių tikslų atsirandančioms papildomoms einamosioms vykdymo sąnaudoms ūkio subjektams taikoma taisyklė „One din, One out“ (vienas priimamas, kito atsisakoma). Pagal šį reglamentavimą kompensacijų taikymas nenumatytas. Todėl vykdymo sąnaudos bus kompensuojamos kitais teisės aktais.</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c) Vykdymo sąnaudos piliečiams</w:t>
      </w:r>
    </w:p>
    <w:p w14:paraId="49145E90" w14:textId="77777777" w:rsidR="004779CD" w:rsidRPr="00D43FA1" w:rsidRDefault="004779CD" w:rsidP="0070360F">
      <w:pPr>
        <w:pStyle w:val="Text"/>
        <w:keepNext/>
        <w:keepLines/>
        <w:spacing w:before="0" w:after="0"/>
      </w:pPr>
    </w:p>
    <w:p w14:paraId="61EA37FE" w14:textId="77777777" w:rsidR="00D43FA1" w:rsidRDefault="00612652" w:rsidP="003F6BDA">
      <w:pPr>
        <w:pStyle w:val="Text"/>
        <w:spacing w:before="0" w:after="0"/>
      </w:pPr>
      <w:r>
        <w:t>Piliečiams dėl nutarimo pakeitimo neatsiranda jokių vykdymo išlaidų.</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Kitos išlaidos</w:t>
      </w:r>
    </w:p>
    <w:p w14:paraId="4A6DA429" w14:textId="77777777" w:rsidR="000F4A0B" w:rsidRPr="00D43FA1" w:rsidRDefault="00CB5E99">
      <w:pPr>
        <w:pStyle w:val="Text"/>
      </w:pPr>
      <w:r>
        <w:t>Negalima teigti, kad nebus jokio poveikio atskiroms kainoms, tačiau nesitikima poveikio bendram kainų lygiui ir ypač vartotojų kainų lygiui.</w:t>
      </w:r>
    </w:p>
    <w:p w14:paraId="6B3FA7B6" w14:textId="77777777" w:rsidR="000F4A0B" w:rsidRPr="00D43FA1" w:rsidRDefault="000F4A0B" w:rsidP="000F4A0B">
      <w:pPr>
        <w:pStyle w:val="berschriftarabischBegrndung"/>
      </w:pPr>
      <w:r>
        <w:t>Kitos teisinės pasekmės</w:t>
      </w:r>
    </w:p>
    <w:p w14:paraId="0411E3C3" w14:textId="77777777" w:rsidR="000F4A0B" w:rsidRPr="00D43FA1" w:rsidRDefault="000F4A0B" w:rsidP="000F4A0B">
      <w:pPr>
        <w:pStyle w:val="Text"/>
      </w:pPr>
      <w:r>
        <w:t xml:space="preserve">Nutarime nenumatytos jokios taisyklės, turinčios konkretų poveikį moterų ar vyrų gyvenimo sąlygoms. Moterų ir vyrų sveikatos apsauga traktuojama vienodai. Todėl nesitikima jokio poveikio moterų ir vyrų lygybei. </w:t>
      </w:r>
    </w:p>
    <w:p w14:paraId="3D5B6005" w14:textId="77777777" w:rsidR="000F4A0B" w:rsidRPr="00D43FA1" w:rsidRDefault="000F4A0B" w:rsidP="000F4A0B">
      <w:pPr>
        <w:pStyle w:val="berschriftrmischBegrndung"/>
      </w:pPr>
      <w:r>
        <w:t>Terminai; įvertinimas</w:t>
      </w:r>
    </w:p>
    <w:p w14:paraId="713DB2AE" w14:textId="14616EF4" w:rsidR="00BE6637" w:rsidRPr="00D43FA1" w:rsidRDefault="006504FE" w:rsidP="000F4A0B">
      <w:pPr>
        <w:pStyle w:val="Text"/>
      </w:pPr>
      <w:r>
        <w:t xml:space="preserve">Taisyklės galiojimas neribojamas, nes vartotojų sveikatos apsauga turi būti užtikrinama nuolat. </w:t>
      </w:r>
    </w:p>
    <w:p w14:paraId="757F71C9" w14:textId="58E77352" w:rsidR="000F4A0B" w:rsidRPr="00D43FA1" w:rsidRDefault="00BE6637" w:rsidP="000F4A0B">
      <w:pPr>
        <w:pStyle w:val="Text"/>
        <w:rPr>
          <w:highlight w:val="yellow"/>
        </w:rPr>
      </w:pPr>
      <w:r>
        <w:t xml:space="preserve">Tačiau praėjus penkeriems metams turėtų būti įvertintas šio nutarimo taikymo poveikis. Atliekant vertinimą turėtų būti patikrinta, ar pasiektas tikslas, t. y. ar sumažintas MOAH poveikis iš nutarimu reglamentuojamų su maistu liestis skirtų vartojimo reikmenų, vartotojams, naudojant funkcinius barjerus ar kitas tinkamas priemones, užkertančias MOAH perdavimą (0,5 miligramų MOAH aptikimo riba vienam maisto produkto kilogramui </w:t>
      </w:r>
      <w:r>
        <w:lastRenderedPageBreak/>
        <w:t xml:space="preserve">arba 0,15 miligramų MOAH aptikimo riba vienam maisto modelinio tirpalo kilogramui). Reikiami duomenys turi būti paremti maisto produktų priežiūros įstaigų vykdomos kontrolės rezultatais bei atitinkamų įmonių atitikties vertinimu. Be to, turi būti atsižvelgta į faktinį išlaidų poveikį, pvz., su maistu liestis skirtų vartojimo reikmenų ir atitinkamų maisto produktų vystymo, pertvarkymo ir patikrinimo išlaidos, lyginant su nutarimo tikslu ir prireikus su galimais pašaliniais poveikiais. Taip pat reikia atsižvelgti į analizės vystymą ir ypač į pasiekiamas MOAH aptikimo ribas. </w:t>
      </w:r>
    </w:p>
    <w:p w14:paraId="353D2149" w14:textId="77777777" w:rsidR="006444D5" w:rsidRPr="00D43FA1" w:rsidRDefault="006444D5" w:rsidP="0070360F">
      <w:pPr>
        <w:pStyle w:val="BegrndungBesondererTeil"/>
        <w:keepLines/>
      </w:pPr>
      <w:r>
        <w:t>B. Ypatingoji dalis</w:t>
      </w:r>
    </w:p>
    <w:p w14:paraId="0532AB57" w14:textId="77777777" w:rsidR="00CB5E99" w:rsidRPr="00D43FA1" w:rsidRDefault="00CB5E99" w:rsidP="0070360F">
      <w:pPr>
        <w:pStyle w:val="Text"/>
        <w:keepNext/>
        <w:keepLines/>
        <w:rPr>
          <w:b/>
        </w:rPr>
      </w:pPr>
      <w:r>
        <w:rPr>
          <w:b/>
        </w:rPr>
        <w:t>Dėl 1 straipsnio</w:t>
      </w:r>
    </w:p>
    <w:p w14:paraId="03E3D677" w14:textId="77777777" w:rsidR="00CB5E99" w:rsidRPr="00D43FA1" w:rsidRDefault="00CB5E99" w:rsidP="0070360F">
      <w:pPr>
        <w:pStyle w:val="Text"/>
        <w:keepNext/>
        <w:keepLines/>
        <w:rPr>
          <w:u w:val="single"/>
        </w:rPr>
      </w:pPr>
      <w:r>
        <w:rPr>
          <w:u w:val="single"/>
        </w:rPr>
        <w:t>Dėl 1 punkto</w:t>
      </w:r>
    </w:p>
    <w:p w14:paraId="56A74D00" w14:textId="77777777" w:rsidR="00CB5E99" w:rsidRPr="00D43FA1" w:rsidRDefault="00CB5E99" w:rsidP="00CB5E99">
      <w:pPr>
        <w:pStyle w:val="Text"/>
      </w:pPr>
      <w:r>
        <w:t xml:space="preserve">1 punkte, atsižvelgiant į šiuo nutarimu reglamentuojamą turinį, įterpiamos reikiamos perdirbto popieriaus, aromatinių naftos angliavandenilių (MOAH), funkcinio barjero ir maisto modelinio tirpalo apibrėžtys. </w:t>
      </w:r>
    </w:p>
    <w:p w14:paraId="6B41D48F" w14:textId="77777777" w:rsidR="002535AD" w:rsidRPr="00D43FA1" w:rsidRDefault="00031FDC" w:rsidP="00CB5E99">
      <w:pPr>
        <w:pStyle w:val="Text"/>
      </w:pPr>
      <w:r>
        <w:t xml:space="preserve">Funkcinio barjero apibrėžtis numato diferencijavimą, atsižvelgiant į įvairias formas. Funkcinis barjeras gali būti tvirtai sujungtas su su maistu liestis skirtu vartojimo reikmeniu, pvz., dangos forma (2 straipsnio 9 punkto a papunktis) arba jis gali būti atskiras, pvz., tarpinio maišelio formos (2 straipsnio 9 punkto b papunktis). Priklausomai nuo su maistu liestis skirto vartojimo reikmens rūšies, maisto produkto, su maistu liestis skirto vartojimo reikmens naudojimo sąlygų ir naudojimo trukmės, kaip medžiaga dangai ant popieriaus ir kartono arba kaip medžiaga papildomam vidiniam maišeliui tinka, pvz., aliuminis arba skirtingi plastikai (pvz., PET, poliarininkai, poli acetatai, poligamijai)  </w:t>
      </w:r>
    </w:p>
    <w:p w14:paraId="578470CD" w14:textId="77777777" w:rsidR="00CB5E99" w:rsidRPr="00D43FA1" w:rsidRDefault="00CB5E99" w:rsidP="0070360F">
      <w:pPr>
        <w:pStyle w:val="Text"/>
        <w:keepNext/>
        <w:keepLines/>
        <w:rPr>
          <w:u w:val="single"/>
        </w:rPr>
      </w:pPr>
      <w:r>
        <w:rPr>
          <w:u w:val="single"/>
        </w:rPr>
        <w:t>Dėl 2 punkto</w:t>
      </w:r>
    </w:p>
    <w:p w14:paraId="0EE8563F" w14:textId="77777777" w:rsidR="00492084" w:rsidRPr="00D43FA1" w:rsidRDefault="00CB5E99" w:rsidP="00CB5E99">
      <w:pPr>
        <w:pStyle w:val="Text"/>
      </w:pPr>
      <w:r>
        <w:t xml:space="preserve">2 punkte nustatomos specialiosios taisyklės su maistu liestis skirtiems vartojimo reikmenims iš popieriaus ar kartono, pagaminto naudojant perdirbto popieriaus medžiagą. </w:t>
      </w:r>
    </w:p>
    <w:p w14:paraId="02416656" w14:textId="77777777" w:rsidR="00492084" w:rsidRPr="00A21513" w:rsidRDefault="00492084" w:rsidP="00123317">
      <w:pPr>
        <w:pStyle w:val="Text"/>
        <w:rPr>
          <w:spacing w:val="-4"/>
        </w:rPr>
      </w:pPr>
      <w:r w:rsidRPr="00A21513">
        <w:rPr>
          <w:spacing w:val="-4"/>
        </w:rPr>
        <w:t>6a straipsnio 1 ir 2 dalyse numatyti konkrečiai su maistu liestis skirtų vartojimo reikmenų verslo subjektams (gamintojai, pardavėjai) skirti reikalavimai. Jei maisto verslo subjektas, nukrypdamas nuo šių nuostatų, nori taikyti savo apsaugines priemones, jam bei su maistu liestis skirtų vartojimo reikmenų verslo subjektui skirti 3 ir 4 dalies reikalavimai. 5 dalis skirta kaip su maistu liestis skirtų vartojimo reikmenų verslo subjektui, taip ir maisto verslo subjektui.</w:t>
      </w:r>
    </w:p>
    <w:p w14:paraId="21FFB49B" w14:textId="77777777" w:rsidR="00123317" w:rsidRPr="00D43FA1" w:rsidRDefault="00CB5E99" w:rsidP="00123317">
      <w:pPr>
        <w:pStyle w:val="Text"/>
      </w:pPr>
      <w:r>
        <w:t>Vadovaujantis 6a straipsnio 1 dalimi, pirmiau nurodyti su maistu liestis skirti vartojimo reikmenys turi turėti funkcinį barjerą, užtikrinantį, kad MOAH neperduodami maisto produktui. Su maistu liestis skirtų vartojimo reikmenų gamintojai ir pardavėjai paprastai naudoja funkcinį barjerą pagal 2 straipsnio 9 punkto a papunktį, t. y. tvirtai su su maistu liestis skirtu vartojimo reikmeniu susietu sluoksniu arba danga. Jei nustatomas perdavimas maisto produktui, tai teisiškai laikoma, kad iki 0,5 miligramų MOAH aptikimo ribos vienam maisto produkto kilogramui perdavimas nevyksta. Jei barjero funkcionalumas nustatomas naudojant atitinkamus maisto modelinius tirpalus, tai atitinkamai taikoma 0,15 miligramų MOAH vienam modelinio tirpalo kilogramui aptikimo riba.</w:t>
      </w:r>
    </w:p>
    <w:p w14:paraId="69C05D19" w14:textId="28529D16" w:rsidR="006F0E66" w:rsidRPr="00A21513" w:rsidRDefault="00123317" w:rsidP="0070360F">
      <w:pPr>
        <w:pStyle w:val="Text"/>
        <w:keepNext/>
        <w:keepLines/>
        <w:rPr>
          <w:spacing w:val="-4"/>
        </w:rPr>
      </w:pPr>
      <w:r w:rsidRPr="00A21513">
        <w:rPr>
          <w:spacing w:val="-4"/>
        </w:rPr>
        <w:lastRenderedPageBreak/>
        <w:t xml:space="preserve">Mineralinės alyvos analizė maisto produkte ir analizė, atsižvelgiant į iš su maistu liestis skirto vartojimo reikmens gautą sudedamąją dalį yra sudėtinga, tačiau pastaraisiais metais buvo padaryta didelė pažanga. Ilgą laiką siekiamą 0,15 miligramų MOAH vienam maisto produkto kilogramui perdavimo aptikimo ribą iš su maistu liestis skirtų vartojimo reikmenų šiuo metu pavyksta nustatyti ne visuose produktuose. Didelę įtaką tam turi dabartinė maisto produktų matrica. Numatytą 0,5 miligramų MOAH vienam maisto produkto kilogramui perdavimo iš su maistu liestis skirtų vartojimo reikmenų aptikimo ribą šiuo metu praktikoje galima nustatyti atliekant maisto produkto analizę. Tačiau jei naudojami maisto modeliniai tirpalai (paprastai poli(2,6-difenil-p-fenilio oksidas)), norint patikrinti, ar užtikrinamas barjero funkcionalumas ir MOAH nėra perduodami, taikoma 0,15 miligramų MOAH vienam modelinio tirpalo kilogramui aptikimo riba. Tai ypač pagrįsta tuo, kad pasireiškiantys MOAH poveikiai atsiskleidžia per maisto produkto matricą ir todėl praktikoje MOAH aptikimas yra žymiai jautresnis. Kalbant apie sutartinius metodus arba šiuo metu daugiausiai naudojamus analizės metodus, pateikiama nuoroda į tokias Federalinio rizikos vertinimo instituto publikacijas: </w:t>
      </w:r>
    </w:p>
    <w:p w14:paraId="13C0812B" w14:textId="77777777" w:rsidR="006F0E66" w:rsidRPr="00D43FA1" w:rsidRDefault="00123317" w:rsidP="009777BB">
      <w:pPr>
        <w:pStyle w:val="Text"/>
        <w:numPr>
          <w:ilvl w:val="0"/>
          <w:numId w:val="7"/>
        </w:numPr>
      </w:pPr>
      <w:r>
        <w:t xml:space="preserve">„Angliavandenilių iš naftos (MOSH ir MOAH) arba plastikų (POSH, PAO) nustatymas pakuočių medžiagose ir sausuose maisto produktuose, naudojant kietosios fazės ekstrahavimą ir GC-FID“ (patiekiama adresu: </w:t>
      </w:r>
      <w:hyperlink r:id="rId8" w:history="1">
        <w:r>
          <w:t>http://</w:t>
        </w:r>
      </w:hyperlink>
      <w:hyperlink r:id="rId9" w:history="1">
        <w:r>
          <w:t>www.bfr.bund.de/cm/343/bestimmung-von-kohlenwasserstoffen-aus-mineraloel-oder-kunststoffen.pdf</w:t>
        </w:r>
      </w:hyperlink>
      <w:r>
        <w:t xml:space="preserve">; Leidimas: </w:t>
      </w:r>
      <w:r>
        <w:rPr>
          <w:b/>
          <w:bCs/>
          <w:i/>
          <w:u w:val="single"/>
        </w:rPr>
        <w:t>įrašyti 2020-MM-DD</w:t>
      </w:r>
      <w:r>
        <w:t>);</w:t>
      </w:r>
    </w:p>
    <w:p w14:paraId="5B28167A" w14:textId="77777777" w:rsidR="00123317" w:rsidRPr="00D43FA1" w:rsidRDefault="00123317" w:rsidP="009777BB">
      <w:pPr>
        <w:pStyle w:val="Text"/>
        <w:numPr>
          <w:ilvl w:val="0"/>
          <w:numId w:val="7"/>
        </w:numPr>
      </w:pPr>
      <w:r>
        <w:t xml:space="preserve">„Angliavandenilių iš naftos matavimas maisto produktuose ir pakuočių medžiagose“, BfR ir Ciuricho kartono laboratorijos sąvadas (pateikiama adresu: </w:t>
      </w:r>
      <w:hyperlink r:id="rId10" w:history="1">
        <w:r>
          <w:t>http://www.bfr.bund.de/cm/343/messung-von-mineraloel-kohlenwasserstoffen-in-lebensmitteln-und-verpackungsmaterialien.pdf</w:t>
        </w:r>
      </w:hyperlink>
      <w:r>
        <w:t xml:space="preserve">; Leidimas: </w:t>
      </w:r>
      <w:r>
        <w:rPr>
          <w:b/>
          <w:bCs/>
          <w:i/>
          <w:u w:val="single"/>
        </w:rPr>
        <w:t>įrašyti 2020-MM-DD</w:t>
      </w:r>
      <w:r>
        <w:t>).</w:t>
      </w:r>
      <w:r>
        <w:rPr>
          <w:bCs/>
          <w:u w:val="single"/>
        </w:rPr>
        <w:t xml:space="preserve"> </w:t>
      </w:r>
    </w:p>
    <w:p w14:paraId="2BF32794" w14:textId="77777777" w:rsidR="00123317" w:rsidRPr="00D43FA1" w:rsidRDefault="00123317" w:rsidP="00123317">
      <w:pPr>
        <w:pStyle w:val="Text"/>
      </w:pPr>
      <w:r>
        <w:t xml:space="preserve">Tarp kitko, funkcinio barjero reikalavimai taikomi tik tokioms medžiagoms ir daiktams iš popieriaus ir kartono, pagaminto iš perdirbto popieriaus, kuris yra įtrauktas į Reglamento (EB) Nr. 1935/2004 dėl žaliavų ir gaminių, skirtų liestis su maistu, ir panaikinančio Direktyvas 80/590/EEB ir 89/109/EEB, 1 straipsnio 2 dalies taikymo sritį. Reikalavimai atitinkamai transportavimo ir išorinėms dėžėms, pvz. taikomi tik tada, jei konkrečiu atveju tai yra su maistu liestis skirti vartojimo reikmenys. Dengiantysis ar daugkartinis funkcinis barjeras tiekimo grandinėje iš esmės yra nebūtinas. Todėl, pvz., transportavimo ir išorinių dėžių, jei jos konkrečiu atveju yra su maistu liestis skirti vartojimo reikmenys, atveju funkcinis barjeras bereikalingas, jei jau formuojant tikrąją maisto produkto pakuotę arba pakuotės sistemą (pvz., pirminę arba antrinę pakuotę) užtikrinama, kad MOAH maisto produktui neperduodami. Atitinkamai – kaip ir bendrojoje su maistu liestis skirtų vartojimo reikmenų srityje – visoje tiekimo grandinėje būtinas pakankamas komunikavimas. </w:t>
      </w:r>
    </w:p>
    <w:p w14:paraId="2A4229C4" w14:textId="77777777" w:rsidR="00123317" w:rsidRPr="00D43FA1" w:rsidRDefault="00123317" w:rsidP="00CB5E99">
      <w:pPr>
        <w:pStyle w:val="Text"/>
      </w:pPr>
      <w:r>
        <w:t xml:space="preserve">Šiuo nutarimu ryšium su funkciniu barjeru nustatyta 0,5 miligramų MOAH aptikimo riba vienam maisto produkto kilogramui paremta tik MOAH perdavimu maisto produktui iš šiuo nutarimu reglamentuojamų su maistu liestis skirtų vartojimo reikmenų ir nenustato bendrojo leistino didžiausio MOAH kiekio maisto produktuose. </w:t>
      </w:r>
    </w:p>
    <w:p w14:paraId="4749053E" w14:textId="1BDBFAC2" w:rsidR="00C42AD4" w:rsidRPr="00A21513" w:rsidRDefault="00000EDE" w:rsidP="00CB5E99">
      <w:pPr>
        <w:pStyle w:val="Text"/>
        <w:rPr>
          <w:spacing w:val="-4"/>
        </w:rPr>
      </w:pPr>
      <w:r w:rsidRPr="00A21513">
        <w:rPr>
          <w:spacing w:val="-4"/>
        </w:rPr>
        <w:t xml:space="preserve">2 dalyje numatytos paminėtų su maistu liestis skirtų vartojimo reikmenų su funkciniu barjeru privalomos su maistu liestis skirto vartojimo reikmenų verslo subjekto privalomos įrangos išimtys. Jei yra specialios būtinosios sąlygos, užkertančios kelią MOAH perdavimui maisto produktams, arba jei naudojant kitas priemones užtikrinama, kad negalima aptikti MOAH perdavimo iš su maistu liestis skirto produkto vartojimo reikmens 0,5 miligramų MOAH aptikimo ribos vienam maisto produkto kilogramui (arba 0,15 miligramų MOAH vienam modelinio tirpalo kilogramui), prievolė naudoti funkcinį barjerą netaikoma. Pirmuoju atveju gali būti, kad pvz., jei jau pačiame popieriuje arba kartone MOAH kiekis toks nedidelis, kad maistui negali būti neperduodamas didesnis kiekis, nei nustatytoji aptikimo riba. Galiausiai, t. y. kitomis tinkamomis priemonėmis pagal 2 punktą gali būti, pvz., tokios su maistu liestis skirtam vartojimo reikmeniui taikomos priemonės, kaip popieriaus arba kartono gamybai naudojami adsorbentai (pvz., aktyvintosios anglys), neleidžiantys perduoti MOAH maisto produktui. </w:t>
      </w:r>
    </w:p>
    <w:p w14:paraId="575AE879" w14:textId="7AEA464F" w:rsidR="00873463" w:rsidRPr="00D43FA1" w:rsidRDefault="00B849CA" w:rsidP="00CB5E99">
      <w:pPr>
        <w:pStyle w:val="Text"/>
      </w:pPr>
      <w:r>
        <w:lastRenderedPageBreak/>
        <w:t xml:space="preserve">Pagal 6a straipsnio 3 dalį atitinkami su maistu liestis skirti vartojimo reikmenys, nukrypstant nuo 6a straipsnio 1 dalies ir atsižvelgiant į 4 dalį, gali būti gaminami ir pateikiami rinkai be tvirtai su su maistu liestis skirtu vartojimo reikmeniu susieto funkcinio barjero. Tačiau tai leidžiama daryti tik tuomet, jei maisto verslo subjektas raštu ar elektroniniu būdu prieš tiekiant su maistu liestis skirtą vartojimo reikmenį šio su maistu liestis skirto vartojimo reikmens gamintojui arba pardavėjui patvirtina, kad atsisako funkcinio barjero. Šią deklaraciją su maistu liestis skirto vartojimo reikmens gamintojas arba pardavėjas turi saugoti, kas galėtų kompetentingai institucijai patvirtinti, kad nuo 6a straipsnio 1 dalies pirmo sakinio nuostatos buvo galima nukrypti dėl maisto verslo subjekto atsisakymo. </w:t>
      </w:r>
    </w:p>
    <w:p w14:paraId="559558B3" w14:textId="77777777" w:rsidR="00595A3F" w:rsidRPr="00D43FA1" w:rsidRDefault="00595A3F" w:rsidP="00CB5E99">
      <w:pPr>
        <w:pStyle w:val="Text"/>
      </w:pPr>
      <w:r>
        <w:t>6a straipsnio 3 dalies nuostata apima maisto verslo subjektus, kurie yra atsakingi už su maistu liestis skirtus vartojimo reikmenis, pagamintus naudojant perdirbtą popierių, tiesiogiai ar netiesiogiai kontaktuojančius su maisto produktais, t. y. naudoja kaip maisto produkto apvalkalą ar pakuotę, arba yra atsakingi, kad maisto produktas pirmiausiai kitais būdais liečiasi su su maistu liestis skirtu vartojimo reikmeniu. Įpareigojimas pagal 6a straipsnio 2 dalį, pvz., taikoma ne tik maisto verslo subjektams, kurie įsigyja tik jau supakuotus maisto produktus (taip pat iš kitos ES valstybės narės arba trečiosios šalies) ir kurie pakavimo procesui negali daryti jokio poveikio. Maisto verslo subjektas tokiu atveju vykdydamas savo bendrąją apdairumo pareigą privalo užtikrinti, kad atitinkami gaminiai atitinka reikalavimus dėl neleistino MOAH perdavimo.</w:t>
      </w:r>
    </w:p>
    <w:p w14:paraId="5D78B6B3" w14:textId="77777777" w:rsidR="00882CE4" w:rsidRPr="00D43FA1" w:rsidRDefault="00031FDC" w:rsidP="00CB5E99">
      <w:pPr>
        <w:pStyle w:val="Text"/>
      </w:pPr>
      <w:r>
        <w:t xml:space="preserve">6a straipsnio 3 dalyje nustatytais atvejais maisto verslo subjektas turi pats imtis tinkamų priemonių pagal 6a straipsnio 4 dalį, kad būtų užtikrinama, jog MAOH iš su maistu liestis skirto vartojimo reikmens neperduodami maisto produktui. Taip maisto verslo subjektas fasuodamas maisto produktą gali panaudoti tarpinį maišelį ar pan. kaip funkcinį barjerą (žr. 2 straipsnio 9 punkto b papunktį). Atitinkamai taikomi aptikimo ribai keliami reikalavimai. </w:t>
      </w:r>
    </w:p>
    <w:p w14:paraId="7B05CB8A" w14:textId="77777777" w:rsidR="00CB5E99" w:rsidRPr="00D43FA1" w:rsidRDefault="00CB5E99" w:rsidP="00CB5E99">
      <w:pPr>
        <w:pStyle w:val="Text"/>
      </w:pPr>
      <w:r>
        <w:t xml:space="preserve">Funkcinių barjerų naudojimas yra ne vienintelė galimybė, užtikrinant, kad iš su maistu liestis skirto vartojimo reikmens MOAH nebūtų perduodamas maisto produktui arba kad jie nėra aptinkami. Pareiga imtis atitinkamų priemonių ypač netaikoma, jei dėl maisto produkto struktūros (pvz., valgomoji druska) arba dėl naudojimo sąlygų (pvz., užšaldytų produktų atveju arba trumpai liečiantis prie sausų maisto produktų) MOAH maisto produktui neperduodami arba neviršija aptikimo ribos ir todėl laikoma, kad jie neaptikti. </w:t>
      </w:r>
    </w:p>
    <w:p w14:paraId="285E5728" w14:textId="77777777" w:rsidR="00CB5E99" w:rsidRPr="00A21513" w:rsidRDefault="00CB5E99" w:rsidP="009C1BE7">
      <w:pPr>
        <w:pStyle w:val="Text"/>
        <w:rPr>
          <w:spacing w:val="-4"/>
        </w:rPr>
      </w:pPr>
      <w:r w:rsidRPr="00A21513">
        <w:rPr>
          <w:spacing w:val="-4"/>
        </w:rPr>
        <w:t>Taikant bendrąsias su maistu liestis skirtų vartojimo reikmenų taisykles, kiekvienas atsakingas verslininkas – pvz., gamintojas, pardavėjas ar maisto produkto pakuotojas – vykdydamas savo apdairumo pareigą privalo užtikrinti, kad jo atsakomybės srityje esantys arba naudojami su maistu liestis skirti vartojimo reikmenys atitinka nustatytus reikalavimus. Pateikiama, pvz., nuoroda į Maisto produktų, vartojimo reikmenų ir pašarų kodekso (vok. santrumpa – LFGB) 30 straipsnio 3 punktą ir į Reglamentą (EB) Nr. 2023/2006. Pagal Reglamentą (EB) Nr. 2023/2006, be kita ko, reikia vykdyti tam tikras dokumentavimo prievoles. Tai yra svarbu, atsižvelgiant į šį nutarimą naudotino barjero arba išimties taisyklės taikymo požiūriu, nes dokumentai, sudaryti vykdant šias pareigas, gali būti naudojami kaip patvirtinimas, kad barjeras, kuris atlieka numatytam tikslui reikiamas funkcijas MOAH atžvilgiu, arba MOAH perdavimas iš su maistu liestis skirto vartojimo reikmens maisto produktui nėra aptiktas, t. y. jo vertė neviršija aptikimo ribos, jei nenaudojamas joks funkcinis barjeras.</w:t>
      </w:r>
    </w:p>
    <w:p w14:paraId="46427445" w14:textId="77777777" w:rsidR="00C66E2D" w:rsidRPr="0086292F" w:rsidRDefault="00D701EB" w:rsidP="00CB5E99">
      <w:pPr>
        <w:pStyle w:val="Text"/>
        <w:rPr>
          <w:szCs w:val="24"/>
        </w:rPr>
      </w:pPr>
      <w:r>
        <w:t xml:space="preserve">Su maistu liestis skirto vartojimo reikmens gamintojas arba pardavėjas bei maisto verslo subjektas kompetentingai įstaigai privalo pateikti įrodymus, kokių būtinųjų sąlygų arba aplinkybių pagrindu paremta jie taiko išimtį. Be to, 6a straipsnio 5 dalyje numatyta pirmiau nurodytą taisyklę patikslinanti su maistu liestis skirto vartojimo reikmens gamintojo arba pardavėjo bei atsakingo maisto verslo subjekto pareiga, pateikti dokumentus, patvirtinančius, kaip kiekvienas atsakingas asmuo užtikrina, kad MAOH nebūtų perduodami maisto produktams. </w:t>
      </w:r>
    </w:p>
    <w:p w14:paraId="7E7353A1" w14:textId="77777777" w:rsidR="00E36DB1" w:rsidRPr="00D43FA1" w:rsidRDefault="005211EE" w:rsidP="00A21513">
      <w:pPr>
        <w:pStyle w:val="Text"/>
        <w:keepLines/>
        <w:rPr>
          <w:color w:val="231F20"/>
          <w:szCs w:val="24"/>
        </w:rPr>
      </w:pPr>
      <w:r>
        <w:rPr>
          <w:color w:val="231F20"/>
          <w:szCs w:val="24"/>
        </w:rPr>
        <w:lastRenderedPageBreak/>
        <w:t>6a straipsnio 6 dalyje numatyti maisto produktų apyvartos draudimai, saugant vartotojus nuo galimų pavojų sveikatai, kuriuos sukelia MOAH perdavimas iš su maistu liestis skirtų vartojimo reikmenų. Apyvartos draudimai taikomi tokiems maisto produktams, apdorotiems naudojant su maistu liestis skirtus vartojimo reikmenis, kurie neatitinka 6a straipsnio 1 dalies pirmo sakinio arba 6a straipsnio 4 dalies pirmo sakinio nuostatų ir kuriems netaikomos nustatytos išimtys pagal 6a straipsnio 2 dalį arba 6a straipsnio 4 dalies trečią sakinį.</w:t>
      </w:r>
    </w:p>
    <w:p w14:paraId="295C3C27" w14:textId="77777777" w:rsidR="00893613" w:rsidRPr="00D43FA1" w:rsidRDefault="00893613" w:rsidP="0070360F">
      <w:pPr>
        <w:pStyle w:val="Text"/>
        <w:keepNext/>
        <w:keepLines/>
        <w:rPr>
          <w:szCs w:val="24"/>
          <w:u w:val="single"/>
        </w:rPr>
      </w:pPr>
      <w:r>
        <w:rPr>
          <w:szCs w:val="24"/>
          <w:u w:val="single"/>
        </w:rPr>
        <w:t>Dėl 3 punkto</w:t>
      </w:r>
    </w:p>
    <w:p w14:paraId="527C76F7" w14:textId="77777777" w:rsidR="00893613" w:rsidRPr="00D43FA1" w:rsidRDefault="00893613" w:rsidP="00893613">
      <w:pPr>
        <w:pStyle w:val="Text"/>
        <w:rPr>
          <w:szCs w:val="24"/>
        </w:rPr>
      </w:pPr>
      <w:r>
        <w:t>3 punktu reglamentuojamas draudimas naudoti su maistu liestis skirtus vartojimo reikmenis, neatitinkančius 6a straipsnio reikalavimų.</w:t>
      </w:r>
    </w:p>
    <w:p w14:paraId="0BECB08F" w14:textId="77777777" w:rsidR="00893613" w:rsidRPr="00D43FA1" w:rsidRDefault="00893613" w:rsidP="0070360F">
      <w:pPr>
        <w:pStyle w:val="Text"/>
        <w:keepNext/>
        <w:keepLines/>
        <w:rPr>
          <w:szCs w:val="24"/>
          <w:u w:val="single"/>
        </w:rPr>
      </w:pPr>
      <w:r>
        <w:rPr>
          <w:szCs w:val="24"/>
          <w:u w:val="single"/>
        </w:rPr>
        <w:t>Dėl 4 punkto</w:t>
      </w:r>
    </w:p>
    <w:p w14:paraId="123E14BA" w14:textId="77777777" w:rsidR="00D77D9F" w:rsidRPr="00D43FA1" w:rsidRDefault="00D77D9F" w:rsidP="00893613">
      <w:pPr>
        <w:pStyle w:val="Text"/>
        <w:rPr>
          <w:szCs w:val="24"/>
          <w:u w:val="single"/>
        </w:rPr>
      </w:pPr>
      <w:r>
        <w:t>4 punktu reglamentuojama vartojimo nutarimo 6a straipsnio pažeidimų prevencija</w:t>
      </w:r>
    </w:p>
    <w:p w14:paraId="72ADCE94" w14:textId="77777777" w:rsidR="00CB5E99" w:rsidRPr="00D43FA1" w:rsidRDefault="00D77D9F" w:rsidP="0070360F">
      <w:pPr>
        <w:pStyle w:val="Text"/>
        <w:keepNext/>
        <w:keepLines/>
        <w:rPr>
          <w:u w:val="single"/>
        </w:rPr>
      </w:pPr>
      <w:r>
        <w:rPr>
          <w:u w:val="single"/>
        </w:rPr>
        <w:t>Dėl 5 punkto</w:t>
      </w:r>
    </w:p>
    <w:p w14:paraId="10DAE7A6" w14:textId="77777777" w:rsidR="00BC7160" w:rsidRPr="00D43FA1" w:rsidRDefault="00CB5E99" w:rsidP="00CB5E99">
      <w:pPr>
        <w:pStyle w:val="Text"/>
      </w:pPr>
      <w:r>
        <w:t xml:space="preserve">5 punktu reglamentuojama, kad taisyklės taikomos tik praėjus trejų metų pereinamajam laikotarpiui. </w:t>
      </w:r>
    </w:p>
    <w:p w14:paraId="38F583BA" w14:textId="77777777" w:rsidR="00CB5E99" w:rsidRPr="00D43FA1" w:rsidRDefault="00CB5E99" w:rsidP="00CB5E99">
      <w:pPr>
        <w:pStyle w:val="Text"/>
      </w:pPr>
      <w:r>
        <w:t>Be to, 5 punkte nustatoma, kad su maistu liestis skirti vartojimo reikmenys, kurie buvo pagaminti pagal iki nutarimo įsigaliojimo dienos galiojusias taisykles, gali būti teikiami rinkai ir naudojami dar sekančius dvejus metus nuo šios dienos.</w:t>
      </w:r>
    </w:p>
    <w:p w14:paraId="3DCB47CB" w14:textId="77777777" w:rsidR="00CB5E99" w:rsidRPr="00D43FA1" w:rsidRDefault="00CB5E99" w:rsidP="0070360F">
      <w:pPr>
        <w:pStyle w:val="Text"/>
        <w:keepNext/>
        <w:keepLines/>
        <w:rPr>
          <w:b/>
        </w:rPr>
      </w:pPr>
      <w:r>
        <w:rPr>
          <w:b/>
        </w:rPr>
        <w:t>Dėl 2 straipsnio</w:t>
      </w:r>
    </w:p>
    <w:p w14:paraId="3A8E0CB1" w14:textId="77777777" w:rsidR="00CB5E99" w:rsidRPr="00D43FA1" w:rsidRDefault="00CB5E99" w:rsidP="00CB5E99">
      <w:pPr>
        <w:pStyle w:val="Text"/>
      </w:pPr>
      <w:r>
        <w:t>2 straipsnyje nustatytas leidimas skelbti Vartojimo reikmenų nutarimą.</w:t>
      </w:r>
    </w:p>
    <w:p w14:paraId="7689A2E3" w14:textId="77777777" w:rsidR="00CB5E99" w:rsidRPr="00D43FA1" w:rsidRDefault="00CB5E99" w:rsidP="0070360F">
      <w:pPr>
        <w:pStyle w:val="Text"/>
        <w:keepNext/>
        <w:keepLines/>
        <w:rPr>
          <w:b/>
        </w:rPr>
      </w:pPr>
      <w:r>
        <w:rPr>
          <w:b/>
        </w:rPr>
        <w:t>Dėl 3 straipsnio</w:t>
      </w:r>
    </w:p>
    <w:p w14:paraId="193ACE56" w14:textId="77777777" w:rsidR="00CB5E99" w:rsidRPr="0070360F" w:rsidRDefault="00CB5E99">
      <w:pPr>
        <w:pStyle w:val="Text"/>
      </w:pPr>
      <w:r>
        <w:t>3 straipsniu reglamentuojamas nutarimo įsigaliojimas.</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43AF" w14:textId="77777777" w:rsidR="00B82A75" w:rsidRDefault="00B82A75">
      <w:pPr>
        <w:spacing w:before="0" w:after="0"/>
      </w:pPr>
      <w:r>
        <w:separator/>
      </w:r>
    </w:p>
  </w:endnote>
  <w:endnote w:type="continuationSeparator" w:id="0">
    <w:p w14:paraId="6823D5CA" w14:textId="77777777" w:rsidR="00B82A75" w:rsidRDefault="00B82A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D80D" w14:textId="77777777" w:rsidR="00B82A75" w:rsidRDefault="00B82A75">
      <w:pPr>
        <w:spacing w:before="0" w:after="0"/>
      </w:pPr>
      <w:r>
        <w:separator/>
      </w:r>
    </w:p>
  </w:footnote>
  <w:footnote w:type="continuationSeparator" w:id="0">
    <w:p w14:paraId="04C68AD1" w14:textId="77777777" w:rsidR="00B82A75" w:rsidRDefault="00B82A75">
      <w:pPr>
        <w:spacing w:before="0" w:after="0"/>
      </w:pPr>
      <w:r>
        <w:continuationSeparator/>
      </w:r>
    </w:p>
  </w:footnote>
  <w:footnote w:id="1">
    <w:p w14:paraId="7B8D79B8" w14:textId="77777777" w:rsidR="00E24BD3" w:rsidRPr="008036EA" w:rsidRDefault="00E24BD3">
      <w:pPr>
        <w:pStyle w:val="FootnoteText"/>
      </w:pPr>
      <w:r>
        <w:rPr>
          <w:rStyle w:val="FootnoteReference"/>
        </w:rPr>
        <w:t>1)</w:t>
      </w:r>
      <w:r>
        <w:tab/>
        <w:t>Pateiktas pranešimas pagal 2015 m. rugsėjo 9 d. Europos Parlamento ir Tarybos direktyvą (ES) 2015/1535, kuria nustatoma informacijos apie techninius reglamentus ir informacinės visuomenės paslaugų taisykles teikimo tvarka (OL L 241, 2015 9 17, p. 1).</w:t>
      </w:r>
    </w:p>
  </w:footnote>
  <w:footnote w:id="2">
    <w:p w14:paraId="7D837383" w14:textId="77777777" w:rsidR="00E24BD3" w:rsidRDefault="00E24BD3" w:rsidP="006B7BFE">
      <w:pPr>
        <w:pStyle w:val="FootnoteText"/>
        <w:jc w:val="left"/>
      </w:pPr>
      <w:r>
        <w:rPr>
          <w:rStyle w:val="FootnoteReference"/>
        </w:rPr>
        <w:footnoteRef/>
      </w:r>
      <w:r>
        <w:t xml:space="preserve"> </w:t>
      </w:r>
      <w:r>
        <w:tab/>
      </w:r>
      <w:r>
        <w:t xml:space="preserve">Federalinė </w:t>
      </w:r>
      <w:r>
        <w:t xml:space="preserve">statistikos tarnyba (2012): Vykdymo sąnaudų nustatymo ir pateikimo Federalinės vyriausybės reglamentuojamuose projektuose gairės. </w:t>
      </w:r>
    </w:p>
  </w:footnote>
  <w:footnote w:id="3">
    <w:p w14:paraId="36F3698B" w14:textId="60DC7FEB" w:rsidR="00E24BD3" w:rsidRPr="0086292F" w:rsidRDefault="00E24BD3" w:rsidP="002F54A3">
      <w:pPr>
        <w:pStyle w:val="FootnoteText"/>
      </w:pPr>
      <w:r>
        <w:rPr>
          <w:rStyle w:val="FootnoteReference"/>
        </w:rPr>
        <w:footnoteRef/>
      </w:r>
      <w:r>
        <w:t xml:space="preserve"> </w:t>
      </w:r>
      <w:r>
        <w:tab/>
      </w:r>
      <w:r>
        <w:t xml:space="preserve">Išlaidų </w:t>
      </w:r>
      <w:r>
        <w:t xml:space="preserve">struktūra perdirbamojo verslo, kasybos ir karjerų eksploatavimo srityje (EVAS Nr. 42251): Perdirbamojo verslo įmonių darbuotojų skaičius, apyvarta, produkcija ir pridėtinė vertė, Vokietija, 2015 m., Ekonomikos šakos WZ08-10. </w:t>
      </w:r>
    </w:p>
  </w:footnote>
  <w:footnote w:id="4">
    <w:p w14:paraId="3324C433" w14:textId="77777777"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szCs w:val="18"/>
        </w:rPr>
        <w:t>3</w:t>
      </w:r>
      <w:r>
        <w:t xml:space="preserve"> </w:t>
      </w:r>
      <w:r>
        <w:tab/>
      </w:r>
      <w:r>
        <w:rPr>
          <w:rFonts w:ascii="Arial" w:hAnsi="Arial"/>
          <w:sz w:val="18"/>
          <w:szCs w:val="18"/>
        </w:rPr>
        <w:t xml:space="preserve">Federalinės statistikos valdybos 2017 m. atlyginimų išlaidų lentelės vertinant vykdymo sąnaudas ir administravimo išlaidas, ekonomikos šaka C10, įmonė, kurioje dirba ne mažiau kaip 250 darbuotojų, aukštas kokybės lygis. </w:t>
      </w:r>
    </w:p>
    <w:p w14:paraId="2487B60A" w14:textId="77777777" w:rsidR="00E24BD3" w:rsidRDefault="00E24B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024B4C5F" w:rsidR="00E24BD3" w:rsidRPr="00073F52" w:rsidRDefault="00D43FA1" w:rsidP="00073F52">
    <w:pPr>
      <w:pStyle w:val="Header"/>
    </w:pPr>
    <w:r>
      <w:tab/>
    </w:r>
    <w:r>
      <w:t xml:space="preserve">- </w:t>
    </w:r>
    <w:r w:rsidR="00073F52">
      <w:fldChar w:fldCharType="begin"/>
    </w:r>
    <w:r w:rsidR="00073F52">
      <w:instrText xml:space="preserve"> PAGE  \* MERGEFORMAT </w:instrText>
    </w:r>
    <w:r w:rsidR="00073F52">
      <w:fldChar w:fldCharType="separate"/>
    </w:r>
    <w:r w:rsidR="00073F52">
      <w:t>2</w:t>
    </w:r>
    <w:r w:rsidR="00073F52">
      <w:fldChar w:fldCharType="end"/>
    </w:r>
    <w:r>
      <w:t xml:space="preserve"> -</w:t>
    </w:r>
    <w:r>
      <w:tab/>
    </w:r>
    <w:r>
      <w:rPr>
        <w:sz w:val="18"/>
      </w:rPr>
      <w:t>Parengta: 2020-08-14. 15:07 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0C4B739B" w:rsidR="00E24BD3" w:rsidRPr="00073F52" w:rsidRDefault="00D43FA1" w:rsidP="00073F52">
    <w:pPr>
      <w:pStyle w:val="Header"/>
    </w:pPr>
    <w:r>
      <w:tab/>
    </w:r>
    <w:r w:rsidR="00A21513">
      <w:fldChar w:fldCharType="begin"/>
    </w:r>
    <w:r w:rsidR="00A21513">
      <w:instrText xml:space="preserve"> DOCPROPERTY "Bearbeitungsstand" \* MERGEFORMAT </w:instrText>
    </w:r>
    <w:r w:rsidR="00A21513">
      <w:fldChar w:fldCharType="separate"/>
    </w:r>
    <w:r w:rsidRPr="00D43FA1">
      <w:rPr>
        <w:sz w:val="18"/>
      </w:rPr>
      <w:t xml:space="preserve">Bearbeitungsstand: </w:t>
    </w:r>
    <w:r w:rsidRPr="00D43FA1">
      <w:rPr>
        <w:sz w:val="18"/>
      </w:rPr>
      <w:t>14.08.2020</w:t>
    </w:r>
    <w:r>
      <w:rPr>
        <w:sz w:val="18"/>
      </w:rPr>
      <w:t xml:space="preserve"> </w:t>
    </w:r>
    <w:r w:rsidRPr="00D43FA1">
      <w:rPr>
        <w:sz w:val="18"/>
      </w:rPr>
      <w:t>15:07 Uhr</w:t>
    </w:r>
    <w:r w:rsidR="00A21513">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513"/>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1571-8292-4C95-A1C6-9D0508E8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32</TotalTime>
  <Pages>18</Pages>
  <Words>7037</Words>
  <Characters>40117</Characters>
  <Application>Microsoft Office Word</Application>
  <DocSecurity>0</DocSecurity>
  <Lines>334</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4</cp:revision>
  <cp:lastPrinted>2020-07-29T12:01:00Z</cp:lastPrinted>
  <dcterms:created xsi:type="dcterms:W3CDTF">2020-08-17T12:48:00Z</dcterms:created>
  <dcterms:modified xsi:type="dcterms:W3CDTF">2020-08-31T15:40:00Z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