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7C7AB" w14:textId="4F1CE8E0" w:rsidR="00D43FA1" w:rsidRPr="00D43FA1" w:rsidRDefault="00D43FA1" w:rsidP="00D43FA1">
      <w:pPr>
        <w:spacing w:before="0" w:after="0"/>
        <w:rPr>
          <w:rFonts w:ascii="Courier New" w:hAnsi="Courier New" w:cs="Courier New"/>
          <w:sz w:val="20"/>
          <w:szCs w:val="20"/>
        </w:rPr>
      </w:pPr>
      <w:r>
        <w:rPr>
          <w:rFonts w:ascii="Courier New" w:hAnsi="Courier New"/>
          <w:sz w:val="20"/>
        </w:rPr>
        <w:t>1. ------IND- 2020 0510 D-- SL- ------ 20200830 --- --- PROJET</w:t>
      </w:r>
    </w:p>
    <w:p w14:paraId="78D3E792" w14:textId="77777777" w:rsidR="00D43FA1" w:rsidRPr="00D43FA1" w:rsidRDefault="00D43FA1" w:rsidP="00612652">
      <w:pPr>
        <w:pStyle w:val="Dokumentstatus"/>
      </w:pPr>
    </w:p>
    <w:p w14:paraId="2ADEED2D" w14:textId="02FDEE8E" w:rsidR="006444D5" w:rsidRPr="00D43FA1" w:rsidRDefault="00A5434C" w:rsidP="00D43FA1">
      <w:pPr>
        <w:pStyle w:val="Dokumentstatus"/>
        <w:keepNext/>
        <w:keepLines/>
      </w:pPr>
      <w:r>
        <w:t>Osnutek Zveznega ministrstva za prehrano in kmetijstvo</w:t>
      </w:r>
    </w:p>
    <w:p w14:paraId="453D9A69" w14:textId="77777777" w:rsidR="006444D5" w:rsidRPr="00D43FA1" w:rsidRDefault="006444D5" w:rsidP="00D43FA1">
      <w:pPr>
        <w:pStyle w:val="Bezeichnungnderungsdokument"/>
        <w:keepNext/>
        <w:keepLines/>
      </w:pPr>
      <w:r>
        <w:t>Dvaindvajseta uredba o spremembi Uredbe o potrošniškem blagu</w:t>
      </w:r>
      <w:r>
        <w:rPr>
          <w:rStyle w:val="FootnoteReference"/>
        </w:rPr>
        <w:footnoteReference w:customMarkFollows="1" w:id="1"/>
        <w:t>1)</w:t>
      </w:r>
      <w:r>
        <w:t xml:space="preserve"> </w:t>
      </w:r>
    </w:p>
    <w:p w14:paraId="6759776C" w14:textId="734FB9D3" w:rsidR="006444D5" w:rsidRPr="00D43FA1" w:rsidRDefault="006444D5" w:rsidP="00D43FA1">
      <w:pPr>
        <w:pStyle w:val="Ausfertigungsdatumnderungsdokument"/>
        <w:keepNext/>
        <w:keepLines/>
      </w:pPr>
      <w:r>
        <w:t>z dne […] 2020</w:t>
      </w:r>
    </w:p>
    <w:p w14:paraId="6E475CCC" w14:textId="77777777" w:rsidR="006444D5" w:rsidRPr="00D43FA1" w:rsidRDefault="006444D5" w:rsidP="000511BF">
      <w:pPr>
        <w:pStyle w:val="EingangsformelStandardnderungsdokument"/>
      </w:pPr>
      <w:r>
        <w:t xml:space="preserve">Zvezno ministrstvo za prehrano in kmetijstvo na podlagi </w:t>
      </w:r>
    </w:p>
    <w:p w14:paraId="42BFF3E6" w14:textId="14496D2B" w:rsidR="000511BF" w:rsidRPr="00D43FA1" w:rsidRDefault="006444D5" w:rsidP="00C74C74">
      <w:pPr>
        <w:pStyle w:val="EingangsformelStandardnderungsdokument"/>
        <w:numPr>
          <w:ilvl w:val="0"/>
          <w:numId w:val="1"/>
        </w:numPr>
        <w:ind w:left="0" w:firstLine="425"/>
      </w:pPr>
      <w:r>
        <w:t>oddelka 31(2)(1)(2), tudi v povezavi z oddelkom 4(2)(2), in oddelka 46(2)(1)(1)(a) Zakonika o živilih in krmi v različici z dne 3. junija 2013 (Zvezni UL I, str. 1426) ter</w:t>
      </w:r>
    </w:p>
    <w:p w14:paraId="58FC86B6" w14:textId="5E3E1CCB" w:rsidR="006444D5" w:rsidRPr="00D43FA1" w:rsidRDefault="000511BF" w:rsidP="00C74C74">
      <w:pPr>
        <w:pStyle w:val="EingangsformelStandardnderungsdokument"/>
        <w:numPr>
          <w:ilvl w:val="0"/>
          <w:numId w:val="1"/>
        </w:numPr>
        <w:ind w:left="0" w:firstLine="425"/>
      </w:pPr>
      <w:r>
        <w:t>oddelka 34(1)(2), kakor je bil spremenjen s členom 67(6) Uredbe z dne 31. avgusta 2015 (Zvezni UL I, str. 1474), tudi v povezavi z oddelkom 4(2)(2) Zakonika o živilih in krmi v različici z dne 3. junija 2013 (Zvezni UL I, str. 1426), v dogovoru z Zveznim ministrstvom za gospodarstvo in energijo odreja:</w:t>
      </w:r>
    </w:p>
    <w:p w14:paraId="6AC8CAE2" w14:textId="1699357E" w:rsidR="006444D5" w:rsidRPr="00D43FA1" w:rsidRDefault="00D43FA1" w:rsidP="00D43FA1">
      <w:pPr>
        <w:pStyle w:val="ArtikelBezeichner"/>
        <w:keepLines/>
        <w:numPr>
          <w:ilvl w:val="0"/>
          <w:numId w:val="0"/>
        </w:numPr>
      </w:pPr>
      <w:r>
        <w:t>Člen 1</w:t>
      </w:r>
    </w:p>
    <w:p w14:paraId="37102DCC" w14:textId="1749B86C" w:rsidR="006444D5" w:rsidRPr="007E01A6" w:rsidRDefault="006444D5" w:rsidP="00D43FA1">
      <w:pPr>
        <w:pStyle w:val="Artikelberschrift"/>
        <w:keepLines/>
      </w:pPr>
      <w:r>
        <w:t>Sprememba Uredbe o potrošniškem blagu</w:t>
      </w:r>
    </w:p>
    <w:p w14:paraId="504DEE92" w14:textId="24B44BB7" w:rsidR="00E24BD3" w:rsidRPr="007E01A6" w:rsidRDefault="00E24BD3" w:rsidP="00D43FA1">
      <w:pPr>
        <w:pStyle w:val="JuristischerAbsatznichtnummeriert"/>
        <w:keepNext/>
        <w:keepLines/>
        <w:rPr>
          <w:rStyle w:val="Marker"/>
          <w:color w:val="auto"/>
        </w:rPr>
      </w:pPr>
      <w:r>
        <w:rPr>
          <w:rStyle w:val="Marker"/>
          <w:color w:val="auto"/>
        </w:rPr>
        <w:t>Uredba o potrošniškem blagu v različici z dne 23. decembra 1997 (Zvezni UL I, str. 5), kakor je bila nazadnje spremenjena s členom 2(1) zakona z dne 15. februarja 2016 (Zvezni UL I, str. 198), se spremeni:</w:t>
      </w:r>
    </w:p>
    <w:p w14:paraId="02B9B0F2" w14:textId="7CA490A4" w:rsidR="00846C2F" w:rsidRPr="00D43FA1" w:rsidRDefault="00846C2F" w:rsidP="00846C2F">
      <w:pPr>
        <w:pStyle w:val="NummerierungStufe1"/>
      </w:pPr>
      <w:r>
        <w:t>Oddelek 2 se spremeni:</w:t>
      </w:r>
    </w:p>
    <w:p w14:paraId="28C5F27B" w14:textId="77777777" w:rsidR="00846C2F" w:rsidRPr="00D43FA1" w:rsidRDefault="00846C2F" w:rsidP="00846C2F">
      <w:pPr>
        <w:pStyle w:val="NummerierungStufe2"/>
        <w:rPr>
          <w:rStyle w:val="Marker"/>
          <w:color w:val="auto"/>
        </w:rPr>
      </w:pPr>
      <w:r>
        <w:rPr>
          <w:rStyle w:val="Marker"/>
          <w:color w:val="auto"/>
        </w:rPr>
        <w:t>V točki 6 se pika na koncu nadomesti s podpičjem.</w:t>
      </w:r>
    </w:p>
    <w:p w14:paraId="4CF425DD" w14:textId="26F4A3C3" w:rsidR="00846C2F" w:rsidRPr="00D43FA1" w:rsidRDefault="003B2E93" w:rsidP="00846C2F">
      <w:pPr>
        <w:pStyle w:val="NummerierungStufe2"/>
        <w:rPr>
          <w:rStyle w:val="Marker"/>
          <w:color w:val="auto"/>
        </w:rPr>
      </w:pPr>
      <w:r>
        <w:rPr>
          <w:rStyle w:val="Marker"/>
          <w:color w:val="auto"/>
        </w:rPr>
        <w:t>Dodajo se naslednje točke 7 do 10:</w:t>
      </w:r>
    </w:p>
    <w:p w14:paraId="4D5D5D36" w14:textId="062BC587" w:rsidR="006444D5" w:rsidRPr="00D43FA1" w:rsidRDefault="00E24BD3" w:rsidP="00067EA9">
      <w:pPr>
        <w:pStyle w:val="JuristischerAbsatznichtnummeriert"/>
        <w:ind w:left="850" w:firstLine="295"/>
        <w:rPr>
          <w:rStyle w:val="Marker"/>
          <w:color w:val="auto"/>
        </w:rPr>
      </w:pPr>
      <w:r>
        <w:rPr>
          <w:rStyle w:val="Marker"/>
          <w:color w:val="auto"/>
        </w:rPr>
        <w:t>„7. vlakna iz odpadnega papirja: vlakna, pridobljena z obdelavo iz odpadnega papirja, za proizvodnjo papirja, lepenke ali kartona;</w:t>
      </w:r>
    </w:p>
    <w:p w14:paraId="0106737F" w14:textId="4DD57324" w:rsidR="00E24BD3" w:rsidRPr="00D43FA1" w:rsidRDefault="00E24BD3" w:rsidP="00067EA9">
      <w:pPr>
        <w:pStyle w:val="JuristischerAbsatznichtnummeriert"/>
        <w:ind w:left="850" w:firstLine="295"/>
      </w:pPr>
      <w:r>
        <w:rPr>
          <w:rStyle w:val="Marker"/>
          <w:color w:val="auto"/>
        </w:rPr>
        <w:t xml:space="preserve">8. </w:t>
      </w:r>
      <w:r>
        <w:t>aromatski ogljikovodiki mineralnih olj: alkilirani aromatski ogljikovodiki s številom ogljikovih atomov C16 do C35 z enim ali več obroči, z izjemo diizopropilnaftalenov; število ogljikovih atomov je povezano s področji elucije oziroma retencijskimi časi ustreznih n-alkanov pri plinski kromatografiji na koloni, premazani z dimetilpolisiloksanom;</w:t>
      </w:r>
    </w:p>
    <w:p w14:paraId="1BECF263" w14:textId="3D179D1B" w:rsidR="00846C2F" w:rsidRPr="00D43FA1" w:rsidRDefault="00E24BD3" w:rsidP="00D43FA1">
      <w:pPr>
        <w:pStyle w:val="JuristischerAbsatznichtnummeriert"/>
        <w:keepNext/>
        <w:keepLines/>
        <w:ind w:left="425" w:firstLine="720"/>
      </w:pPr>
      <w:r>
        <w:rPr>
          <w:rStyle w:val="Marker"/>
          <w:color w:val="auto"/>
        </w:rPr>
        <w:t xml:space="preserve">9. </w:t>
      </w:r>
      <w:r>
        <w:t>funkcionalna pregrada:</w:t>
      </w:r>
    </w:p>
    <w:p w14:paraId="74FD3E26" w14:textId="39827560" w:rsidR="00B643B8" w:rsidRPr="00D43FA1" w:rsidRDefault="002F7BDF" w:rsidP="00067EA9">
      <w:pPr>
        <w:pStyle w:val="JuristischerAbsatznichtnummeriert"/>
        <w:ind w:left="851" w:firstLine="589"/>
      </w:pPr>
      <w:r>
        <w:rPr>
          <w:rStyle w:val="Marker"/>
          <w:color w:val="auto"/>
        </w:rPr>
        <w:t xml:space="preserve">a) </w:t>
      </w:r>
      <w:r>
        <w:t>ena plast/en premaz ali več plasti/več premazov potrošniškega blaga, namenjenega za stik z živili, ali</w:t>
      </w:r>
    </w:p>
    <w:p w14:paraId="6C74E0DD" w14:textId="61F756EB" w:rsidR="002F7BDF" w:rsidRPr="00D43FA1" w:rsidRDefault="002F7BDF" w:rsidP="003A479C">
      <w:pPr>
        <w:pStyle w:val="JuristischerAbsatznichtnummeriert"/>
        <w:keepNext/>
        <w:ind w:left="720" w:firstLine="720"/>
      </w:pPr>
      <w:r>
        <w:rPr>
          <w:rStyle w:val="Marker"/>
          <w:color w:val="auto"/>
        </w:rPr>
        <w:lastRenderedPageBreak/>
        <w:t>b) ovojnina živila,</w:t>
      </w:r>
    </w:p>
    <w:p w14:paraId="326B7F41" w14:textId="270408B7" w:rsidR="00E24BD3" w:rsidRPr="00D43FA1" w:rsidRDefault="00E24BD3" w:rsidP="00067EA9">
      <w:pPr>
        <w:pStyle w:val="JuristischerAbsatznichtnummeriert"/>
        <w:ind w:left="851" w:firstLine="0"/>
      </w:pPr>
      <w:r>
        <w:t>s katerimi se zagotovi, da določene snovi iz potrošniškega blaga, namenjenega za stik z živili, ne prehajajo v živila;</w:t>
      </w:r>
    </w:p>
    <w:p w14:paraId="4B18F3E3" w14:textId="04DAEC5D" w:rsidR="00846C2F" w:rsidRPr="00D43FA1" w:rsidRDefault="00E24BD3" w:rsidP="00067EA9">
      <w:pPr>
        <w:pStyle w:val="JuristischerAbsatznichtnummeriert"/>
        <w:ind w:left="851" w:firstLine="294"/>
      </w:pPr>
      <w:r>
        <w:rPr>
          <w:rStyle w:val="Marker"/>
          <w:color w:val="auto"/>
        </w:rPr>
        <w:t xml:space="preserve">10. </w:t>
      </w:r>
      <w:r>
        <w:t>modelna raztopina za živila: modelna raztopina za živila v smislu člena 3(12) Uredbe (EU) št. 10/2011.“</w:t>
      </w:r>
    </w:p>
    <w:p w14:paraId="17512622" w14:textId="77777777" w:rsidR="00846C2F" w:rsidRPr="00D43FA1" w:rsidRDefault="00846C2F" w:rsidP="00D43FA1">
      <w:pPr>
        <w:pStyle w:val="NummerierungStufe1"/>
        <w:keepNext/>
        <w:keepLines/>
        <w:rPr>
          <w:rStyle w:val="Marker"/>
          <w:color w:val="auto"/>
        </w:rPr>
      </w:pPr>
      <w:r>
        <w:rPr>
          <w:rStyle w:val="Marker"/>
          <w:color w:val="auto"/>
        </w:rPr>
        <w:t>Za oddelkom 6 se vstavi naslednji oddelek 6a:</w:t>
      </w:r>
    </w:p>
    <w:p w14:paraId="254DF9EA" w14:textId="6DFE0906" w:rsidR="00846C2F" w:rsidRPr="00D43FA1" w:rsidRDefault="00846C2F" w:rsidP="007E01A6">
      <w:pPr>
        <w:pStyle w:val="RevisionParagraphBezeichnermanuell"/>
        <w:keepLines/>
        <w:ind w:left="425" w:hanging="75"/>
        <w:rPr>
          <w:color w:val="auto"/>
        </w:rPr>
      </w:pPr>
      <w:r>
        <w:rPr>
          <w:color w:val="auto"/>
        </w:rPr>
        <w:t>„Oddelek </w:t>
      </w:r>
      <w:r>
        <w:rPr>
          <w:rStyle w:val="Marker"/>
          <w:color w:val="auto"/>
        </w:rPr>
        <w:t>6a</w:t>
      </w:r>
      <w:r>
        <w:rPr>
          <w:rStyle w:val="Marker"/>
          <w:color w:val="auto"/>
        </w:rPr>
        <w:br/>
        <w:t>Potrošniško blago, namenjeno za stik z živili, iz papirja, lepenke ali kartona z deležem vlaken iz odpadnega papirja</w:t>
      </w:r>
    </w:p>
    <w:p w14:paraId="393F6670" w14:textId="2D301F1B" w:rsidR="00756335" w:rsidRPr="007E01A6" w:rsidRDefault="00E24BD3" w:rsidP="00067EA9">
      <w:pPr>
        <w:pStyle w:val="JuristischerAbsatznichtnummeriert"/>
        <w:ind w:left="425" w:firstLine="295"/>
        <w:rPr>
          <w:rStyle w:val="Marker"/>
          <w:color w:val="auto"/>
        </w:rPr>
      </w:pPr>
      <w:r>
        <w:rPr>
          <w:rStyle w:val="Marker"/>
          <w:color w:val="auto"/>
        </w:rPr>
        <w:t xml:space="preserve">(1) Potrošniško blago, namenjeno za stik z živili, iz papirja, lepenke ali kartona se lahko ob uporabi vlaken iz odpadnega papirja proizvaja in daje v promet samo, če se s funkcionalno pregrado v skladu z oddelkom 2(9) zagotovi, da iz potrošniškega blaga, namenjenega za stik z živili, v živila ne prehajajo aromatski ogljikovodiki mineralnih olj. Šteje se, da do prehajanja ni prišlo, če </w:t>
      </w:r>
    </w:p>
    <w:p w14:paraId="16C207F7" w14:textId="07C832CD" w:rsidR="002F7BDF" w:rsidRPr="00D43FA1" w:rsidRDefault="002F7BDF" w:rsidP="00067EA9">
      <w:pPr>
        <w:pStyle w:val="JuristischerAbsatznichtnummeriert"/>
        <w:ind w:left="425" w:firstLine="0"/>
        <w:rPr>
          <w:szCs w:val="24"/>
        </w:rPr>
      </w:pPr>
      <w:r>
        <w:t xml:space="preserve">1. ni presežena meja zaznavnosti 0,5 miligrama vsote aromatskih ogljikovodikov mineralnih olj na kilogram živila ali </w:t>
      </w:r>
    </w:p>
    <w:p w14:paraId="172F3F97" w14:textId="55AC2442" w:rsidR="00C74C74" w:rsidRPr="007E01A6" w:rsidRDefault="002F7BDF" w:rsidP="00067EA9">
      <w:pPr>
        <w:pStyle w:val="JuristischerAbsatznichtnummeriert"/>
        <w:ind w:left="425" w:firstLine="0"/>
        <w:rPr>
          <w:szCs w:val="24"/>
        </w:rPr>
      </w:pPr>
      <w:r>
        <w:t xml:space="preserve">2. ni presežena meja zaznavnosti 0,15 miligrama vsote aromatskih ogljikovodikov mineralnih olj na kilogram modelne raztopine za živila. </w:t>
      </w:r>
    </w:p>
    <w:p w14:paraId="4CAF2837" w14:textId="56F873EE" w:rsidR="00C74C74" w:rsidRPr="00D43FA1" w:rsidRDefault="00E24BD3" w:rsidP="00067EA9">
      <w:pPr>
        <w:pStyle w:val="JuristischerAbsatznichtnummeriert"/>
        <w:ind w:left="425" w:firstLine="295"/>
      </w:pPr>
      <w:r>
        <w:rPr>
          <w:rStyle w:val="Marker"/>
          <w:color w:val="auto"/>
        </w:rPr>
        <w:t>(2) O</w:t>
      </w:r>
      <w:r>
        <w:t>dstavek 1(1) se ne uporablja, če je izključeno prehajanje aromatskih ogljikovodikov mineralnih olj iz potrošniškega blaga, namenjenega za stik z živili, v živila v smislu odstavka 1(2), ker</w:t>
      </w:r>
    </w:p>
    <w:p w14:paraId="6CBC600B" w14:textId="54B76CE8" w:rsidR="002F7BDF" w:rsidRPr="00D43FA1" w:rsidRDefault="002F7BDF" w:rsidP="00067EA9">
      <w:pPr>
        <w:pStyle w:val="JuristischerAbsatznichtnummeriert"/>
        <w:ind w:left="425" w:firstLine="0"/>
      </w:pPr>
      <w:r>
        <w:rPr>
          <w:rStyle w:val="Marker"/>
          <w:color w:val="auto"/>
        </w:rPr>
        <w:t>1. obstajajo posebni pogoji za potrošniško blago, namenjeno za stik z živili, predvsem da ima potrošniško blago, namenjeno za stik z živili, majhno vsebnost aromatskih ogljikovodikov mineralnih olj, ali</w:t>
      </w:r>
    </w:p>
    <w:p w14:paraId="05A8EA42" w14:textId="1BD9E1C4" w:rsidR="00123700" w:rsidRPr="00D43FA1" w:rsidRDefault="002F7BDF" w:rsidP="00067EA9">
      <w:pPr>
        <w:pStyle w:val="JuristischerAbsatznichtnummeriert"/>
        <w:ind w:left="425" w:firstLine="0"/>
      </w:pPr>
      <w:r>
        <w:rPr>
          <w:rStyle w:val="Marker"/>
          <w:color w:val="auto"/>
        </w:rPr>
        <w:t xml:space="preserve">2. </w:t>
      </w:r>
      <w:r>
        <w:t>je proizvajalec ali dobavitelj potrošniškega blaga, namenjenega za stik z živili, sprejel druge ustrezne ukrepe za preprečevanje prehajanja.</w:t>
      </w:r>
    </w:p>
    <w:p w14:paraId="0AD974E6" w14:textId="1B0A502A" w:rsidR="00735843" w:rsidRPr="00D43FA1" w:rsidRDefault="00E24BD3" w:rsidP="00067EA9">
      <w:pPr>
        <w:pStyle w:val="JuristischerAbsatznichtnummeriert"/>
        <w:ind w:left="425" w:firstLine="295"/>
      </w:pPr>
      <w:r>
        <w:rPr>
          <w:rStyle w:val="Marker"/>
          <w:color w:val="auto"/>
        </w:rPr>
        <w:t>(3) Z</w:t>
      </w:r>
      <w:r>
        <w:t xml:space="preserve"> odstopanjem od odstavka 1(1) se lahko tam navedeno potrošniško blago, namenjeno za stik z živili, proizvaja in daje na trg brez funkcionalne pregrade, če nosilec živilske dejavnosti, ki z embaliranjem ali na drug način povzroči, da je potrošniško blago, namenjeno za stik z živili, prvič v stiku z živilom, proizvajalcu ali dobavitelju pred dobavo potrošniškega blaga, namenjenega za stik z živili, pisno ali elektronsko poda izjavo glede opustitve funkcionalne pregrade iz oddelka 2(9). </w:t>
      </w:r>
    </w:p>
    <w:p w14:paraId="789B1568" w14:textId="7EAB5A57" w:rsidR="00E24BD3" w:rsidRPr="003A479C" w:rsidRDefault="00E24BD3" w:rsidP="00067EA9">
      <w:pPr>
        <w:pStyle w:val="JuristischerAbsatznichtnummeriert"/>
        <w:ind w:left="425" w:firstLine="295"/>
        <w:rPr>
          <w:spacing w:val="-4"/>
        </w:rPr>
      </w:pPr>
      <w:r w:rsidRPr="003A479C">
        <w:rPr>
          <w:rStyle w:val="Marker"/>
          <w:color w:val="auto"/>
          <w:spacing w:val="-4"/>
        </w:rPr>
        <w:t>(4)</w:t>
      </w:r>
      <w:r w:rsidRPr="003A479C">
        <w:rPr>
          <w:spacing w:val="-4"/>
        </w:rPr>
        <w:t xml:space="preserve"> V primerih iz odstavka 3 nosilec živilske dejavnosti, ki uporablja potrošniško blago, namenjeno za stik z živili, zagotovi, da je prehajanje aromatskih ogljikovodikov mineralnih olj iz potrošniškega blaga, namenjenega za stik z živili, v živila v smislu odstavka 1(2) izključeno. V ta namen uporablja funkcionalno pregrado iz oddelka 2(9)(b) ali druge ustrezne ukrepe. Stavek 2 se ne uporablja, če zlasti zaradi sestave živila, ki je v stiku s potrošniškim blagom, namenjenim za stik z živili, ali predvidenih pogojev uporabe potrošniškega blaga, namenjenega za stik z živili, obstajajo posebni pogoji, ki izključujejo prehajanje aromatskih ogljikovodikov mineralnih olj iz potrošniškega blaga, namenjenega za stik z živili, v živilo v smislu odstavka 1(2).</w:t>
      </w:r>
    </w:p>
    <w:p w14:paraId="5366601D" w14:textId="0EB5A5B5" w:rsidR="00313AFD" w:rsidRPr="00D43FA1" w:rsidRDefault="00E24BD3" w:rsidP="003A479C">
      <w:pPr>
        <w:pStyle w:val="JuristischerAbsatznichtnummeriert"/>
        <w:keepNext/>
        <w:ind w:firstLine="720"/>
      </w:pPr>
      <w:r>
        <w:rPr>
          <w:rStyle w:val="Marker"/>
          <w:color w:val="auto"/>
        </w:rPr>
        <w:lastRenderedPageBreak/>
        <w:t xml:space="preserve">(5) </w:t>
      </w:r>
      <w:r>
        <w:t>Na zahtevo pristojnega organa se predloži naslednje:</w:t>
      </w:r>
    </w:p>
    <w:p w14:paraId="77519757" w14:textId="4D2032D4" w:rsidR="002F7BDF" w:rsidRPr="007E01A6" w:rsidRDefault="002F7BDF" w:rsidP="00C62066">
      <w:pPr>
        <w:pStyle w:val="JuristischerAbsatznichtnummeriert"/>
        <w:ind w:left="425" w:firstLine="0"/>
        <w:rPr>
          <w:rStyle w:val="Marker"/>
          <w:color w:val="auto"/>
        </w:rPr>
      </w:pPr>
      <w:r>
        <w:rPr>
          <w:rStyle w:val="Marker"/>
          <w:color w:val="auto"/>
        </w:rPr>
        <w:t>1. skladnost proizvajalca ali dobavitelja potrošniškega blaga, namenjenega za stik z živili, z zahtevami iz odstavkov 2 in 3 ter</w:t>
      </w:r>
    </w:p>
    <w:p w14:paraId="2F2FD13A" w14:textId="3961BE3E" w:rsidR="00313AFD" w:rsidRPr="007E01A6" w:rsidRDefault="002F7BDF" w:rsidP="00C62066">
      <w:pPr>
        <w:pStyle w:val="JuristischerAbsatznichtnummeriert"/>
        <w:ind w:left="425" w:firstLine="0"/>
        <w:rPr>
          <w:rStyle w:val="Marker"/>
          <w:color w:val="auto"/>
        </w:rPr>
      </w:pPr>
      <w:r>
        <w:rPr>
          <w:rStyle w:val="Marker"/>
          <w:color w:val="auto"/>
        </w:rPr>
        <w:t>2. skladnost nosilca živilske dejavnosti z zahtevami iz odstavka 4.</w:t>
      </w:r>
    </w:p>
    <w:p w14:paraId="587A74FC" w14:textId="2475A8D2" w:rsidR="004F1DB4" w:rsidRPr="003A479C" w:rsidRDefault="00E24BD3" w:rsidP="00C62066">
      <w:pPr>
        <w:pStyle w:val="JuristischerAbsatznichtnummeriert"/>
        <w:ind w:left="425" w:firstLine="0"/>
        <w:rPr>
          <w:spacing w:val="-4"/>
        </w:rPr>
      </w:pPr>
      <w:r w:rsidRPr="003A479C">
        <w:rPr>
          <w:spacing w:val="-4"/>
        </w:rPr>
        <w:t>Zavezanci iz stavka 1 morajo hraniti dokumente, ki dokazujejo, da je izključeno prehajanje aromatskih ogljikovodikov mineralnih olj iz potrošniškega blaga, namenjenega za stik z živili, v živila ali modelne raztopine za živila v smislu odstavka 1(2).</w:t>
      </w:r>
    </w:p>
    <w:p w14:paraId="0AA413D8" w14:textId="36607EA8" w:rsidR="007F06A5" w:rsidRPr="00D43FA1" w:rsidRDefault="00E24BD3" w:rsidP="00C62066">
      <w:pPr>
        <w:pStyle w:val="JuristischerAbsatznichtnummeriert"/>
        <w:ind w:left="425" w:firstLine="295"/>
      </w:pPr>
      <w:r>
        <w:rPr>
          <w:rStyle w:val="Marker"/>
          <w:color w:val="auto"/>
        </w:rPr>
        <w:t>(6) P</w:t>
      </w:r>
      <w:r>
        <w:t>repovedano je dajanje na trg živil kot živila, ki so bila obdelana z uporabo potrošniškega blaga, namenjenega za stik z živili, če niso izpolnjene zahteve iz odstavka 1(1) ali odstavka 4(1).“</w:t>
      </w:r>
    </w:p>
    <w:p w14:paraId="6FA09614" w14:textId="77777777" w:rsidR="00D10507" w:rsidRPr="00D43FA1" w:rsidRDefault="00D10507" w:rsidP="00D43FA1">
      <w:pPr>
        <w:pStyle w:val="NummerierungStufe1"/>
        <w:keepNext/>
        <w:keepLines/>
      </w:pPr>
      <w:r>
        <w:t>V odstavku 1 oddelka 7 se navedba „6“ nadomesti z navedbo „odstavek 4 oddelka 6a“.</w:t>
      </w:r>
    </w:p>
    <w:p w14:paraId="7EAA6364" w14:textId="77777777" w:rsidR="00D10507" w:rsidRPr="00D43FA1" w:rsidRDefault="00634FE4" w:rsidP="00D43FA1">
      <w:pPr>
        <w:pStyle w:val="NummerierungStufe1"/>
        <w:keepNext/>
        <w:keepLines/>
      </w:pPr>
      <w:r>
        <w:t xml:space="preserve">Oddelek 12 se spremeni: </w:t>
      </w:r>
    </w:p>
    <w:p w14:paraId="69B3E358" w14:textId="77777777" w:rsidR="005068AC" w:rsidRPr="00D43FA1" w:rsidRDefault="005068AC" w:rsidP="00D43FA1">
      <w:pPr>
        <w:pStyle w:val="NummerierungStufe2"/>
        <w:keepNext/>
        <w:keepLines/>
        <w:rPr>
          <w:rStyle w:val="Marker"/>
          <w:color w:val="auto"/>
        </w:rPr>
      </w:pPr>
      <w:r>
        <w:rPr>
          <w:rStyle w:val="Marker"/>
          <w:color w:val="auto"/>
        </w:rPr>
        <w:t>Odstavek 2 se spremeni:</w:t>
      </w:r>
    </w:p>
    <w:p w14:paraId="35259617" w14:textId="77777777" w:rsidR="005068AC" w:rsidRPr="00D43FA1" w:rsidRDefault="00AC0D2A" w:rsidP="005068AC">
      <w:pPr>
        <w:pStyle w:val="NummerierungStufe3"/>
        <w:rPr>
          <w:rStyle w:val="Marker"/>
          <w:color w:val="auto"/>
        </w:rPr>
      </w:pPr>
      <w:r>
        <w:rPr>
          <w:rStyle w:val="Marker"/>
          <w:color w:val="auto"/>
        </w:rPr>
        <w:t>V točki 3 se beseda „ali“ nadomesti z vejico.</w:t>
      </w:r>
    </w:p>
    <w:p w14:paraId="7DFBB224" w14:textId="77777777" w:rsidR="005068AC" w:rsidRPr="00D43FA1" w:rsidRDefault="00AC0D2A" w:rsidP="005068AC">
      <w:pPr>
        <w:pStyle w:val="NummerierungStufe3"/>
        <w:rPr>
          <w:rStyle w:val="Marker"/>
          <w:color w:val="auto"/>
        </w:rPr>
      </w:pPr>
      <w:r>
        <w:rPr>
          <w:rStyle w:val="Marker"/>
          <w:color w:val="auto"/>
        </w:rPr>
        <w:t>V točki 4 se pika na koncu nadomesti z vejico.</w:t>
      </w:r>
    </w:p>
    <w:p w14:paraId="3BEDFB5A" w14:textId="6B87E8A4" w:rsidR="00AC0D2A" w:rsidRPr="00D43FA1" w:rsidRDefault="003B2E93" w:rsidP="00D43FA1">
      <w:pPr>
        <w:pStyle w:val="NummerierungStufe3"/>
        <w:keepNext/>
        <w:keepLines/>
        <w:ind w:hanging="425"/>
        <w:rPr>
          <w:rStyle w:val="Marker"/>
          <w:color w:val="auto"/>
        </w:rPr>
      </w:pPr>
      <w:r>
        <w:rPr>
          <w:rStyle w:val="Marker"/>
          <w:color w:val="auto"/>
        </w:rPr>
        <w:t>Dodata se naslednji točki 5 in 6:</w:t>
      </w:r>
    </w:p>
    <w:p w14:paraId="33D0714E" w14:textId="0E498894" w:rsidR="00241B36" w:rsidRPr="00D43FA1" w:rsidRDefault="00E24BD3" w:rsidP="00E24BD3">
      <w:pPr>
        <w:pStyle w:val="JuristischerAbsatznichtnummeriert"/>
        <w:ind w:left="850" w:firstLine="426"/>
        <w:rPr>
          <w:rStyle w:val="Marker"/>
          <w:color w:val="auto"/>
        </w:rPr>
      </w:pPr>
      <w:r>
        <w:rPr>
          <w:rStyle w:val="Marker"/>
          <w:color w:val="auto"/>
        </w:rPr>
        <w:t xml:space="preserve">„5. v nasprotju z oddelkom 6a(1)(1) ali oddelkom 6a(6) daje na trg potrošniško blago, namenjeno za stik z živili, ali živilo ali </w:t>
      </w:r>
    </w:p>
    <w:p w14:paraId="5E978D5C" w14:textId="7EDDBECB" w:rsidR="00B77970" w:rsidRPr="00D43FA1" w:rsidRDefault="00E24BD3" w:rsidP="00E24BD3">
      <w:pPr>
        <w:pStyle w:val="JuristischerAbsatznichtnummeriert"/>
        <w:ind w:left="850" w:firstLine="426"/>
      </w:pPr>
      <w:r>
        <w:rPr>
          <w:rStyle w:val="Marker"/>
          <w:color w:val="auto"/>
        </w:rPr>
        <w:t xml:space="preserve">6. v nasprotju z oddelkom 6a(4)(1) ne zagotovi, da je izključeno izločanje aromatskih ogljikovodikov mineralnih olj.“ </w:t>
      </w:r>
    </w:p>
    <w:p w14:paraId="7716DBF5" w14:textId="4D9148FD" w:rsidR="005068AC" w:rsidRPr="00D43FA1" w:rsidRDefault="005068AC" w:rsidP="00D43FA1">
      <w:pPr>
        <w:pStyle w:val="NummerierungStufe2"/>
        <w:keepNext/>
        <w:keepLines/>
        <w:rPr>
          <w:rStyle w:val="Marker"/>
          <w:color w:val="auto"/>
        </w:rPr>
      </w:pPr>
      <w:r>
        <w:rPr>
          <w:rStyle w:val="Marker"/>
          <w:color w:val="auto"/>
        </w:rPr>
        <w:t>Odstavek 6 se spremeni:</w:t>
      </w:r>
    </w:p>
    <w:p w14:paraId="43014887" w14:textId="0AE6F9B7" w:rsidR="005068AC" w:rsidRPr="00D43FA1" w:rsidRDefault="003B2E93" w:rsidP="00D43FA1">
      <w:pPr>
        <w:pStyle w:val="NummerierungStufe3"/>
        <w:keepNext/>
        <w:keepLines/>
        <w:ind w:hanging="425"/>
        <w:rPr>
          <w:rStyle w:val="Marker"/>
          <w:color w:val="auto"/>
        </w:rPr>
      </w:pPr>
      <w:r>
        <w:rPr>
          <w:rStyle w:val="Marker"/>
          <w:color w:val="auto"/>
        </w:rPr>
        <w:t>Pred točko 1 se vstavi naslednja točka 1:</w:t>
      </w:r>
    </w:p>
    <w:p w14:paraId="008549AE" w14:textId="7CF78317" w:rsidR="00E24BD3" w:rsidRPr="007E01A6" w:rsidRDefault="00E24BD3" w:rsidP="00E24BD3">
      <w:pPr>
        <w:pStyle w:val="JuristischerAbsatznichtnummeriert"/>
        <w:ind w:left="720" w:firstLine="556"/>
        <w:rPr>
          <w:rStyle w:val="Marker"/>
          <w:color w:val="auto"/>
        </w:rPr>
      </w:pPr>
      <w:r>
        <w:rPr>
          <w:rStyle w:val="Marker"/>
          <w:color w:val="auto"/>
        </w:rPr>
        <w:t>„1. v nasprotju z oddelkom 6a(5)(2) dokumenta ne zagotovi, ne zagotovi pravilno ali ne zagotovi v celoti,“.</w:t>
      </w:r>
    </w:p>
    <w:p w14:paraId="27C15FD7" w14:textId="64F26C1B" w:rsidR="005068AC" w:rsidRPr="00D43FA1" w:rsidRDefault="00504030" w:rsidP="00E53816">
      <w:pPr>
        <w:pStyle w:val="NummerierungStufe3"/>
      </w:pPr>
      <w:r>
        <w:rPr>
          <w:rStyle w:val="Marker"/>
          <w:color w:val="auto"/>
        </w:rPr>
        <w:t>Dosedanja točka 1 se preštevilči v točko 2.</w:t>
      </w:r>
    </w:p>
    <w:p w14:paraId="40868CB4" w14:textId="483C6210" w:rsidR="00DA7A9F" w:rsidRPr="00D43FA1" w:rsidRDefault="00DA7A9F" w:rsidP="00D43FA1">
      <w:pPr>
        <w:pStyle w:val="NummerierungStufe1"/>
        <w:keepNext/>
        <w:keepLines/>
      </w:pPr>
      <w:r>
        <w:t>V oddelku 16 se dodata naslednja odstavka 15 in 16:</w:t>
      </w:r>
    </w:p>
    <w:p w14:paraId="53C2A8E8" w14:textId="4612D6D2" w:rsidR="002666C4" w:rsidRPr="00D43FA1" w:rsidRDefault="00C07FE5" w:rsidP="00C07FE5">
      <w:pPr>
        <w:pStyle w:val="JuristischerAbsatznichtnummeriert"/>
        <w:ind w:left="425" w:firstLine="295"/>
      </w:pPr>
      <w:r>
        <w:rPr>
          <w:rStyle w:val="Marker"/>
          <w:color w:val="auto"/>
        </w:rPr>
        <w:t xml:space="preserve">„(15) Oddelek 6a </w:t>
      </w:r>
      <w:r>
        <w:t>se uporablja šele od … [vstaviti: datum prvega dneva sedemintridesetega koledarskega meseca, ki sledi objavi te uredbe].</w:t>
      </w:r>
    </w:p>
    <w:p w14:paraId="0BC81A17" w14:textId="6D9388F2" w:rsidR="00C07FE5" w:rsidRPr="00D43FA1" w:rsidRDefault="00C07FE5" w:rsidP="00C07FE5">
      <w:pPr>
        <w:pStyle w:val="JuristischerAbsatznichtnummeriert"/>
        <w:tabs>
          <w:tab w:val="left" w:pos="1134"/>
          <w:tab w:val="left" w:pos="1418"/>
        </w:tabs>
        <w:ind w:left="425" w:firstLine="295"/>
      </w:pPr>
      <w:r>
        <w:t>(16)</w:t>
      </w:r>
      <w:r>
        <w:tab/>
        <w:t>Potrošniško blago, namenjeno za stik z živili, ki je bilo proizvedeno z vlakni iz odpadnega papirja v skladu s predpisi, ki se uporabljajo do trenutka, navedenega v odstavku 15, se lahko daje na trg in uporablja do … [vstaviti: datum prvega dneva enainšestdesetega koledarskega meseca, ki sledi objavi te uredbe].“</w:t>
      </w:r>
    </w:p>
    <w:p w14:paraId="6DD6BE05" w14:textId="1E96CDA2" w:rsidR="00C86A55" w:rsidRPr="00D43FA1" w:rsidRDefault="00D43FA1" w:rsidP="00D43FA1">
      <w:pPr>
        <w:pStyle w:val="ArtikelBezeichner"/>
        <w:numPr>
          <w:ilvl w:val="0"/>
          <w:numId w:val="0"/>
        </w:numPr>
        <w:ind w:left="720" w:hanging="720"/>
      </w:pPr>
      <w:r>
        <w:lastRenderedPageBreak/>
        <w:t>Člen 2</w:t>
      </w:r>
    </w:p>
    <w:p w14:paraId="6244BBAD" w14:textId="77777777" w:rsidR="00C86A55" w:rsidRPr="00D43FA1" w:rsidRDefault="000B2DB8" w:rsidP="00C86A55">
      <w:pPr>
        <w:pStyle w:val="Artikelberschrift"/>
      </w:pPr>
      <w:r>
        <w:t>Dovoljenje za objavo</w:t>
      </w:r>
    </w:p>
    <w:p w14:paraId="01E0D16A" w14:textId="4FF9AF6A" w:rsidR="00C86A55" w:rsidRPr="00D43FA1" w:rsidRDefault="00C86A55" w:rsidP="00B643B8">
      <w:pPr>
        <w:pStyle w:val="JuristischerAbsatznichtnummeriert"/>
      </w:pPr>
      <w:r>
        <w:t>Zvezno ministrstvo za prehrano in kmetijstvo lahko besedilo Uredbe o potrošniškem blagu objavi v zveznem uradnem listu v različici, veljavni od … [vstaviti: dan začetka veljavnosti te uredbe].</w:t>
      </w:r>
    </w:p>
    <w:p w14:paraId="28CE82C3" w14:textId="25904053" w:rsidR="006444D5" w:rsidRPr="00D43FA1" w:rsidRDefault="00D43FA1" w:rsidP="00D43FA1">
      <w:pPr>
        <w:pStyle w:val="ArtikelBezeichner"/>
        <w:numPr>
          <w:ilvl w:val="0"/>
          <w:numId w:val="0"/>
        </w:numPr>
      </w:pPr>
      <w:r>
        <w:t>Člen 3</w:t>
      </w:r>
    </w:p>
    <w:p w14:paraId="157B2F9D" w14:textId="77777777" w:rsidR="006444D5" w:rsidRPr="00D43FA1" w:rsidRDefault="006444D5" w:rsidP="00612652">
      <w:pPr>
        <w:pStyle w:val="Artikelberschrift"/>
      </w:pPr>
      <w:r>
        <w:rPr>
          <w:rStyle w:val="Marker"/>
          <w:color w:val="auto"/>
        </w:rPr>
        <w:t>Začetek veljavnosti</w:t>
      </w:r>
    </w:p>
    <w:p w14:paraId="31DE4A11" w14:textId="77777777" w:rsidR="006444D5" w:rsidRPr="00D43FA1" w:rsidRDefault="00C86A55" w:rsidP="00612652">
      <w:pPr>
        <w:pStyle w:val="JuristischerAbsatznichtnummeriert"/>
      </w:pPr>
      <w:r>
        <w:rPr>
          <w:rStyle w:val="Marker"/>
          <w:color w:val="auto"/>
        </w:rPr>
        <w:t>Ta uredba začne veljati dan po njeni objavi.</w:t>
      </w:r>
    </w:p>
    <w:p w14:paraId="37CC3236" w14:textId="77777777" w:rsidR="006444D5" w:rsidRPr="00D43FA1" w:rsidRDefault="006444D5" w:rsidP="006444D5">
      <w:pPr>
        <w:pStyle w:val="Schlussformel"/>
        <w:rPr>
          <w:rStyle w:val="Marker"/>
          <w:color w:val="auto"/>
        </w:rPr>
      </w:pPr>
      <w:r>
        <w:rPr>
          <w:rStyle w:val="Marker"/>
          <w:color w:val="auto"/>
        </w:rPr>
        <w:t>Zvezni svet je soglašal.</w:t>
      </w:r>
    </w:p>
    <w:p w14:paraId="2FAF18C3" w14:textId="38CB46F5" w:rsidR="00646A3B" w:rsidRPr="00D43FA1" w:rsidRDefault="001B10CC" w:rsidP="00646A3B">
      <w:pPr>
        <w:pStyle w:val="OrtDatum"/>
      </w:pPr>
      <w:r>
        <w:t>V Bonnu, dne […] 2020</w:t>
      </w:r>
    </w:p>
    <w:p w14:paraId="6B55ADD4" w14:textId="5958D35B" w:rsidR="00646A3B" w:rsidRPr="00D43FA1" w:rsidRDefault="00646A3B" w:rsidP="00646A3B">
      <w:pPr>
        <w:pStyle w:val="Organisation"/>
        <w:rPr>
          <w:spacing w:val="0"/>
        </w:rPr>
      </w:pPr>
    </w:p>
    <w:p w14:paraId="50FA98AC" w14:textId="24B1EF63" w:rsidR="00646A3B" w:rsidRPr="003A479C" w:rsidRDefault="00646A3B" w:rsidP="00646A3B">
      <w:pPr>
        <w:pStyle w:val="Organisation"/>
        <w:rPr>
          <w:spacing w:val="0"/>
        </w:rPr>
      </w:pPr>
      <w:r w:rsidRPr="003A479C">
        <w:rPr>
          <w:spacing w:val="0"/>
        </w:rPr>
        <w:t xml:space="preserve">Zvezna ministrica </w:t>
      </w:r>
    </w:p>
    <w:p w14:paraId="38BFE5A9" w14:textId="2AF85087" w:rsidR="00646A3B" w:rsidRPr="003A479C" w:rsidRDefault="00646A3B" w:rsidP="00646A3B">
      <w:pPr>
        <w:pStyle w:val="Organisation"/>
        <w:rPr>
          <w:spacing w:val="0"/>
        </w:rPr>
      </w:pPr>
      <w:r w:rsidRPr="003A479C">
        <w:rPr>
          <w:spacing w:val="0"/>
        </w:rPr>
        <w:t>za prehrano in kmetijstvo</w:t>
      </w:r>
    </w:p>
    <w:p w14:paraId="390D4D95" w14:textId="18482467" w:rsidR="006444D5" w:rsidRPr="00D43FA1" w:rsidRDefault="006444D5" w:rsidP="00D43FA1">
      <w:pPr>
        <w:pStyle w:val="BegrndungTitel"/>
        <w:keepLines/>
        <w:pageBreakBefore/>
      </w:pPr>
      <w:r>
        <w:lastRenderedPageBreak/>
        <w:t>Utemeljitev</w:t>
      </w:r>
    </w:p>
    <w:p w14:paraId="4E661150" w14:textId="77777777" w:rsidR="006444D5" w:rsidRPr="00D43FA1" w:rsidRDefault="006444D5" w:rsidP="00D43FA1">
      <w:pPr>
        <w:pStyle w:val="BegrndungAllgemeinerTeil"/>
        <w:keepLines/>
      </w:pPr>
      <w:r>
        <w:t>A. Splošni del</w:t>
      </w:r>
    </w:p>
    <w:p w14:paraId="3CB30F24" w14:textId="77777777" w:rsidR="006444D5" w:rsidRPr="00D43FA1" w:rsidRDefault="006444D5" w:rsidP="00D43FA1">
      <w:pPr>
        <w:pStyle w:val="berschriftrmischBegrndung"/>
        <w:keepLines/>
      </w:pPr>
      <w:r>
        <w:t>Cilji in namen predpisov</w:t>
      </w:r>
    </w:p>
    <w:p w14:paraId="3C58B331" w14:textId="696DE97C" w:rsidR="00CB5E99" w:rsidRPr="00D43FA1" w:rsidRDefault="00CB5E99" w:rsidP="00CB5E99">
      <w:pPr>
        <w:pStyle w:val="Text"/>
      </w:pPr>
      <w:r>
        <w:t xml:space="preserve">Živila so lahko obremenjena z mineralnim oljem, kot so med drugim pokazale preiskave v okviru raziskovalnega projekta, ki ga je financiralo Zvezno ministrstvo za prehrano in kmetijstvo (Obseg prehajanja neželenih snovi iz embalaže iz odpadnega papirja v živila – Posebno poročilo o analizi 119 živil glede neželenih snovi iz odpadnega papirja, oznaka podpore 2809HS012). Bistveni vzrok za to so poleg drugih virov vnosa tudi embalaža živil iz papirja, lepenke ali kartona, zlasti iz recikliranega papirja. </w:t>
      </w:r>
    </w:p>
    <w:p w14:paraId="31DF33D8" w14:textId="1A9A80E1" w:rsidR="00CB5E99" w:rsidRPr="00D43FA1" w:rsidRDefault="00CB5E99" w:rsidP="00CB5E99">
      <w:pPr>
        <w:pStyle w:val="Text"/>
      </w:pPr>
      <w:r>
        <w:t>Mineralno olje lahko vstopi v reciklirani papir med predelavo odpadnega papirja. Reciklirani papir vsebuje vlakna, ki se pridobivajo iz odpadnega papirja (t. i. vlakna iz odpadnega papirja). Odpadni papir večinoma sestavljajo časopisi, reklamni letaki, revije, katalogi in drug grafični papir ter embalažni papir. Za tiskanje na ta papir se uporabljajo tiskarske barve, ki glede na postopek tiskanja in področje uporabe vsebujejo tudi mineralno olje.</w:t>
      </w:r>
    </w:p>
    <w:p w14:paraId="5AD4C587" w14:textId="2E12A405" w:rsidR="00CB5E99" w:rsidRPr="00D43FA1" w:rsidRDefault="00CB5E99" w:rsidP="00CB5E99">
      <w:pPr>
        <w:pStyle w:val="Text"/>
      </w:pPr>
      <w:r>
        <w:t>Mineralno olje se pridobiva iz nafte in je zapletena zmes, ki jo sestavljajo zlasti nasičeni (z verigami in obroči) in aromatski (večinoma alkilirani) ogljikovodiki. V živilih so bile deloma dokazane znatne količine ogljikovodikov mineralnih olj. Ti vsebujejo tudi zlasti aromatske ogljikovodike mineralnih olj (MOAH). Vnos MOAH bi bilo treba po mnenju Zveznega inštituta za oceno tveganja (BfR) čim bolj zmanjšati (npr. mnenje BfR št. 008/2010, informacije BfR za tisk 41/2012, pogosto zastavljena vprašanja BfR z dne 30. novembra 2012/26. novembra 2015), ker ni mogoče izključiti, da so med MOAH snovi, ki lahko že v najmanjših količinah škodijo zdravju, npr. povzročijo rakava obolenja. Tudi Evropska agencija za varnost hrane (EFSA) je v mnenju z dne 3. maja 2012 (EFSA Journal 2012;10(6):2704) zaradi možnega kancerogenega potenciala izrazila pomisleke v zvezi z izpostavljenostjo MOAH. EFSA poleg tega ugotavlja, da lahko embalaža za živila na osnovi vlaken iz odpadnega papirja bistveno prispeva k izpostavljenosti ogljikovodikom mineralnih olj iz živil.</w:t>
      </w:r>
    </w:p>
    <w:p w14:paraId="2FAAA0A3" w14:textId="3F5839A5" w:rsidR="00612652" w:rsidRPr="007E01A6" w:rsidRDefault="00612652">
      <w:pPr>
        <w:pStyle w:val="Text"/>
      </w:pPr>
      <w:r>
        <w:t>S predloženo uredbo naj bi se znatno izboljšalo varstvo potrošnikov pred možnimi zdravstvenimi tveganji zaradi potrošniškega blaga, namenjenega za stik z živili, iz papirja, lepenke ali kartona, ki se proizvaja iz vlaken iz odpadnega papirja in iz katerega lahko v živila prehajajo MOAH.</w:t>
      </w:r>
    </w:p>
    <w:p w14:paraId="3FE169D4" w14:textId="0217AD32" w:rsidR="006444D5" w:rsidRPr="00D43FA1" w:rsidRDefault="006444D5">
      <w:pPr>
        <w:pStyle w:val="berschriftrmischBegrndung"/>
      </w:pPr>
      <w:r>
        <w:lastRenderedPageBreak/>
        <w:t>Bistvena vsebina</w:t>
      </w:r>
    </w:p>
    <w:p w14:paraId="45A5B0F9" w14:textId="3FBC9BA7" w:rsidR="00F04D45" w:rsidRPr="003A479C" w:rsidRDefault="00F04D45" w:rsidP="003A479C">
      <w:pPr>
        <w:pStyle w:val="Text"/>
        <w:keepLines/>
        <w:rPr>
          <w:spacing w:val="-4"/>
          <w:szCs w:val="24"/>
        </w:rPr>
      </w:pPr>
      <w:r w:rsidRPr="003A479C">
        <w:rPr>
          <w:spacing w:val="-4"/>
        </w:rPr>
        <w:t>Namen te uredbe je čim bolj omejiti prehajanje MOAH iz potrošniškega blaga, namenjenega za stik z živili, iz papirja, lepenke ali kartona, ki se izdeluje iz vlaken iz odpadnega papirja, v živila. Primerna možnost takšne omejitve je funkcionalna pregrada. Zato se uvede splošna obveznost, da se zadevno potrošniško blago, namenjeno za stik z živili, opremi s takšno funkcionalno pregrado. Funkcionalnost pregrade se v skladu s to uredbo določi z mejo zaznavnosti 0,5 miligrama MOAH na kilogram živila za prehajanje iz potrošniškega blaga, namenjenega za stik z živili. Pri preskusu z modelnimi raztopinami za živila je določena meja zaznavnosti 0,15 miligrama MOAH na kilogram modelne raztopine za živila. Obveznost proizvajalca ali dobavitelja potrošniškega blaga, namenjenega za stik z živili, da se potrošniško blago, namenjeno za stik z živili, opremi s funkcionalno pregrado, se ne izvaja, če nosilec živilske dejavnosti, ki nabavlja potrošniško blago, namenjeno za stik z živili, proizvajalcu ali dobavitelju pred dobavo poda izjavo glede opustitve funkcionalne pregrade. V tem primeru mora nosilec živilske dejavnosti sprejeti lastne ukrepe, s katerimi zagotovi, da ne pride do prehajanja MOAH v živila, razen če obstajajo posebni pogoji, npr. glede sestave živil, ki preprečujejo prehajanje MOAH v živila. Obveznost, da se na potrošniško blago, namenjeno za stik z živili, namesti funkcionalna pregrada, se ne uporablja tudi v primeru, kadar lahko proizvajalec ali dobavitelj potrošniškega blaga, namenjenega za stik z živili, na drug način kot z uporabo funkcionalne pregrade zagotovi, da je prehajanje MOAH v živila preprečeno. To je lahko npr. v primeru, ko je že v samem papirju, lepenki ali kartonu vsebnost MOAH tako majhna, da ne pride do prehajanja MOAH v živila nad mejo zaznavnosti.</w:t>
      </w:r>
    </w:p>
    <w:p w14:paraId="00831AD3" w14:textId="77777777" w:rsidR="006444D5" w:rsidRPr="00D43FA1" w:rsidRDefault="006444D5">
      <w:pPr>
        <w:pStyle w:val="berschriftrmischBegrndung"/>
      </w:pPr>
      <w:r>
        <w:t>Alternative</w:t>
      </w:r>
    </w:p>
    <w:p w14:paraId="40A8C660" w14:textId="41AC2637" w:rsidR="00CB5E99" w:rsidRPr="00D43FA1" w:rsidRDefault="00E53816" w:rsidP="00CB5E99">
      <w:pPr>
        <w:pStyle w:val="Text"/>
      </w:pPr>
      <w:r>
        <w:t xml:space="preserve">Ne obstajajo. Da se zagotovita varovanje zdravja potrošnikov in enotno izvajanje, so potrebni ustrezni pravni predpisi in zavezujoča uporaba meje zaznavnosti MOAH v živilih. </w:t>
      </w:r>
    </w:p>
    <w:p w14:paraId="25CF33C9" w14:textId="77777777" w:rsidR="00F279DE" w:rsidRPr="00D43FA1" w:rsidRDefault="00F279DE">
      <w:pPr>
        <w:pStyle w:val="berschriftrmischBegrndung"/>
      </w:pPr>
      <w:r>
        <w:t>Zakonodajna pristojnost</w:t>
      </w:r>
    </w:p>
    <w:p w14:paraId="19025BF8" w14:textId="26308CAA" w:rsidR="00F279DE" w:rsidRPr="00D43FA1" w:rsidRDefault="007525FC" w:rsidP="00F279DE">
      <w:pPr>
        <w:pStyle w:val="Text"/>
      </w:pPr>
      <w:r>
        <w:t>Zvezno ministrstvo za prehrano in kmetijstvo je na podlagi oddelka 31(2)(1)(2) Zakonika o živilih in krmi (LFGB), tudi v povezavi z oddelkom 4(2)(2) in oddelkom 46(2)(1)(1)(a) Zakonika o živilih in krmi (LFGB), ter oddelka 34(1)(2), tudi v povezavi z oddelkom 4(2)(2), pooblaščeno, da sprejme to uredbo.</w:t>
      </w:r>
    </w:p>
    <w:p w14:paraId="0A8F0A8B" w14:textId="77777777" w:rsidR="00CD79FA" w:rsidRPr="00D43FA1" w:rsidRDefault="00CD79FA">
      <w:pPr>
        <w:pStyle w:val="berschriftrmischBegrndung"/>
      </w:pPr>
      <w:r>
        <w:t>Skladnost s pravom Evropske unije in mednarodnimi pogodbami</w:t>
      </w:r>
    </w:p>
    <w:p w14:paraId="2C943AFB" w14:textId="626DD14B" w:rsidR="00CD79FA" w:rsidRPr="00D43FA1" w:rsidRDefault="00CD79FA" w:rsidP="00CD79FA">
      <w:pPr>
        <w:pStyle w:val="Text"/>
      </w:pPr>
      <w:r>
        <w:t>Pravo EU o potrošniškem blagu, namenjenem za stik z živili, še ni povsem usklajeno. Uredba (ES) št. 1935/2004 sicer določa splošne zahteve. Doslej so posebni ukrepi obstajali samo za posamezne skupine materialov. Člen 6 Uredbe (ES) št. 1935/2004 državam članicam EU dovoljuje, da za skupine materialov in izdelke, za katere na ravni EU doslej niso bili sprejeti posebni ukrepi, ohranijo ali sprejmejo nacionalne predpise. Za potrošniško blago, namenjeno za stik z živili, iz papirja, lepenke ali kartona – iz svežih vlaken in tudi iz vlaken iz odpadnega papirja – takšni posebni ukrepi EU ne obstajajo. Glede na to je uredba združljiva s pravom EU. Uredba ne vpliva na mednarodne pogodbe.</w:t>
      </w:r>
    </w:p>
    <w:p w14:paraId="4DA789C5" w14:textId="77777777" w:rsidR="006444D5" w:rsidRPr="00D43FA1" w:rsidRDefault="006444D5">
      <w:pPr>
        <w:pStyle w:val="berschriftrmischBegrndung"/>
      </w:pPr>
      <w:r>
        <w:lastRenderedPageBreak/>
        <w:t>Zakonski učinki</w:t>
      </w:r>
    </w:p>
    <w:p w14:paraId="2F5D3B8F" w14:textId="77777777" w:rsidR="009809AB" w:rsidRPr="00D43FA1" w:rsidRDefault="009809AB">
      <w:pPr>
        <w:pStyle w:val="berschriftarabischBegrndung"/>
      </w:pPr>
      <w:r>
        <w:t>Pravne ali upravne poenostavitve</w:t>
      </w:r>
    </w:p>
    <w:p w14:paraId="26C2B37E" w14:textId="7632BC90" w:rsidR="009809AB" w:rsidRPr="00D43FA1" w:rsidRDefault="009809AB" w:rsidP="003A479C">
      <w:pPr>
        <w:pStyle w:val="Text"/>
        <w:keepLines/>
      </w:pPr>
      <w:r>
        <w:t xml:space="preserve">Ta uredba ne predvideva poenostavitve ali razveljavitve predpisov. Vsekakor pa se poenotijo zahteve glede preprečevanja prehajanja MOAH iz potrošniškega blaga, namenjenega za stik z živili, iz papirja, lepenke ali kartona z deležem vlaken iz odpadnega papirja ter se tako znatno izboljša pravna varnost za pristojne organe zveznih dežel in zadevno gospodarstvo. </w:t>
      </w:r>
    </w:p>
    <w:p w14:paraId="166CBABF" w14:textId="77777777" w:rsidR="006444D5" w:rsidRPr="00D43FA1" w:rsidRDefault="006444D5">
      <w:pPr>
        <w:pStyle w:val="berschriftarabischBegrndung"/>
      </w:pPr>
      <w:r>
        <w:t>Trajnostni vidiki</w:t>
      </w:r>
    </w:p>
    <w:p w14:paraId="64450049" w14:textId="65120D67" w:rsidR="00612652" w:rsidRPr="003A479C" w:rsidRDefault="00B269E6">
      <w:pPr>
        <w:pStyle w:val="Text"/>
        <w:rPr>
          <w:spacing w:val="-4"/>
        </w:rPr>
      </w:pPr>
      <w:r w:rsidRPr="003A479C">
        <w:rPr>
          <w:spacing w:val="-4"/>
        </w:rPr>
        <w:t xml:space="preserve">Izvedena je bila presoja vpliva na trajnost v skladu z oddelkom 44(1)(4) Skupnega poslovnika zveznih ministrstev (GGO). Predloženi predpisi so trajnostni v smislu nemške trajnostne strategije. Pomemben je zlasti globalni cilj trajnostnega razvoja 3 „poskrbeti za zdravo življenje in spodbujati splošno dobro počutje v vseh življenjskih obdobjih“. Nadalje se upošteva načelo trajnostnega razvoja št. 3) b) „preprečiti nevarnosti in nesprejemljiva tveganja za zdravje ljudi“. Poleg tega prispeva h globalnemu cilju 12 „zagotoviti trajnostne načine proizvodnje in porabe ter njihove konkretne cilje“. V smislu trajnosti se v prihodnje omogoči tudi uporaba reciklažnih materialov za potrošniško blago, namenjeno za stik z živili, iz papirja, lepenke ali kartona, če so izpolnjene zahteve glede varstva potrošnikov, natančneje določene v tej uredbi. Uredba zagotavlja, da potrošniki niso trajnostno obremenjeni s sestavnimi deli mineralnega olja iz potrošniškega blaga, namenjenega za stik z živili, iz papirja, lepenke ali kartona, ki se izdelujejo iz vlaken iz odpadnega papirja. Uredba je namenjena varovanju zdravja potrošnikov in tako prispeva k trajnostnemu razvoju. </w:t>
      </w:r>
    </w:p>
    <w:p w14:paraId="4628D4A0" w14:textId="77777777" w:rsidR="006444D5" w:rsidRPr="00D43FA1" w:rsidRDefault="006444D5">
      <w:pPr>
        <w:pStyle w:val="berschriftarabischBegrndung"/>
      </w:pPr>
      <w:r>
        <w:t>Proračunski izdatki brez stroškov izpolnjevanja obveznosti</w:t>
      </w:r>
    </w:p>
    <w:p w14:paraId="2771CB61" w14:textId="77777777" w:rsidR="003923C4" w:rsidRPr="00D43FA1" w:rsidRDefault="00CB5E99">
      <w:pPr>
        <w:pStyle w:val="Text"/>
      </w:pPr>
      <w:r>
        <w:t>Javni proračuni se zaradi proračunskih izdatkov brez stroškov izvajanja ne obremenijo.</w:t>
      </w:r>
    </w:p>
    <w:p w14:paraId="53940621" w14:textId="77777777" w:rsidR="006444D5" w:rsidRPr="00D43FA1" w:rsidRDefault="006444D5" w:rsidP="0070360F">
      <w:pPr>
        <w:pStyle w:val="berschriftarabischBegrndung"/>
        <w:keepLines/>
      </w:pPr>
      <w:r>
        <w:t>Stroški izpolnjevanja obveznosti</w:t>
      </w:r>
    </w:p>
    <w:p w14:paraId="70BBFB2C" w14:textId="77777777" w:rsidR="00D25113" w:rsidRPr="00D43FA1" w:rsidRDefault="00D25113" w:rsidP="0070360F">
      <w:pPr>
        <w:pStyle w:val="Text"/>
        <w:keepNext/>
        <w:keepLines/>
        <w:rPr>
          <w:u w:val="single"/>
        </w:rPr>
      </w:pPr>
      <w:r>
        <w:rPr>
          <w:u w:val="single"/>
        </w:rPr>
        <w:t>a) Stroški izpolnjevanja obveznosti za upravo</w:t>
      </w:r>
    </w:p>
    <w:p w14:paraId="769FC95B" w14:textId="77777777" w:rsidR="00612652" w:rsidRPr="00D43FA1" w:rsidRDefault="00612652" w:rsidP="0070360F">
      <w:pPr>
        <w:pStyle w:val="Text"/>
        <w:keepNext/>
        <w:keepLines/>
      </w:pPr>
      <w:r>
        <w:t xml:space="preserve">Za upravo zvezne države zaradi uredbe ne nastanejo dodatni stroški. </w:t>
      </w:r>
    </w:p>
    <w:p w14:paraId="6AFCAA5B" w14:textId="77777777" w:rsidR="00AD0A9D" w:rsidRPr="00D43FA1" w:rsidRDefault="006A578D" w:rsidP="0070360F">
      <w:pPr>
        <w:pStyle w:val="Text"/>
        <w:keepNext/>
        <w:keepLines/>
      </w:pPr>
      <w:r>
        <w:t>Na podlagi podatkov, ki so jih posredovale zvezne dežele, nastanejo za upravo zveznih dežel zaradi dodatnih dejavnosti nadzora in kontrole na podlagi uredbe naslednji dodatni stroški izpolnjevanja obveznosti:</w:t>
      </w:r>
    </w:p>
    <w:tbl>
      <w:tblPr>
        <w:tblStyle w:val="TableGrid"/>
        <w:tblW w:w="0" w:type="auto"/>
        <w:tblLook w:val="04A0" w:firstRow="1" w:lastRow="0" w:firstColumn="1" w:lastColumn="0" w:noHBand="0" w:noVBand="1"/>
      </w:tblPr>
      <w:tblGrid>
        <w:gridCol w:w="4382"/>
        <w:gridCol w:w="4397"/>
      </w:tblGrid>
      <w:tr w:rsidR="00AD0A9D" w:rsidRPr="00D43FA1" w14:paraId="6E6BEC6C" w14:textId="77777777" w:rsidTr="007905CF">
        <w:tc>
          <w:tcPr>
            <w:tcW w:w="4464" w:type="dxa"/>
          </w:tcPr>
          <w:p w14:paraId="7A206076" w14:textId="77777777" w:rsidR="00AD0A9D" w:rsidRPr="00D43FA1" w:rsidRDefault="00E77C05" w:rsidP="007905CF">
            <w:pPr>
              <w:pStyle w:val="Text"/>
            </w:pPr>
            <w:r>
              <w:t>Enkratni materialni stroški</w:t>
            </w:r>
          </w:p>
        </w:tc>
        <w:tc>
          <w:tcPr>
            <w:tcW w:w="4465" w:type="dxa"/>
          </w:tcPr>
          <w:p w14:paraId="4721955D" w14:textId="77777777" w:rsidR="00AD0A9D" w:rsidRPr="00D43FA1" w:rsidRDefault="00AD0A9D" w:rsidP="009969BE">
            <w:pPr>
              <w:pStyle w:val="Text"/>
              <w:jc w:val="left"/>
            </w:pPr>
            <w:r>
              <w:t>pribl. 1 058 000 EUR</w:t>
            </w:r>
          </w:p>
        </w:tc>
      </w:tr>
      <w:tr w:rsidR="00AD0A9D" w:rsidRPr="00D43FA1" w14:paraId="7EA31554" w14:textId="77777777" w:rsidTr="007905CF">
        <w:tc>
          <w:tcPr>
            <w:tcW w:w="4464" w:type="dxa"/>
          </w:tcPr>
          <w:p w14:paraId="3D59CAB2" w14:textId="77777777" w:rsidR="00AD0A9D" w:rsidRPr="00D43FA1" w:rsidRDefault="00E77C05" w:rsidP="007905CF">
            <w:pPr>
              <w:pStyle w:val="Text"/>
            </w:pPr>
            <w:r>
              <w:t>Enkratni stroški za osebje</w:t>
            </w:r>
          </w:p>
        </w:tc>
        <w:tc>
          <w:tcPr>
            <w:tcW w:w="4465" w:type="dxa"/>
          </w:tcPr>
          <w:p w14:paraId="38C1D206" w14:textId="77777777" w:rsidR="00AD0A9D" w:rsidRPr="00D43FA1" w:rsidRDefault="00AD0A9D" w:rsidP="009969BE">
            <w:pPr>
              <w:pStyle w:val="Text"/>
              <w:jc w:val="left"/>
            </w:pPr>
            <w:r>
              <w:t>pribl. 123 000 EUR</w:t>
            </w:r>
          </w:p>
        </w:tc>
      </w:tr>
      <w:tr w:rsidR="00AD0A9D" w:rsidRPr="00D43FA1" w14:paraId="1F558430" w14:textId="77777777" w:rsidTr="007905CF">
        <w:tc>
          <w:tcPr>
            <w:tcW w:w="4464" w:type="dxa"/>
          </w:tcPr>
          <w:p w14:paraId="51763FF6" w14:textId="77777777" w:rsidR="00AD0A9D" w:rsidRPr="00D43FA1" w:rsidRDefault="00E77C05" w:rsidP="007905CF">
            <w:pPr>
              <w:pStyle w:val="Text"/>
            </w:pPr>
            <w:r>
              <w:t>Letni materialni stroški</w:t>
            </w:r>
          </w:p>
        </w:tc>
        <w:tc>
          <w:tcPr>
            <w:tcW w:w="4465" w:type="dxa"/>
          </w:tcPr>
          <w:p w14:paraId="4080915D" w14:textId="77777777" w:rsidR="00AD0A9D" w:rsidRPr="00D43FA1" w:rsidRDefault="00AD0A9D" w:rsidP="009969BE">
            <w:pPr>
              <w:pStyle w:val="Text"/>
              <w:jc w:val="left"/>
            </w:pPr>
            <w:r>
              <w:t>pribl. 80 000 EUR</w:t>
            </w:r>
          </w:p>
        </w:tc>
      </w:tr>
      <w:tr w:rsidR="00AD0A9D" w:rsidRPr="00D43FA1" w14:paraId="525A416D" w14:textId="77777777" w:rsidTr="007905CF">
        <w:tc>
          <w:tcPr>
            <w:tcW w:w="4464" w:type="dxa"/>
          </w:tcPr>
          <w:p w14:paraId="2EBCF264" w14:textId="77777777" w:rsidR="00AD0A9D" w:rsidRPr="00D43FA1" w:rsidRDefault="00E77C05" w:rsidP="007905CF">
            <w:pPr>
              <w:pStyle w:val="Text"/>
            </w:pPr>
            <w:r>
              <w:t>Letni stroški za osebje</w:t>
            </w:r>
          </w:p>
        </w:tc>
        <w:tc>
          <w:tcPr>
            <w:tcW w:w="4465" w:type="dxa"/>
          </w:tcPr>
          <w:p w14:paraId="21ABAEB6" w14:textId="77777777" w:rsidR="00AD0A9D" w:rsidRPr="00D43FA1" w:rsidRDefault="00AD0A9D" w:rsidP="000636B3">
            <w:pPr>
              <w:pStyle w:val="Text"/>
              <w:jc w:val="left"/>
            </w:pPr>
            <w:r>
              <w:t>pribl. 292 000 EUR</w:t>
            </w:r>
          </w:p>
        </w:tc>
      </w:tr>
    </w:tbl>
    <w:p w14:paraId="6B8CCD1C" w14:textId="77777777" w:rsidR="00E6133B" w:rsidRPr="00D43FA1" w:rsidRDefault="00E6133B" w:rsidP="00612652">
      <w:pPr>
        <w:pStyle w:val="Text"/>
      </w:pPr>
      <w:r>
        <w:t xml:space="preserve">S tem nastanejo povprečni enkratni stroški izpolnjevanja obveznosti v višini 236 200 EUR in povprečni letni stroški izpolnjevanja obveznosti v višini 74 400 EUR. </w:t>
      </w:r>
    </w:p>
    <w:p w14:paraId="525979E7" w14:textId="108FCA64" w:rsidR="00891D8C" w:rsidRPr="007E01A6" w:rsidRDefault="007C7B00" w:rsidP="00E24BD3">
      <w:pPr>
        <w:pStyle w:val="Text"/>
      </w:pPr>
      <w:r>
        <w:t xml:space="preserve">Te stroške sestavljajo naslednje postavke v skladu z naslednjimi posameznimi podatki zveznih dežel. Vplivov na stroške zaradi uredbe niso sporočile vse zvezne dežele. Razlog za to je lahko, da se sprva ne izvajajo ustrezne raziskave ali pa se izvedejo v sodelovanju z drugimi zveznimi deželami. </w:t>
      </w:r>
    </w:p>
    <w:p w14:paraId="4DA66B7C" w14:textId="77777777" w:rsidR="007C7B00" w:rsidRPr="00D43FA1" w:rsidRDefault="007C7B00" w:rsidP="0070360F">
      <w:pPr>
        <w:pStyle w:val="Text"/>
        <w:keepNext/>
        <w:keepLines/>
        <w:tabs>
          <w:tab w:val="left" w:pos="0"/>
        </w:tabs>
        <w:spacing w:before="0" w:after="0"/>
        <w:rPr>
          <w:u w:val="single"/>
        </w:rPr>
      </w:pPr>
      <w:r>
        <w:rPr>
          <w:u w:val="single"/>
        </w:rPr>
        <w:lastRenderedPageBreak/>
        <w:t>Baden-Württemberg:</w:t>
      </w:r>
    </w:p>
    <w:p w14:paraId="0476425A" w14:textId="77777777" w:rsidR="009969BE" w:rsidRPr="00D43FA1" w:rsidRDefault="009969BE" w:rsidP="0070360F">
      <w:pPr>
        <w:pStyle w:val="Text"/>
        <w:keepNext/>
        <w:keepLines/>
        <w:tabs>
          <w:tab w:val="left" w:pos="0"/>
        </w:tabs>
        <w:spacing w:before="0" w:after="0"/>
      </w:pPr>
    </w:p>
    <w:tbl>
      <w:tblPr>
        <w:tblStyle w:val="TableGrid"/>
        <w:tblW w:w="0" w:type="auto"/>
        <w:tblLook w:val="04A0" w:firstRow="1" w:lastRow="0" w:firstColumn="1" w:lastColumn="0" w:noHBand="0" w:noVBand="1"/>
      </w:tblPr>
      <w:tblGrid>
        <w:gridCol w:w="4382"/>
        <w:gridCol w:w="4397"/>
      </w:tblGrid>
      <w:tr w:rsidR="009969BE" w:rsidRPr="00D43FA1" w14:paraId="3386D9CF" w14:textId="77777777" w:rsidTr="0070360F">
        <w:tc>
          <w:tcPr>
            <w:tcW w:w="4464" w:type="dxa"/>
          </w:tcPr>
          <w:p w14:paraId="47DC230D" w14:textId="0F7E0FFB" w:rsidR="009969BE" w:rsidRPr="00D43FA1" w:rsidRDefault="009969BE" w:rsidP="00E24BD3">
            <w:pPr>
              <w:pStyle w:val="Text"/>
              <w:tabs>
                <w:tab w:val="left" w:pos="0"/>
              </w:tabs>
            </w:pPr>
            <w:r>
              <w:t>Enkratni materialni stroški:</w:t>
            </w:r>
          </w:p>
        </w:tc>
        <w:tc>
          <w:tcPr>
            <w:tcW w:w="4465" w:type="dxa"/>
          </w:tcPr>
          <w:p w14:paraId="633997F1" w14:textId="77777777" w:rsidR="009969BE" w:rsidRPr="00D43FA1" w:rsidRDefault="000636B3" w:rsidP="000636B3">
            <w:pPr>
              <w:pStyle w:val="Text"/>
            </w:pPr>
            <w:r>
              <w:t xml:space="preserve">220 000 EUR (nabava naprav) </w:t>
            </w:r>
          </w:p>
        </w:tc>
      </w:tr>
      <w:tr w:rsidR="009969BE" w:rsidRPr="00D43FA1" w14:paraId="0B1C7BA1" w14:textId="77777777" w:rsidTr="0070360F">
        <w:tc>
          <w:tcPr>
            <w:tcW w:w="4464" w:type="dxa"/>
          </w:tcPr>
          <w:p w14:paraId="575EAB32" w14:textId="77777777" w:rsidR="009969BE" w:rsidRPr="00D43FA1" w:rsidRDefault="009969BE" w:rsidP="000636B3">
            <w:pPr>
              <w:pStyle w:val="Text"/>
              <w:tabs>
                <w:tab w:val="left" w:pos="0"/>
              </w:tabs>
            </w:pPr>
            <w:r>
              <w:t xml:space="preserve">Enkratni stroški za osebje: </w:t>
            </w:r>
          </w:p>
        </w:tc>
        <w:tc>
          <w:tcPr>
            <w:tcW w:w="4465" w:type="dxa"/>
          </w:tcPr>
          <w:p w14:paraId="65DA8490" w14:textId="77777777" w:rsidR="009969BE" w:rsidRPr="00D43FA1" w:rsidRDefault="000636B3" w:rsidP="000636B3">
            <w:pPr>
              <w:pStyle w:val="Text"/>
              <w:tabs>
                <w:tab w:val="left" w:pos="0"/>
              </w:tabs>
              <w:jc w:val="left"/>
            </w:pPr>
            <w:r>
              <w:t>35 000 EUR (uvedba standardizirane analize brez meritev rutinskih vzorcev)</w:t>
            </w:r>
          </w:p>
        </w:tc>
      </w:tr>
      <w:tr w:rsidR="009969BE" w:rsidRPr="00D43FA1" w14:paraId="55E9234D" w14:textId="77777777" w:rsidTr="0070360F">
        <w:tc>
          <w:tcPr>
            <w:tcW w:w="4464" w:type="dxa"/>
          </w:tcPr>
          <w:p w14:paraId="5EBF97DE" w14:textId="117BCA06" w:rsidR="009969BE" w:rsidRPr="00D43FA1" w:rsidRDefault="009969BE" w:rsidP="00E24BD3">
            <w:pPr>
              <w:pStyle w:val="Text"/>
              <w:tabs>
                <w:tab w:val="left" w:pos="0"/>
              </w:tabs>
            </w:pPr>
            <w:r>
              <w:t>Letni materialni stroški:</w:t>
            </w:r>
          </w:p>
        </w:tc>
        <w:tc>
          <w:tcPr>
            <w:tcW w:w="4465" w:type="dxa"/>
          </w:tcPr>
          <w:p w14:paraId="77320B51" w14:textId="77777777" w:rsidR="009969BE" w:rsidRPr="00D43FA1" w:rsidRDefault="009969BE" w:rsidP="000636B3">
            <w:pPr>
              <w:pStyle w:val="Text"/>
              <w:jc w:val="left"/>
            </w:pPr>
            <w:r>
              <w:t>pribl. 10 000 EUR (ocena) (vzdrževanje naprav, potrošni material, popravila itd.)</w:t>
            </w:r>
          </w:p>
        </w:tc>
      </w:tr>
      <w:tr w:rsidR="009969BE" w:rsidRPr="00D43FA1" w14:paraId="5B2A82B8" w14:textId="77777777" w:rsidTr="0070360F">
        <w:tc>
          <w:tcPr>
            <w:tcW w:w="4464" w:type="dxa"/>
          </w:tcPr>
          <w:p w14:paraId="6BFC2AFE" w14:textId="76CDD47F" w:rsidR="009969BE" w:rsidRPr="00D43FA1" w:rsidRDefault="009969BE" w:rsidP="00E24BD3">
            <w:pPr>
              <w:pStyle w:val="Text"/>
              <w:tabs>
                <w:tab w:val="left" w:pos="0"/>
              </w:tabs>
            </w:pPr>
            <w:r>
              <w:t>Letni stroški za osebje:</w:t>
            </w:r>
          </w:p>
        </w:tc>
        <w:tc>
          <w:tcPr>
            <w:tcW w:w="4465" w:type="dxa"/>
          </w:tcPr>
          <w:p w14:paraId="440A534D" w14:textId="64E09125" w:rsidR="000636B3" w:rsidRPr="00D43FA1" w:rsidRDefault="000636B3" w:rsidP="00E24BD3">
            <w:pPr>
              <w:contextualSpacing/>
              <w:jc w:val="left"/>
            </w:pPr>
            <w:r>
              <w:t>pribl. 60 000 EUR (ob predpostavljeni 50-odstotni uporabi pogodbenega dogovora in vodje laboratorija; dejanski letni stroški za osebje so odvisni od dejanskega števila vzorcev in dejanskih stroškov preverjanja dokumentacije).</w:t>
            </w:r>
          </w:p>
        </w:tc>
      </w:tr>
    </w:tbl>
    <w:p w14:paraId="08E5AD35" w14:textId="2F20F6E7" w:rsidR="007C7B00" w:rsidRPr="00D43FA1" w:rsidRDefault="007C7B00" w:rsidP="009969BE">
      <w:pPr>
        <w:pStyle w:val="Text"/>
        <w:spacing w:before="0" w:after="0"/>
      </w:pPr>
    </w:p>
    <w:p w14:paraId="37B8C963" w14:textId="1723BB99" w:rsidR="00D43FA1" w:rsidRDefault="007C7B00" w:rsidP="00BE6637">
      <w:pPr>
        <w:pStyle w:val="ListParagraph"/>
        <w:ind w:left="0"/>
        <w:contextualSpacing/>
        <w:rPr>
          <w:rFonts w:ascii="Arial" w:hAnsi="Arial" w:cs="Arial"/>
          <w:sz w:val="22"/>
          <w:szCs w:val="22"/>
        </w:rPr>
      </w:pPr>
      <w:r>
        <w:rPr>
          <w:rFonts w:ascii="Arial" w:hAnsi="Arial"/>
          <w:sz w:val="22"/>
        </w:rPr>
        <w:t xml:space="preserve">Navedeni stroški zajemajo porabo za analizo in stroške za samo en del preverjanja dokumentacije v laboratoriju, saj na področju proizvodnje in dajanja na trg potrošniškega blaga, namenjenega za stik z živili, ni obvezna registracija obratov in tako niso na voljo popolni podatki o številu proizvajalcev in dobaviteljev potrošniškega blaga, namenjenega za stik z živili, ki jih zajema uredba. </w:t>
      </w:r>
    </w:p>
    <w:p w14:paraId="2817F13E" w14:textId="50A3D1E9" w:rsidR="00BE6637" w:rsidRPr="00D43FA1" w:rsidRDefault="00BE6637" w:rsidP="00BE6637">
      <w:pPr>
        <w:pStyle w:val="ListParagraph"/>
        <w:ind w:left="0"/>
        <w:contextualSpacing/>
        <w:rPr>
          <w:rFonts w:ascii="Arial" w:hAnsi="Arial" w:cs="Arial"/>
          <w:sz w:val="22"/>
          <w:szCs w:val="22"/>
        </w:rPr>
      </w:pPr>
    </w:p>
    <w:p w14:paraId="151285E1" w14:textId="733E5B75" w:rsidR="007C7B00" w:rsidRPr="00D43FA1" w:rsidRDefault="007C7B00" w:rsidP="0070360F">
      <w:pPr>
        <w:pStyle w:val="Text"/>
        <w:keepNext/>
        <w:keepLines/>
        <w:spacing w:before="0" w:after="0"/>
        <w:rPr>
          <w:u w:val="single"/>
        </w:rPr>
      </w:pPr>
      <w:r>
        <w:rPr>
          <w:u w:val="single"/>
        </w:rPr>
        <w:t>Bavarska:</w:t>
      </w:r>
    </w:p>
    <w:p w14:paraId="02A6CCC7"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5"/>
        <w:gridCol w:w="4394"/>
      </w:tblGrid>
      <w:tr w:rsidR="00C27F02" w:rsidRPr="00D43FA1" w14:paraId="34B0347D" w14:textId="77777777" w:rsidTr="00C27F02">
        <w:tc>
          <w:tcPr>
            <w:tcW w:w="4464" w:type="dxa"/>
          </w:tcPr>
          <w:p w14:paraId="540A9F12" w14:textId="26DBDA32" w:rsidR="00C27F02" w:rsidRPr="00D43FA1" w:rsidRDefault="00C27F02" w:rsidP="00E24BD3">
            <w:pPr>
              <w:pStyle w:val="Text"/>
              <w:rPr>
                <w:u w:val="single"/>
              </w:rPr>
            </w:pPr>
            <w:r>
              <w:rPr>
                <w:color w:val="000000"/>
              </w:rPr>
              <w:t>Enkratni materialni stroški:</w:t>
            </w:r>
          </w:p>
        </w:tc>
        <w:tc>
          <w:tcPr>
            <w:tcW w:w="4465" w:type="dxa"/>
          </w:tcPr>
          <w:p w14:paraId="368558E6" w14:textId="77777777" w:rsidR="000636B3" w:rsidRPr="00D43FA1" w:rsidRDefault="000636B3" w:rsidP="000636B3">
            <w:pPr>
              <w:pStyle w:val="Text"/>
              <w:rPr>
                <w:color w:val="000000"/>
              </w:rPr>
            </w:pPr>
            <w:r>
              <w:rPr>
                <w:color w:val="000000"/>
              </w:rPr>
              <w:t xml:space="preserve">pribl. 200 000 EUR </w:t>
            </w:r>
          </w:p>
        </w:tc>
      </w:tr>
      <w:tr w:rsidR="00C27F02" w:rsidRPr="00D43FA1" w14:paraId="39092A00" w14:textId="77777777" w:rsidTr="00C27F02">
        <w:tc>
          <w:tcPr>
            <w:tcW w:w="4464" w:type="dxa"/>
          </w:tcPr>
          <w:p w14:paraId="66DA7D71" w14:textId="368D4C6E" w:rsidR="00C27F02" w:rsidRPr="00D43FA1" w:rsidRDefault="00C27F02" w:rsidP="00E24BD3">
            <w:pPr>
              <w:pStyle w:val="Text"/>
              <w:rPr>
                <w:u w:val="single"/>
              </w:rPr>
            </w:pPr>
            <w:r>
              <w:rPr>
                <w:color w:val="000000"/>
              </w:rPr>
              <w:t>Letni stroški za osebje:</w:t>
            </w:r>
          </w:p>
        </w:tc>
        <w:tc>
          <w:tcPr>
            <w:tcW w:w="4465" w:type="dxa"/>
          </w:tcPr>
          <w:p w14:paraId="670B56AD" w14:textId="77777777" w:rsidR="000636B3" w:rsidRPr="00D43FA1" w:rsidRDefault="000636B3" w:rsidP="000636B3">
            <w:pPr>
              <w:pStyle w:val="Text"/>
              <w:rPr>
                <w:color w:val="000000"/>
              </w:rPr>
            </w:pPr>
            <w:r>
              <w:rPr>
                <w:color w:val="000000"/>
              </w:rPr>
              <w:t xml:space="preserve">pribl. 72 000 EUR </w:t>
            </w:r>
          </w:p>
        </w:tc>
      </w:tr>
      <w:tr w:rsidR="00C27F02" w:rsidRPr="00D43FA1" w14:paraId="0687D805" w14:textId="77777777" w:rsidTr="00C27F02">
        <w:tc>
          <w:tcPr>
            <w:tcW w:w="4464" w:type="dxa"/>
          </w:tcPr>
          <w:p w14:paraId="2F9D2535" w14:textId="77777777" w:rsidR="00C27F02" w:rsidRPr="00D43FA1" w:rsidRDefault="00C27F02" w:rsidP="000636B3">
            <w:pPr>
              <w:pStyle w:val="Text"/>
              <w:rPr>
                <w:u w:val="single"/>
              </w:rPr>
            </w:pPr>
            <w:r>
              <w:rPr>
                <w:color w:val="000000"/>
              </w:rPr>
              <w:t xml:space="preserve">Letni materialni stroški: </w:t>
            </w:r>
          </w:p>
        </w:tc>
        <w:tc>
          <w:tcPr>
            <w:tcW w:w="4465" w:type="dxa"/>
          </w:tcPr>
          <w:p w14:paraId="3AA9289D" w14:textId="77777777" w:rsidR="000636B3" w:rsidRPr="00D43FA1" w:rsidRDefault="000636B3" w:rsidP="000636B3">
            <w:pPr>
              <w:pStyle w:val="Text"/>
              <w:rPr>
                <w:color w:val="000000"/>
              </w:rPr>
            </w:pPr>
            <w:r>
              <w:rPr>
                <w:color w:val="000000"/>
              </w:rPr>
              <w:t xml:space="preserve">pribl. 10 000 EUR </w:t>
            </w:r>
          </w:p>
        </w:tc>
      </w:tr>
    </w:tbl>
    <w:p w14:paraId="2476E826" w14:textId="77777777" w:rsidR="00C27F02" w:rsidRPr="00D43FA1" w:rsidRDefault="00C27F02" w:rsidP="001D09DD">
      <w:pPr>
        <w:pStyle w:val="Text"/>
        <w:spacing w:before="0" w:after="0"/>
        <w:rPr>
          <w:u w:val="single"/>
        </w:rPr>
      </w:pPr>
    </w:p>
    <w:p w14:paraId="00B4B35B" w14:textId="77777777" w:rsidR="00042625" w:rsidRPr="00D43FA1" w:rsidRDefault="00042625" w:rsidP="0070360F">
      <w:pPr>
        <w:pStyle w:val="Text"/>
        <w:keepNext/>
        <w:keepLines/>
        <w:spacing w:before="0" w:after="0"/>
        <w:rPr>
          <w:u w:val="single"/>
        </w:rPr>
      </w:pPr>
      <w:r>
        <w:rPr>
          <w:u w:val="single"/>
        </w:rPr>
        <w:t>Spodnja Saška:</w:t>
      </w:r>
    </w:p>
    <w:p w14:paraId="2F514A5B" w14:textId="77777777" w:rsidR="00042625" w:rsidRPr="00D43FA1" w:rsidRDefault="00042625"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1"/>
        <w:gridCol w:w="4398"/>
      </w:tblGrid>
      <w:tr w:rsidR="0092712D" w:rsidRPr="00D43FA1" w14:paraId="4A665A3C" w14:textId="77777777" w:rsidTr="0092712D">
        <w:tc>
          <w:tcPr>
            <w:tcW w:w="4464" w:type="dxa"/>
          </w:tcPr>
          <w:p w14:paraId="5C9E438C" w14:textId="77777777" w:rsidR="0092712D" w:rsidRPr="00D43FA1" w:rsidRDefault="0092712D" w:rsidP="001D09DD">
            <w:pPr>
              <w:pStyle w:val="Text"/>
              <w:spacing w:before="0" w:after="0"/>
              <w:rPr>
                <w:u w:val="single"/>
              </w:rPr>
            </w:pPr>
            <w:r>
              <w:t>Enkratni materialni stroški: </w:t>
            </w:r>
          </w:p>
        </w:tc>
        <w:tc>
          <w:tcPr>
            <w:tcW w:w="4465" w:type="dxa"/>
          </w:tcPr>
          <w:p w14:paraId="3E9249EF" w14:textId="4208F5DF" w:rsidR="0092712D" w:rsidRPr="00D43FA1" w:rsidRDefault="0092712D" w:rsidP="00CB2B7C">
            <w:pPr>
              <w:spacing w:before="0" w:after="0"/>
              <w:jc w:val="left"/>
            </w:pPr>
            <w:r>
              <w:t>170 000 EUR (stroški naprav za tekočinsko kromatografijo visoke ločljivosti s plinsko kromatografijo (HPLC-GC))</w:t>
            </w:r>
          </w:p>
          <w:p w14:paraId="0D2B1F8F" w14:textId="77777777" w:rsidR="0092712D" w:rsidRPr="00D43FA1" w:rsidRDefault="0092712D" w:rsidP="00CB2B7C">
            <w:pPr>
              <w:pStyle w:val="Text"/>
              <w:spacing w:before="0" w:after="0"/>
              <w:jc w:val="left"/>
              <w:rPr>
                <w:u w:val="single"/>
              </w:rPr>
            </w:pPr>
          </w:p>
        </w:tc>
      </w:tr>
      <w:tr w:rsidR="0092712D" w:rsidRPr="00D43FA1" w14:paraId="69EEBE27" w14:textId="77777777" w:rsidTr="0092712D">
        <w:tc>
          <w:tcPr>
            <w:tcW w:w="4464" w:type="dxa"/>
          </w:tcPr>
          <w:p w14:paraId="53A08CDB" w14:textId="72CBA0D6" w:rsidR="0092712D" w:rsidRPr="00D43FA1" w:rsidRDefault="0092712D" w:rsidP="00E24BD3">
            <w:pPr>
              <w:pStyle w:val="Text"/>
              <w:spacing w:before="0" w:after="0"/>
              <w:rPr>
                <w:u w:val="single"/>
              </w:rPr>
            </w:pPr>
            <w:r>
              <w:t>Letni stroški:</w:t>
            </w:r>
          </w:p>
        </w:tc>
        <w:tc>
          <w:tcPr>
            <w:tcW w:w="4465" w:type="dxa"/>
          </w:tcPr>
          <w:p w14:paraId="51489E53" w14:textId="19E68EE8" w:rsidR="0092712D" w:rsidRPr="00D43FA1" w:rsidRDefault="0092712D" w:rsidP="00CB2B7C">
            <w:pPr>
              <w:pStyle w:val="Text"/>
              <w:spacing w:before="0" w:after="0"/>
              <w:jc w:val="left"/>
              <w:rPr>
                <w:u w:val="single"/>
              </w:rPr>
            </w:pPr>
            <w:r>
              <w:t>52 000 EUR (na podlagi 200 preskušenih vzorcev in 40 preverjanj dokumentacije na leto</w:t>
            </w:r>
            <w:r>
              <w:rPr>
                <w:rFonts w:ascii="Calibri" w:hAnsi="Calibri"/>
              </w:rPr>
              <w:t>)</w:t>
            </w:r>
          </w:p>
        </w:tc>
      </w:tr>
    </w:tbl>
    <w:p w14:paraId="0701BC82" w14:textId="44B2969E" w:rsidR="00042625" w:rsidRPr="00D43FA1" w:rsidRDefault="00042625" w:rsidP="00891D8C">
      <w:pPr>
        <w:spacing w:before="0" w:after="0"/>
        <w:rPr>
          <w:rFonts w:ascii="Calibri" w:hAnsi="Calibri"/>
        </w:rPr>
      </w:pPr>
    </w:p>
    <w:p w14:paraId="68A96EA3" w14:textId="77777777" w:rsidR="007C7B00" w:rsidRPr="00D43FA1" w:rsidRDefault="007C7B00" w:rsidP="0070360F">
      <w:pPr>
        <w:pStyle w:val="Text"/>
        <w:keepNext/>
        <w:keepLines/>
        <w:spacing w:before="0" w:after="0"/>
        <w:rPr>
          <w:u w:val="single"/>
        </w:rPr>
      </w:pPr>
      <w:r>
        <w:rPr>
          <w:u w:val="single"/>
        </w:rPr>
        <w:t>Schleswig-Holstein:</w:t>
      </w:r>
    </w:p>
    <w:p w14:paraId="470651E2"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77"/>
        <w:gridCol w:w="4402"/>
      </w:tblGrid>
      <w:tr w:rsidR="0092712D" w:rsidRPr="00D43FA1" w14:paraId="2868753F" w14:textId="77777777" w:rsidTr="00CB2B7C">
        <w:tc>
          <w:tcPr>
            <w:tcW w:w="4464" w:type="dxa"/>
          </w:tcPr>
          <w:p w14:paraId="58802FCE" w14:textId="584D20E4" w:rsidR="0092712D" w:rsidRPr="00D43FA1" w:rsidRDefault="0092712D" w:rsidP="00E24BD3">
            <w:pPr>
              <w:pStyle w:val="Text"/>
              <w:rPr>
                <w:u w:val="single"/>
              </w:rPr>
            </w:pPr>
            <w:r>
              <w:rPr>
                <w:color w:val="000000"/>
              </w:rPr>
              <w:t>Enkratni materialni stroški:</w:t>
            </w:r>
          </w:p>
        </w:tc>
        <w:tc>
          <w:tcPr>
            <w:tcW w:w="4465" w:type="dxa"/>
          </w:tcPr>
          <w:p w14:paraId="48B6D078" w14:textId="4B7DA809" w:rsidR="0092712D" w:rsidRPr="00D43FA1" w:rsidRDefault="0092712D" w:rsidP="00CB2B7C">
            <w:pPr>
              <w:pStyle w:val="Text"/>
              <w:jc w:val="left"/>
              <w:rPr>
                <w:color w:val="000000"/>
              </w:rPr>
            </w:pPr>
            <w:r>
              <w:rPr>
                <w:color w:val="000000"/>
              </w:rPr>
              <w:t>238 000 EUR (stroški naprav za tekočinsko kromatografijo s plinske kromatografijo (LC-GC); naprava je bila nabavljena marca/aprila 2017)</w:t>
            </w:r>
          </w:p>
        </w:tc>
      </w:tr>
      <w:tr w:rsidR="0092712D" w:rsidRPr="00D43FA1" w14:paraId="35D9098E" w14:textId="77777777" w:rsidTr="00CB2B7C">
        <w:tc>
          <w:tcPr>
            <w:tcW w:w="4464" w:type="dxa"/>
          </w:tcPr>
          <w:p w14:paraId="4A66A9B5" w14:textId="1366BFA4" w:rsidR="0092712D" w:rsidRPr="00D43FA1" w:rsidRDefault="0092712D" w:rsidP="00E24BD3">
            <w:pPr>
              <w:pStyle w:val="Text"/>
              <w:rPr>
                <w:u w:val="single"/>
              </w:rPr>
            </w:pPr>
            <w:r>
              <w:rPr>
                <w:color w:val="000000"/>
              </w:rPr>
              <w:t xml:space="preserve">Enkratni stroški za osebje: </w:t>
            </w:r>
          </w:p>
        </w:tc>
        <w:tc>
          <w:tcPr>
            <w:tcW w:w="4465" w:type="dxa"/>
          </w:tcPr>
          <w:p w14:paraId="5F896AF4" w14:textId="77777777" w:rsidR="0092712D" w:rsidRPr="00D43FA1" w:rsidRDefault="0092712D" w:rsidP="0092712D">
            <w:pPr>
              <w:pStyle w:val="Text"/>
              <w:rPr>
                <w:color w:val="000000"/>
              </w:rPr>
            </w:pPr>
            <w:r>
              <w:rPr>
                <w:color w:val="000000"/>
              </w:rPr>
              <w:t>5 000 EUR (usposabljanje)</w:t>
            </w:r>
          </w:p>
        </w:tc>
      </w:tr>
      <w:tr w:rsidR="0092712D" w:rsidRPr="00D43FA1" w14:paraId="3E394749" w14:textId="77777777" w:rsidTr="00CB2B7C">
        <w:tc>
          <w:tcPr>
            <w:tcW w:w="4464" w:type="dxa"/>
          </w:tcPr>
          <w:p w14:paraId="62504A2D" w14:textId="77777777" w:rsidR="0092712D" w:rsidRPr="00D43FA1" w:rsidRDefault="0092712D" w:rsidP="0092712D">
            <w:pPr>
              <w:pStyle w:val="Text"/>
              <w:rPr>
                <w:u w:val="single"/>
              </w:rPr>
            </w:pPr>
            <w:r>
              <w:rPr>
                <w:color w:val="000000"/>
              </w:rPr>
              <w:t xml:space="preserve">Letni stroški za osebje: </w:t>
            </w:r>
          </w:p>
        </w:tc>
        <w:tc>
          <w:tcPr>
            <w:tcW w:w="4465" w:type="dxa"/>
          </w:tcPr>
          <w:p w14:paraId="3D3A8607" w14:textId="77777777" w:rsidR="0092712D" w:rsidRPr="00D43FA1" w:rsidRDefault="00234C16" w:rsidP="00CB2B7C">
            <w:pPr>
              <w:pStyle w:val="Text"/>
              <w:tabs>
                <w:tab w:val="left" w:pos="2694"/>
              </w:tabs>
              <w:spacing w:after="0"/>
              <w:jc w:val="left"/>
              <w:rPr>
                <w:color w:val="000000"/>
              </w:rPr>
            </w:pPr>
            <w:r>
              <w:rPr>
                <w:color w:val="000000"/>
              </w:rPr>
              <w:t>pribl. 70 000 EUR (0,5 delovnega mesta znanstveni sodelavec E14</w:t>
            </w:r>
          </w:p>
          <w:p w14:paraId="093480AE" w14:textId="2EA44CCB" w:rsidR="0092712D" w:rsidRPr="00D43FA1" w:rsidRDefault="0092712D" w:rsidP="0092712D">
            <w:pPr>
              <w:pStyle w:val="Text"/>
              <w:tabs>
                <w:tab w:val="left" w:pos="2694"/>
              </w:tabs>
              <w:spacing w:before="0"/>
              <w:rPr>
                <w:color w:val="000000"/>
              </w:rPr>
            </w:pPr>
            <w:r>
              <w:rPr>
                <w:color w:val="000000"/>
              </w:rPr>
              <w:t>1 delovno mesto tehnični sodelavec E9)</w:t>
            </w:r>
          </w:p>
        </w:tc>
      </w:tr>
    </w:tbl>
    <w:p w14:paraId="36709E93" w14:textId="1D323CAC" w:rsidR="007C7B00" w:rsidRPr="00D43FA1" w:rsidRDefault="007C7B00" w:rsidP="0092712D">
      <w:pPr>
        <w:pStyle w:val="Text"/>
        <w:tabs>
          <w:tab w:val="left" w:pos="2694"/>
        </w:tabs>
        <w:spacing w:before="0" w:after="0"/>
        <w:rPr>
          <w:color w:val="000000"/>
        </w:rPr>
      </w:pPr>
    </w:p>
    <w:p w14:paraId="19804C30" w14:textId="77777777" w:rsidR="00F063FD" w:rsidRPr="00D43FA1" w:rsidRDefault="00042625" w:rsidP="0070360F">
      <w:pPr>
        <w:pStyle w:val="Text"/>
        <w:keepNext/>
        <w:keepLines/>
        <w:tabs>
          <w:tab w:val="left" w:pos="0"/>
        </w:tabs>
        <w:spacing w:before="0" w:after="0"/>
        <w:rPr>
          <w:color w:val="000000"/>
          <w:u w:val="single"/>
        </w:rPr>
      </w:pPr>
      <w:r>
        <w:rPr>
          <w:color w:val="000000"/>
          <w:u w:val="single"/>
        </w:rPr>
        <w:lastRenderedPageBreak/>
        <w:t>Saška:</w:t>
      </w:r>
    </w:p>
    <w:p w14:paraId="69F79EA8" w14:textId="77777777" w:rsidR="00891D8C" w:rsidRPr="00D43FA1" w:rsidRDefault="00891D8C" w:rsidP="0070360F">
      <w:pPr>
        <w:pStyle w:val="Text"/>
        <w:keepNext/>
        <w:keepLines/>
        <w:tabs>
          <w:tab w:val="left" w:pos="0"/>
        </w:tabs>
        <w:spacing w:before="0" w:after="0"/>
        <w:rPr>
          <w:color w:val="000000"/>
          <w:u w:val="single"/>
        </w:rPr>
      </w:pPr>
    </w:p>
    <w:tbl>
      <w:tblPr>
        <w:tblStyle w:val="TableGrid"/>
        <w:tblW w:w="0" w:type="auto"/>
        <w:tblLook w:val="04A0" w:firstRow="1" w:lastRow="0" w:firstColumn="1" w:lastColumn="0" w:noHBand="0" w:noVBand="1"/>
      </w:tblPr>
      <w:tblGrid>
        <w:gridCol w:w="4382"/>
        <w:gridCol w:w="4397"/>
      </w:tblGrid>
      <w:tr w:rsidR="00891D8C" w:rsidRPr="00D43FA1" w14:paraId="01F0B13B" w14:textId="77777777" w:rsidTr="00891D8C">
        <w:tc>
          <w:tcPr>
            <w:tcW w:w="4464" w:type="dxa"/>
          </w:tcPr>
          <w:p w14:paraId="5B8E8F56" w14:textId="27013CAF" w:rsidR="00891D8C" w:rsidRPr="00D43FA1" w:rsidRDefault="00891D8C" w:rsidP="00E24BD3">
            <w:pPr>
              <w:pStyle w:val="Text"/>
              <w:tabs>
                <w:tab w:val="left" w:pos="0"/>
              </w:tabs>
              <w:rPr>
                <w:color w:val="000000"/>
                <w:u w:val="single"/>
              </w:rPr>
            </w:pPr>
            <w:r>
              <w:t>Enkratni materialni stroški:</w:t>
            </w:r>
          </w:p>
        </w:tc>
        <w:tc>
          <w:tcPr>
            <w:tcW w:w="4465" w:type="dxa"/>
          </w:tcPr>
          <w:p w14:paraId="071DBD33" w14:textId="77777777" w:rsidR="00891D8C" w:rsidRPr="00D43FA1" w:rsidRDefault="00891D8C" w:rsidP="00CB2B7C">
            <w:pPr>
              <w:pStyle w:val="Text"/>
              <w:tabs>
                <w:tab w:val="left" w:pos="0"/>
              </w:tabs>
              <w:jc w:val="left"/>
            </w:pPr>
            <w:r>
              <w:t>230 000 EUR (nabava naprav)</w:t>
            </w:r>
          </w:p>
          <w:p w14:paraId="1AEFF0AC" w14:textId="77777777" w:rsidR="00891D8C" w:rsidRPr="00D43FA1" w:rsidRDefault="00891D8C" w:rsidP="00CB2B7C">
            <w:pPr>
              <w:pStyle w:val="Text"/>
              <w:tabs>
                <w:tab w:val="left" w:pos="0"/>
              </w:tabs>
              <w:jc w:val="left"/>
              <w:rPr>
                <w:color w:val="000000"/>
                <w:u w:val="single"/>
              </w:rPr>
            </w:pPr>
          </w:p>
        </w:tc>
      </w:tr>
      <w:tr w:rsidR="00891D8C" w:rsidRPr="00D43FA1" w14:paraId="5A54C1C3" w14:textId="77777777" w:rsidTr="00891D8C">
        <w:tc>
          <w:tcPr>
            <w:tcW w:w="4464" w:type="dxa"/>
          </w:tcPr>
          <w:p w14:paraId="09CBE780" w14:textId="77777777" w:rsidR="00891D8C" w:rsidRPr="00D43FA1" w:rsidRDefault="00891D8C" w:rsidP="00891D8C">
            <w:pPr>
              <w:pStyle w:val="Text"/>
              <w:tabs>
                <w:tab w:val="left" w:pos="0"/>
              </w:tabs>
              <w:rPr>
                <w:color w:val="000000"/>
                <w:u w:val="single"/>
              </w:rPr>
            </w:pPr>
            <w:r>
              <w:t>Enkratni stroški za osebje:</w:t>
            </w:r>
          </w:p>
        </w:tc>
        <w:tc>
          <w:tcPr>
            <w:tcW w:w="4465" w:type="dxa"/>
          </w:tcPr>
          <w:p w14:paraId="6E7CBC6B" w14:textId="5D31A819" w:rsidR="00891D8C" w:rsidRPr="00D43FA1" w:rsidRDefault="00891D8C" w:rsidP="00CB2B7C">
            <w:pPr>
              <w:pStyle w:val="Text"/>
              <w:jc w:val="left"/>
              <w:rPr>
                <w:color w:val="000000"/>
                <w:u w:val="single"/>
              </w:rPr>
            </w:pPr>
            <w:r>
              <w:t>83 000 EUR (0,5 ekvivalenta zaposlitve za polni delovni čas, plačna lestvica Ü13, in 1,0 ekvivalenta zaposlitve za polni delovni čas, plačna lestvica 6, v fazi seznanja z zadevnimi analiznimi napravami in za uporabo metode)</w:t>
            </w:r>
          </w:p>
          <w:p w14:paraId="42553811" w14:textId="77777777" w:rsidR="00891D8C" w:rsidRPr="00D43FA1" w:rsidRDefault="00891D8C" w:rsidP="00CB2B7C">
            <w:pPr>
              <w:pStyle w:val="Text"/>
              <w:tabs>
                <w:tab w:val="left" w:pos="0"/>
              </w:tabs>
              <w:jc w:val="left"/>
              <w:rPr>
                <w:color w:val="000000"/>
                <w:u w:val="single"/>
              </w:rPr>
            </w:pPr>
          </w:p>
        </w:tc>
      </w:tr>
      <w:tr w:rsidR="00891D8C" w:rsidRPr="00D43FA1" w14:paraId="407BBBD1" w14:textId="77777777" w:rsidTr="00891D8C">
        <w:tc>
          <w:tcPr>
            <w:tcW w:w="4464" w:type="dxa"/>
          </w:tcPr>
          <w:p w14:paraId="009A2AAA" w14:textId="77777777" w:rsidR="00891D8C" w:rsidRPr="00D43FA1" w:rsidRDefault="00891D8C" w:rsidP="00891D8C">
            <w:pPr>
              <w:pStyle w:val="Text"/>
              <w:tabs>
                <w:tab w:val="left" w:pos="0"/>
              </w:tabs>
              <w:rPr>
                <w:color w:val="000000"/>
                <w:u w:val="single"/>
              </w:rPr>
            </w:pPr>
            <w:r>
              <w:t xml:space="preserve">Letni materialni stroški: </w:t>
            </w:r>
          </w:p>
        </w:tc>
        <w:tc>
          <w:tcPr>
            <w:tcW w:w="4465" w:type="dxa"/>
          </w:tcPr>
          <w:p w14:paraId="3563608C" w14:textId="77777777" w:rsidR="00891D8C" w:rsidRPr="00D43FA1" w:rsidRDefault="00891D8C" w:rsidP="00CB2B7C">
            <w:pPr>
              <w:pStyle w:val="Text"/>
              <w:tabs>
                <w:tab w:val="left" w:pos="0"/>
              </w:tabs>
              <w:jc w:val="left"/>
              <w:rPr>
                <w:color w:val="000000"/>
                <w:u w:val="single"/>
              </w:rPr>
            </w:pPr>
            <w:r>
              <w:t>pribl. 6 000 do 8 000 EUR (vzdrževanje naprav, potrošni material, popravila)</w:t>
            </w:r>
          </w:p>
        </w:tc>
      </w:tr>
      <w:tr w:rsidR="00891D8C" w:rsidRPr="00D43FA1" w14:paraId="32B3A7A2" w14:textId="77777777" w:rsidTr="00891D8C">
        <w:tc>
          <w:tcPr>
            <w:tcW w:w="4464" w:type="dxa"/>
          </w:tcPr>
          <w:p w14:paraId="65E127E0" w14:textId="77777777" w:rsidR="00891D8C" w:rsidRPr="00D43FA1" w:rsidRDefault="00891D8C" w:rsidP="00891D8C">
            <w:pPr>
              <w:pStyle w:val="Text"/>
              <w:tabs>
                <w:tab w:val="left" w:pos="0"/>
              </w:tabs>
              <w:rPr>
                <w:color w:val="000000"/>
                <w:u w:val="single"/>
              </w:rPr>
            </w:pPr>
            <w:r>
              <w:t xml:space="preserve">Letni stroški za osebje: </w:t>
            </w:r>
          </w:p>
        </w:tc>
        <w:tc>
          <w:tcPr>
            <w:tcW w:w="4465" w:type="dxa"/>
          </w:tcPr>
          <w:p w14:paraId="09C3AC3F" w14:textId="550AAE42" w:rsidR="00891D8C" w:rsidRPr="00D43FA1" w:rsidRDefault="00891D8C" w:rsidP="00CB2B7C">
            <w:pPr>
              <w:pStyle w:val="Text"/>
              <w:tabs>
                <w:tab w:val="left" w:pos="0"/>
              </w:tabs>
              <w:jc w:val="left"/>
              <w:rPr>
                <w:color w:val="000000"/>
                <w:u w:val="single"/>
              </w:rPr>
            </w:pPr>
            <w:r>
              <w:t>pribl. 90 000 EUR (2,0 ekvivalenta zaposlitve za polni delovni čas, plačna lestvica 6, v rutinski dejavnosti)</w:t>
            </w:r>
          </w:p>
        </w:tc>
      </w:tr>
    </w:tbl>
    <w:p w14:paraId="01533E4B" w14:textId="093896D0" w:rsidR="007C7B00" w:rsidRPr="00D43FA1" w:rsidRDefault="007C7B00" w:rsidP="00891D8C">
      <w:pPr>
        <w:pStyle w:val="Text"/>
        <w:spacing w:before="0" w:after="0"/>
        <w:ind w:left="2694" w:hanging="2694"/>
      </w:pPr>
    </w:p>
    <w:p w14:paraId="00EEF1D6" w14:textId="77777777" w:rsidR="00D43FA1" w:rsidRDefault="00042625" w:rsidP="00E24BD3">
      <w:pPr>
        <w:pStyle w:val="Text"/>
        <w:spacing w:before="0" w:after="0"/>
      </w:pPr>
      <w:r>
        <w:rPr>
          <w:color w:val="000000"/>
          <w:u w:val="single"/>
        </w:rPr>
        <w:t>Saška-Anhalt</w:t>
      </w:r>
      <w:r>
        <w:rPr>
          <w:color w:val="000000"/>
        </w:rPr>
        <w:t xml:space="preserve"> </w:t>
      </w:r>
      <w:r>
        <w:t>doslej še ni mogla oceniti nastalih enkratnih in ponavljajočih se stroškov.</w:t>
      </w:r>
    </w:p>
    <w:p w14:paraId="3F91406B" w14:textId="494897A8" w:rsidR="00977AB9" w:rsidRPr="00D43FA1" w:rsidRDefault="00042625" w:rsidP="00E24BD3">
      <w:pPr>
        <w:pStyle w:val="Text"/>
        <w:spacing w:before="0" w:after="0"/>
      </w:pPr>
      <w:r>
        <w:t xml:space="preserve"> </w:t>
      </w:r>
    </w:p>
    <w:p w14:paraId="2291BC65" w14:textId="0F1CA2AE" w:rsidR="00042625" w:rsidRDefault="00042625" w:rsidP="00E24BD3">
      <w:pPr>
        <w:pStyle w:val="Text"/>
        <w:spacing w:before="0" w:after="0"/>
        <w:rPr>
          <w:color w:val="000000"/>
        </w:rPr>
      </w:pPr>
      <w:r>
        <w:rPr>
          <w:color w:val="000000"/>
          <w:u w:val="single"/>
        </w:rPr>
        <w:t>Turingija</w:t>
      </w:r>
      <w:r>
        <w:rPr>
          <w:color w:val="000000"/>
        </w:rPr>
        <w:t xml:space="preserve"> je sporočila, da so verjetni nezanemarljivi enkratni stroški. Vendar natančna navedba stroškov za Turingijo v tej fazi ni mogoča. </w:t>
      </w:r>
    </w:p>
    <w:p w14:paraId="5899A39C" w14:textId="77777777" w:rsidR="00D43FA1" w:rsidRPr="00D43FA1" w:rsidRDefault="00D43FA1" w:rsidP="00E24BD3">
      <w:pPr>
        <w:pStyle w:val="Text"/>
        <w:spacing w:before="0" w:after="0"/>
        <w:rPr>
          <w:color w:val="000000"/>
          <w:u w:val="single"/>
        </w:rPr>
      </w:pPr>
    </w:p>
    <w:p w14:paraId="4BF540BD" w14:textId="77777777" w:rsidR="00D25113" w:rsidRPr="00D43FA1" w:rsidRDefault="00D25113" w:rsidP="0070360F">
      <w:pPr>
        <w:pStyle w:val="Text"/>
        <w:keepNext/>
        <w:keepLines/>
        <w:rPr>
          <w:u w:val="single"/>
        </w:rPr>
      </w:pPr>
      <w:r>
        <w:rPr>
          <w:u w:val="single"/>
        </w:rPr>
        <w:t>b) Stroški izpolnjevanja obveznosti za gospodarstvo</w:t>
      </w:r>
    </w:p>
    <w:p w14:paraId="1AC16888" w14:textId="77EE23E8" w:rsidR="00755B7A" w:rsidRPr="00D43FA1" w:rsidRDefault="004D5050" w:rsidP="007C7B00">
      <w:pPr>
        <w:pStyle w:val="Text"/>
      </w:pPr>
      <w:r>
        <w:t>V zvezi s stroški izpolnjevanja obveznosti za gospodarstvo nastanejo dodatni stroški zaradi uredbe zlasti za srednje velika podjetja. Ker je problem obremenitve živil s sestavinami iz mineralnih olj iz potrošniškega blaga, namenjenega za stik z živili, že dlje časa znan, so bile številne vrste embalaže že spremenjene, npr. z vmesnimi vrečkami, premazi ali svežimi vlakni, ki se uporabljajo namesto vlaken na osnovi odpadnega papirja. Spremembe bodo zdaj potrebne za omembe vreden delež potrošniškega blaga, namenjenega za stik z živili, če se ne uporablja predvideno izvzetje.</w:t>
      </w:r>
    </w:p>
    <w:p w14:paraId="08D3E308" w14:textId="1DDBEFC9" w:rsidR="0082568F" w:rsidRPr="00D43FA1" w:rsidRDefault="0082568F" w:rsidP="007C7B00">
      <w:pPr>
        <w:pStyle w:val="Text"/>
      </w:pPr>
      <w:r>
        <w:t xml:space="preserve">Predhodna ocena Zveznega statističnega urada je pokazala enkratne stroške izpolnjevanja obveznosti (stroški prehoda) v višini približno 9 280 000 EUR in letne dodatne stroške izpolnjevanja obveznosti v višini približno 8 160 000 EUR. Zvezni statistični urad ocenjuje, da dve predvideni obveznosti obveščanja – pisna ali elektronska izjava v primeru opustitve funkcionalne pregrade v skladu z oddelkom 6a(3) ter obveznost dokazila glede izključitve prehajanja MOAH v skladu z oddelkom 6a(5) – povzročita samo manjše stroške. </w:t>
      </w:r>
    </w:p>
    <w:p w14:paraId="43B9512B" w14:textId="198ABF46" w:rsidR="006B7BFE" w:rsidRPr="00D43FA1" w:rsidRDefault="006B7BFE" w:rsidP="0070360F">
      <w:pPr>
        <w:pStyle w:val="Text"/>
        <w:keepNext/>
        <w:keepLines/>
      </w:pPr>
      <w:r>
        <w:rPr>
          <w:b/>
        </w:rPr>
        <w:t xml:space="preserve">Preglednica 1: Povzetek stroškov izpolnjevanja obveznosti </w:t>
      </w:r>
    </w:p>
    <w:tbl>
      <w:tblPr>
        <w:tblStyle w:val="TableGrid"/>
        <w:tblW w:w="9171" w:type="dxa"/>
        <w:tblLayout w:type="fixed"/>
        <w:tblLook w:val="04A0" w:firstRow="1" w:lastRow="0" w:firstColumn="1" w:lastColumn="0" w:noHBand="0" w:noVBand="1"/>
      </w:tblPr>
      <w:tblGrid>
        <w:gridCol w:w="1696"/>
        <w:gridCol w:w="3470"/>
        <w:gridCol w:w="1912"/>
        <w:gridCol w:w="2093"/>
      </w:tblGrid>
      <w:tr w:rsidR="0082568F" w:rsidRPr="003A479C" w14:paraId="720AC6FB" w14:textId="77777777" w:rsidTr="003A479C">
        <w:tc>
          <w:tcPr>
            <w:tcW w:w="1696" w:type="dxa"/>
          </w:tcPr>
          <w:p w14:paraId="376BBF5B" w14:textId="77777777" w:rsidR="0082568F" w:rsidRPr="003A479C" w:rsidRDefault="0082568F" w:rsidP="0070360F">
            <w:pPr>
              <w:pStyle w:val="Text"/>
              <w:keepNext/>
              <w:keepLines/>
              <w:jc w:val="center"/>
              <w:rPr>
                <w:b/>
                <w:spacing w:val="-4"/>
              </w:rPr>
            </w:pPr>
            <w:r w:rsidRPr="003A479C">
              <w:rPr>
                <w:b/>
                <w:spacing w:val="-4"/>
              </w:rPr>
              <w:t>Predpis</w:t>
            </w:r>
          </w:p>
        </w:tc>
        <w:tc>
          <w:tcPr>
            <w:tcW w:w="3470" w:type="dxa"/>
          </w:tcPr>
          <w:p w14:paraId="3B98CCA4" w14:textId="7AD89E51" w:rsidR="0082568F" w:rsidRPr="003A479C" w:rsidRDefault="0082568F" w:rsidP="0070360F">
            <w:pPr>
              <w:pStyle w:val="Text"/>
              <w:keepNext/>
              <w:keepLines/>
              <w:jc w:val="center"/>
              <w:rPr>
                <w:b/>
                <w:spacing w:val="-4"/>
              </w:rPr>
            </w:pPr>
            <w:r w:rsidRPr="003A479C">
              <w:rPr>
                <w:b/>
                <w:spacing w:val="-4"/>
              </w:rPr>
              <w:t>Zahteva ali obveznost obveščanja</w:t>
            </w:r>
          </w:p>
        </w:tc>
        <w:tc>
          <w:tcPr>
            <w:tcW w:w="1912" w:type="dxa"/>
          </w:tcPr>
          <w:p w14:paraId="6FEF8D76" w14:textId="77777777" w:rsidR="0082568F" w:rsidRPr="003A479C" w:rsidRDefault="0082568F" w:rsidP="0070360F">
            <w:pPr>
              <w:pStyle w:val="Text"/>
              <w:keepNext/>
              <w:keepLines/>
              <w:jc w:val="center"/>
              <w:rPr>
                <w:b/>
                <w:spacing w:val="-4"/>
              </w:rPr>
            </w:pPr>
            <w:r w:rsidRPr="003A479C">
              <w:rPr>
                <w:b/>
                <w:spacing w:val="-4"/>
              </w:rPr>
              <w:t xml:space="preserve">Saldo letne obremenitve </w:t>
            </w:r>
          </w:p>
        </w:tc>
        <w:tc>
          <w:tcPr>
            <w:tcW w:w="2093" w:type="dxa"/>
          </w:tcPr>
          <w:p w14:paraId="5412D88F" w14:textId="77777777" w:rsidR="0082568F" w:rsidRPr="003A479C" w:rsidRDefault="00295A54" w:rsidP="0070360F">
            <w:pPr>
              <w:pStyle w:val="Text"/>
              <w:keepNext/>
              <w:keepLines/>
              <w:jc w:val="center"/>
              <w:rPr>
                <w:b/>
                <w:spacing w:val="-4"/>
              </w:rPr>
            </w:pPr>
            <w:r w:rsidRPr="003A479C">
              <w:rPr>
                <w:b/>
                <w:spacing w:val="-4"/>
              </w:rPr>
              <w:t xml:space="preserve">Enkratni stroški prehoda </w:t>
            </w:r>
          </w:p>
        </w:tc>
      </w:tr>
      <w:tr w:rsidR="0082568F" w:rsidRPr="003A479C" w14:paraId="28659270" w14:textId="77777777" w:rsidTr="003A479C">
        <w:tc>
          <w:tcPr>
            <w:tcW w:w="1696" w:type="dxa"/>
          </w:tcPr>
          <w:p w14:paraId="22806DA4" w14:textId="716674E8" w:rsidR="0082568F" w:rsidRPr="003A479C" w:rsidRDefault="0082568F" w:rsidP="00E24BD3">
            <w:pPr>
              <w:pStyle w:val="Text"/>
              <w:jc w:val="left"/>
              <w:rPr>
                <w:spacing w:val="-4"/>
              </w:rPr>
            </w:pPr>
            <w:r w:rsidRPr="003A479C">
              <w:rPr>
                <w:spacing w:val="-4"/>
              </w:rPr>
              <w:t>Oddelek 6a(1) in (4)</w:t>
            </w:r>
          </w:p>
        </w:tc>
        <w:tc>
          <w:tcPr>
            <w:tcW w:w="3470" w:type="dxa"/>
          </w:tcPr>
          <w:p w14:paraId="33FAFA21" w14:textId="77777777" w:rsidR="0082568F" w:rsidRPr="003A479C" w:rsidRDefault="0082568F" w:rsidP="00295A54">
            <w:pPr>
              <w:pStyle w:val="Text"/>
              <w:jc w:val="left"/>
              <w:rPr>
                <w:spacing w:val="-4"/>
              </w:rPr>
            </w:pPr>
            <w:r w:rsidRPr="003A479C">
              <w:rPr>
                <w:spacing w:val="-4"/>
              </w:rPr>
              <w:t>Funkcionalna pregrada za potrošniško blago, namenjeno za stik z živili, iz vlaken odpadnega papirja</w:t>
            </w:r>
          </w:p>
        </w:tc>
        <w:tc>
          <w:tcPr>
            <w:tcW w:w="1912" w:type="dxa"/>
          </w:tcPr>
          <w:p w14:paraId="3E5A9DC1" w14:textId="77777777" w:rsidR="0082568F" w:rsidRPr="003A479C" w:rsidRDefault="000F6183" w:rsidP="00295A54">
            <w:pPr>
              <w:pStyle w:val="Text"/>
              <w:jc w:val="left"/>
              <w:rPr>
                <w:spacing w:val="-4"/>
              </w:rPr>
            </w:pPr>
            <w:r w:rsidRPr="003A479C">
              <w:rPr>
                <w:spacing w:val="-4"/>
              </w:rPr>
              <w:t xml:space="preserve"> 8 160 000 EUR</w:t>
            </w:r>
          </w:p>
        </w:tc>
        <w:tc>
          <w:tcPr>
            <w:tcW w:w="2093" w:type="dxa"/>
          </w:tcPr>
          <w:p w14:paraId="3562BFD1" w14:textId="77777777" w:rsidR="0082568F" w:rsidRPr="003A479C" w:rsidRDefault="000F6183" w:rsidP="00295A54">
            <w:pPr>
              <w:pStyle w:val="Text"/>
              <w:jc w:val="left"/>
              <w:rPr>
                <w:spacing w:val="-4"/>
              </w:rPr>
            </w:pPr>
            <w:r w:rsidRPr="003A479C">
              <w:rPr>
                <w:spacing w:val="-4"/>
              </w:rPr>
              <w:t>9 280 000 EUR</w:t>
            </w:r>
          </w:p>
        </w:tc>
      </w:tr>
      <w:tr w:rsidR="0082568F" w:rsidRPr="003A479C" w14:paraId="0106BED3" w14:textId="77777777" w:rsidTr="003A479C">
        <w:tc>
          <w:tcPr>
            <w:tcW w:w="1696" w:type="dxa"/>
          </w:tcPr>
          <w:p w14:paraId="5BAFA089" w14:textId="4742C149" w:rsidR="0082568F" w:rsidRPr="003A479C" w:rsidRDefault="0082568F" w:rsidP="00E24BD3">
            <w:pPr>
              <w:pStyle w:val="Text"/>
              <w:jc w:val="left"/>
              <w:rPr>
                <w:spacing w:val="-4"/>
              </w:rPr>
            </w:pPr>
            <w:r w:rsidRPr="003A479C">
              <w:rPr>
                <w:spacing w:val="-4"/>
              </w:rPr>
              <w:lastRenderedPageBreak/>
              <w:t>Oddelek 6a(3)</w:t>
            </w:r>
          </w:p>
        </w:tc>
        <w:tc>
          <w:tcPr>
            <w:tcW w:w="3470" w:type="dxa"/>
          </w:tcPr>
          <w:p w14:paraId="7BAE9D67" w14:textId="77777777" w:rsidR="0082568F" w:rsidRPr="003A479C" w:rsidRDefault="0082568F" w:rsidP="00295A54">
            <w:pPr>
              <w:pStyle w:val="Text"/>
              <w:jc w:val="left"/>
              <w:rPr>
                <w:spacing w:val="-4"/>
              </w:rPr>
            </w:pPr>
            <w:r w:rsidRPr="003A479C">
              <w:rPr>
                <w:spacing w:val="-4"/>
              </w:rPr>
              <w:t>Pisna ali elektronska izjava o opustitvi funkcionalne pregrade</w:t>
            </w:r>
          </w:p>
        </w:tc>
        <w:tc>
          <w:tcPr>
            <w:tcW w:w="1912" w:type="dxa"/>
          </w:tcPr>
          <w:p w14:paraId="74D97F5C" w14:textId="77777777" w:rsidR="0082568F" w:rsidRPr="003A479C" w:rsidRDefault="0082568F" w:rsidP="00295A54">
            <w:pPr>
              <w:pStyle w:val="Text"/>
              <w:jc w:val="left"/>
              <w:rPr>
                <w:spacing w:val="-4"/>
              </w:rPr>
            </w:pPr>
            <w:r w:rsidRPr="003A479C">
              <w:rPr>
                <w:spacing w:val="-4"/>
              </w:rPr>
              <w:t>Manjši dodatni stroški</w:t>
            </w:r>
          </w:p>
        </w:tc>
        <w:tc>
          <w:tcPr>
            <w:tcW w:w="2093" w:type="dxa"/>
          </w:tcPr>
          <w:p w14:paraId="56F7F1DE" w14:textId="77777777" w:rsidR="0082568F" w:rsidRPr="003A479C" w:rsidRDefault="0082568F" w:rsidP="00295A54">
            <w:pPr>
              <w:pStyle w:val="Text"/>
              <w:jc w:val="left"/>
              <w:rPr>
                <w:spacing w:val="-4"/>
              </w:rPr>
            </w:pPr>
            <w:r w:rsidRPr="003A479C">
              <w:rPr>
                <w:spacing w:val="-4"/>
              </w:rPr>
              <w:t>–</w:t>
            </w:r>
          </w:p>
        </w:tc>
      </w:tr>
      <w:tr w:rsidR="0082568F" w:rsidRPr="003A479C" w14:paraId="3E200EA4" w14:textId="77777777" w:rsidTr="003A479C">
        <w:tc>
          <w:tcPr>
            <w:tcW w:w="1696" w:type="dxa"/>
          </w:tcPr>
          <w:p w14:paraId="7AD34AB6" w14:textId="35933DBF" w:rsidR="0082568F" w:rsidRPr="003A479C" w:rsidRDefault="0082568F" w:rsidP="00E24BD3">
            <w:pPr>
              <w:pStyle w:val="Text"/>
              <w:jc w:val="left"/>
              <w:rPr>
                <w:spacing w:val="-4"/>
              </w:rPr>
            </w:pPr>
            <w:r w:rsidRPr="003A479C">
              <w:rPr>
                <w:spacing w:val="-4"/>
              </w:rPr>
              <w:t>Oddelek 6a(5)</w:t>
            </w:r>
          </w:p>
        </w:tc>
        <w:tc>
          <w:tcPr>
            <w:tcW w:w="3470" w:type="dxa"/>
          </w:tcPr>
          <w:p w14:paraId="16E632D0" w14:textId="6A942E5C" w:rsidR="0082568F" w:rsidRPr="003A479C" w:rsidRDefault="0082568F" w:rsidP="00295A54">
            <w:pPr>
              <w:pStyle w:val="Text"/>
              <w:jc w:val="left"/>
              <w:rPr>
                <w:spacing w:val="-4"/>
              </w:rPr>
            </w:pPr>
            <w:r w:rsidRPr="003A479C">
              <w:rPr>
                <w:spacing w:val="-4"/>
              </w:rPr>
              <w:t>Obveznost dokazila o izključitvi prehajanja MOAH v skladu z oddelkom 6a(1), (2) in (4)</w:t>
            </w:r>
          </w:p>
        </w:tc>
        <w:tc>
          <w:tcPr>
            <w:tcW w:w="1912" w:type="dxa"/>
          </w:tcPr>
          <w:p w14:paraId="18381CF9" w14:textId="77777777" w:rsidR="0082568F" w:rsidRPr="003A479C" w:rsidRDefault="0082568F" w:rsidP="00295A54">
            <w:pPr>
              <w:pStyle w:val="Text"/>
              <w:jc w:val="left"/>
              <w:rPr>
                <w:spacing w:val="-4"/>
              </w:rPr>
            </w:pPr>
            <w:r w:rsidRPr="003A479C">
              <w:rPr>
                <w:spacing w:val="-4"/>
              </w:rPr>
              <w:t>Manjši dodatni stroški</w:t>
            </w:r>
          </w:p>
        </w:tc>
        <w:tc>
          <w:tcPr>
            <w:tcW w:w="2093" w:type="dxa"/>
          </w:tcPr>
          <w:p w14:paraId="3BBC33E8" w14:textId="77777777" w:rsidR="0082568F" w:rsidRPr="003A479C" w:rsidRDefault="0082568F" w:rsidP="00295A54">
            <w:pPr>
              <w:pStyle w:val="Text"/>
              <w:jc w:val="left"/>
              <w:rPr>
                <w:spacing w:val="-4"/>
              </w:rPr>
            </w:pPr>
            <w:r w:rsidRPr="003A479C">
              <w:rPr>
                <w:spacing w:val="-4"/>
              </w:rPr>
              <w:t>–</w:t>
            </w:r>
          </w:p>
        </w:tc>
      </w:tr>
      <w:tr w:rsidR="0082568F" w:rsidRPr="003A479C" w14:paraId="2CE5F889" w14:textId="77777777" w:rsidTr="003A479C">
        <w:tc>
          <w:tcPr>
            <w:tcW w:w="1696" w:type="dxa"/>
            <w:shd w:val="clear" w:color="auto" w:fill="D9D9D9" w:themeFill="background1" w:themeFillShade="D9"/>
          </w:tcPr>
          <w:p w14:paraId="6EDE8EBB" w14:textId="77777777" w:rsidR="0082568F" w:rsidRPr="003A479C" w:rsidRDefault="0082568F" w:rsidP="00295A54">
            <w:pPr>
              <w:pStyle w:val="Text"/>
              <w:jc w:val="left"/>
              <w:rPr>
                <w:b/>
                <w:spacing w:val="-4"/>
              </w:rPr>
            </w:pPr>
          </w:p>
        </w:tc>
        <w:tc>
          <w:tcPr>
            <w:tcW w:w="3470" w:type="dxa"/>
            <w:shd w:val="clear" w:color="auto" w:fill="D9D9D9" w:themeFill="background1" w:themeFillShade="D9"/>
          </w:tcPr>
          <w:p w14:paraId="6B167E03" w14:textId="77777777" w:rsidR="0082568F" w:rsidRPr="003A479C" w:rsidRDefault="0082568F" w:rsidP="00295A54">
            <w:pPr>
              <w:pStyle w:val="Text"/>
              <w:jc w:val="left"/>
              <w:rPr>
                <w:b/>
                <w:spacing w:val="-4"/>
              </w:rPr>
            </w:pPr>
            <w:r w:rsidRPr="003A479C">
              <w:rPr>
                <w:b/>
                <w:spacing w:val="-4"/>
              </w:rPr>
              <w:t xml:space="preserve">Skupaj </w:t>
            </w:r>
          </w:p>
        </w:tc>
        <w:tc>
          <w:tcPr>
            <w:tcW w:w="1912" w:type="dxa"/>
            <w:shd w:val="clear" w:color="auto" w:fill="D9D9D9" w:themeFill="background1" w:themeFillShade="D9"/>
          </w:tcPr>
          <w:p w14:paraId="58ED3073" w14:textId="77777777" w:rsidR="0082568F" w:rsidRPr="003A479C" w:rsidRDefault="00AD0A9D" w:rsidP="00295A54">
            <w:pPr>
              <w:pStyle w:val="Text"/>
              <w:jc w:val="left"/>
              <w:rPr>
                <w:b/>
                <w:spacing w:val="-4"/>
              </w:rPr>
            </w:pPr>
            <w:r w:rsidRPr="003A479C">
              <w:rPr>
                <w:b/>
                <w:spacing w:val="-4"/>
              </w:rPr>
              <w:t xml:space="preserve"> 8 160 000 EUR</w:t>
            </w:r>
          </w:p>
        </w:tc>
        <w:tc>
          <w:tcPr>
            <w:tcW w:w="2093" w:type="dxa"/>
            <w:shd w:val="clear" w:color="auto" w:fill="D9D9D9" w:themeFill="background1" w:themeFillShade="D9"/>
          </w:tcPr>
          <w:p w14:paraId="1E689341" w14:textId="77777777" w:rsidR="0082568F" w:rsidRPr="003A479C" w:rsidRDefault="000F6183" w:rsidP="00295A54">
            <w:pPr>
              <w:pStyle w:val="Text"/>
              <w:jc w:val="left"/>
              <w:rPr>
                <w:b/>
                <w:spacing w:val="-4"/>
              </w:rPr>
            </w:pPr>
            <w:r w:rsidRPr="003A479C">
              <w:rPr>
                <w:b/>
                <w:spacing w:val="-4"/>
              </w:rPr>
              <w:t>9 280 000 EUR</w:t>
            </w:r>
          </w:p>
        </w:tc>
      </w:tr>
    </w:tbl>
    <w:p w14:paraId="0D7C6408" w14:textId="77777777" w:rsidR="006B7BFE" w:rsidRPr="00D43FA1" w:rsidRDefault="006B7BFE" w:rsidP="00612652">
      <w:pPr>
        <w:pStyle w:val="Text"/>
      </w:pPr>
    </w:p>
    <w:p w14:paraId="78164C96" w14:textId="51C36CAB" w:rsidR="009140F6" w:rsidRPr="00D43FA1" w:rsidRDefault="0082568F" w:rsidP="0070360F">
      <w:pPr>
        <w:pStyle w:val="Text"/>
        <w:keepNext/>
        <w:keepLines/>
        <w:tabs>
          <w:tab w:val="left" w:pos="0"/>
        </w:tabs>
      </w:pPr>
      <w:r>
        <w:t>Rezultat predhodne ocene temelji na naslednjih načelih:</w:t>
      </w:r>
    </w:p>
    <w:p w14:paraId="0A8513DA" w14:textId="512CAF84" w:rsidR="006B7BFE" w:rsidRPr="00D43FA1" w:rsidRDefault="006B7BFE" w:rsidP="0070360F">
      <w:pPr>
        <w:pStyle w:val="Text"/>
        <w:keepNext/>
        <w:keepLines/>
        <w:tabs>
          <w:tab w:val="left" w:pos="0"/>
        </w:tabs>
      </w:pPr>
      <w:r>
        <w:t xml:space="preserve">predhodna ocena se nanaša na dve obveznosti obveščanja ter na dodatno zahtevo za gospodarstvo, ki izhajajo iz novega oddelka 6a Uredbe o potrošniškem blagu: </w:t>
      </w:r>
    </w:p>
    <w:p w14:paraId="2E574154" w14:textId="12019186" w:rsidR="006B7BFE" w:rsidRPr="00D43FA1" w:rsidRDefault="006B7BFE" w:rsidP="0070360F">
      <w:pPr>
        <w:pStyle w:val="Text"/>
        <w:keepNext/>
        <w:keepLines/>
        <w:numPr>
          <w:ilvl w:val="0"/>
          <w:numId w:val="2"/>
        </w:numPr>
        <w:ind w:left="0" w:firstLine="0"/>
      </w:pPr>
      <w:r>
        <w:t xml:space="preserve">potrošniško blago, namenjeno za stik z živili, na osnovi odpadnega papirja se lahko proizvaja in daje na trg samo s funkcionalno pregrado (odstavek 1(1); odstavek 4). Izvzetja od te določbe se uporabljajo, če </w:t>
      </w:r>
    </w:p>
    <w:p w14:paraId="6471F0A8" w14:textId="05F69A84" w:rsidR="006B7BFE" w:rsidRPr="00D43FA1" w:rsidRDefault="000F1682" w:rsidP="00557D18">
      <w:pPr>
        <w:pStyle w:val="Text"/>
        <w:numPr>
          <w:ilvl w:val="0"/>
          <w:numId w:val="4"/>
        </w:numPr>
        <w:ind w:left="1134" w:hanging="425"/>
      </w:pPr>
      <w:r>
        <w:t>je prisotna zlasti tako majhna vsebnost MOAH v potrošniškem blagu, namenjenem za stik z živili, da ne pride do prehajanja v živila (odstavek 2(1));</w:t>
      </w:r>
    </w:p>
    <w:p w14:paraId="022A3F44" w14:textId="0CE0E74A" w:rsidR="006B7BFE" w:rsidRPr="00D43FA1" w:rsidRDefault="006B7BFE" w:rsidP="00557D18">
      <w:pPr>
        <w:pStyle w:val="Text"/>
        <w:numPr>
          <w:ilvl w:val="0"/>
          <w:numId w:val="4"/>
        </w:numPr>
        <w:ind w:left="1134" w:hanging="425"/>
      </w:pPr>
      <w:r>
        <w:t>so bili sprejeti drugi ustrezni ukrepi, ki preprečujejo prehajanje MOAH v živila (odstavek 2(2)).</w:t>
      </w:r>
    </w:p>
    <w:p w14:paraId="29C9CC33" w14:textId="2B15AA45" w:rsidR="006B7BFE" w:rsidRPr="00D43FA1" w:rsidRDefault="006B7BFE" w:rsidP="00557D18">
      <w:pPr>
        <w:pStyle w:val="Text"/>
        <w:numPr>
          <w:ilvl w:val="0"/>
          <w:numId w:val="3"/>
        </w:numPr>
        <w:ind w:left="0" w:firstLine="0"/>
      </w:pPr>
      <w:r>
        <w:t xml:space="preserve">Če nosilec živilske dejavnosti sam namesti funkcionalno pregrado (vmesna vrečka ali podobno) ali sprejme druge ukrepe za zaščito pred prehajanjem MOAH v živila ter zato proizvajalec ali dobavitelj potrošniškega blaga, namenjenega za stik z živili, ne namesti funkcionalne pregrade, mora nosilec živilske dejavnosti pred dobavo potrošniškega blaga, namenjenega za stik z živili, proizvajalcu ali dobavitelju potrošniškega blaga, namenjenega za stik z živili, podati pisno ali elektronsko izjavo (odstavek 3). </w:t>
      </w:r>
    </w:p>
    <w:p w14:paraId="3DAB98B9" w14:textId="7931EF3B" w:rsidR="006B7BFE" w:rsidRPr="00D43FA1" w:rsidRDefault="006B7BFE" w:rsidP="0070360F">
      <w:pPr>
        <w:pStyle w:val="Text"/>
        <w:keepNext/>
        <w:keepLines/>
        <w:numPr>
          <w:ilvl w:val="0"/>
          <w:numId w:val="3"/>
        </w:numPr>
        <w:ind w:left="709" w:hanging="709"/>
      </w:pPr>
      <w:r>
        <w:t xml:space="preserve">Obveznost dokazila glede izključitve prehajanja MOAH (odstavek 5). </w:t>
      </w:r>
    </w:p>
    <w:p w14:paraId="7B0EB3AA" w14:textId="545C0955" w:rsidR="006B7BFE" w:rsidRPr="00D43FA1" w:rsidRDefault="000447FD" w:rsidP="009140F6">
      <w:pPr>
        <w:pStyle w:val="Text"/>
      </w:pPr>
      <w:r>
        <w:t>Predložena ocena je pripravljena na podlagi „Priročnika za določitev in predstavitev stroškov izpolnjevanja obveznosti v načrtovanih ureditvah zvezne vlade“</w:t>
      </w:r>
      <w:r w:rsidR="006B7BFE" w:rsidRPr="00D43FA1">
        <w:rPr>
          <w:rStyle w:val="FootnoteReference"/>
        </w:rPr>
        <w:footnoteReference w:id="2"/>
      </w:r>
      <w:r>
        <w:t xml:space="preserve">. Podjetja in laboratoriji so bili izprašani po telefonu, da bi ocenili število primerov ter porabo časa in materialne stroške. V izračunu primerov so upoštevani uradni statistični podatki. </w:t>
      </w:r>
    </w:p>
    <w:p w14:paraId="7E0F8561" w14:textId="27889D88" w:rsidR="006B7BFE" w:rsidRPr="007E01A6" w:rsidRDefault="006B7BFE" w:rsidP="0070360F">
      <w:pPr>
        <w:pStyle w:val="Text"/>
        <w:keepNext/>
        <w:keepLines/>
        <w:rPr>
          <w:b/>
          <w:bCs/>
          <w:u w:val="single"/>
        </w:rPr>
      </w:pPr>
      <w:r>
        <w:rPr>
          <w:b/>
          <w:u w:val="single"/>
        </w:rPr>
        <w:t>Funkcionalna pregrada za potrošniško blago, namenjeno za stik z živili, v skladu z oddelkom 6a(1) in (4)</w:t>
      </w:r>
    </w:p>
    <w:p w14:paraId="347CC78F" w14:textId="77777777" w:rsidR="006B7BFE" w:rsidRPr="00D43FA1" w:rsidRDefault="006B7BFE" w:rsidP="0070360F">
      <w:pPr>
        <w:pStyle w:val="Text"/>
        <w:keepNext/>
        <w:keepLines/>
      </w:pPr>
      <w:r>
        <w:t xml:space="preserve">a) Enkratni stroški prehoda </w:t>
      </w:r>
    </w:p>
    <w:p w14:paraId="32009364" w14:textId="77777777" w:rsidR="006B7BFE" w:rsidRPr="00D43FA1" w:rsidRDefault="006B7BFE" w:rsidP="009140F6">
      <w:pPr>
        <w:pStyle w:val="Text"/>
      </w:pPr>
      <w:r>
        <w:rPr>
          <w:i/>
        </w:rPr>
        <w:t>Stroški prehoda zajemajo stroške za osebje in materialne stroške za prvi preskus živil in potrošniškega blaga, namenjenega za stik z živili, ter za razvoj, preskušanje in uporabo ustrezne embalaže v skladu z oddelkom 6a</w:t>
      </w:r>
      <w:r>
        <w:t xml:space="preserve">. </w:t>
      </w:r>
    </w:p>
    <w:p w14:paraId="5B232005" w14:textId="77777777" w:rsidR="006B7BFE" w:rsidRPr="00D43FA1" w:rsidRDefault="006B7BFE" w:rsidP="0070360F">
      <w:pPr>
        <w:pStyle w:val="Text"/>
        <w:keepNext/>
        <w:keepLines/>
        <w:numPr>
          <w:ilvl w:val="0"/>
          <w:numId w:val="5"/>
        </w:numPr>
        <w:ind w:left="714" w:hanging="357"/>
        <w:rPr>
          <w:i/>
          <w:iCs/>
          <w:color w:val="000000"/>
        </w:rPr>
      </w:pPr>
      <w:r>
        <w:rPr>
          <w:i/>
          <w:color w:val="000000"/>
        </w:rPr>
        <w:lastRenderedPageBreak/>
        <w:t xml:space="preserve">Število primerov </w:t>
      </w:r>
    </w:p>
    <w:p w14:paraId="6D903E99" w14:textId="054306EA" w:rsidR="006B7BFE" w:rsidRPr="00D43FA1" w:rsidRDefault="006B7BFE" w:rsidP="0070360F">
      <w:pPr>
        <w:pStyle w:val="Text"/>
        <w:keepNext/>
        <w:keepLines/>
        <w:rPr>
          <w:color w:val="000000"/>
        </w:rPr>
      </w:pPr>
      <w:r>
        <w:rPr>
          <w:color w:val="000000"/>
        </w:rPr>
        <w:t>Za izračun števila primerov (= zadevni proizvodi: živila in potrošniško blago, namenjeno za stik z živili) so bili uporabljeni podatki, pridobljeni v razgovorih, in podatki o strukturi stroškov v predelovalni industriji.</w:t>
      </w:r>
      <w:r w:rsidRPr="00D43FA1">
        <w:rPr>
          <w:rStyle w:val="FootnoteReference"/>
          <w:color w:val="000000"/>
        </w:rPr>
        <w:footnoteReference w:id="3"/>
      </w:r>
      <w:r>
        <w:rPr>
          <w:color w:val="000000"/>
          <w:vertAlign w:val="superscript"/>
        </w:rPr>
        <w:t xml:space="preserve"> </w:t>
      </w:r>
      <w:r>
        <w:rPr>
          <w:color w:val="000000"/>
        </w:rPr>
        <w:t xml:space="preserve">Na podlagi opravljenih razgovorov je bilo mogoče pridobiti podatke o številu proizvodov posameznih podjetij. Podatki o prometu podjetij so bili pridobljeni iz javno dostopnih virov. Na podlagi teh vrednosti je bil za pet podjetij določen promet na proizvod, ki v povprečju znaša 2,5 milijona EUR. Podatki o strukturi stroškov zajemajo informacije o številu in prometu podjetij v gospodarskih dejavnostih predelovalne industrije (v skladu s klasifikacijo gospodarskih dejavnosti, izdaja iz leta 2008). Na podlagi informacij iz razgovorov je bilo mogoče določiti sedem prizadetih gospodarskih dejavnosti: </w:t>
      </w:r>
    </w:p>
    <w:p w14:paraId="51BE6B2B" w14:textId="77777777" w:rsidR="006B7BFE" w:rsidRPr="00D43FA1" w:rsidRDefault="006B7BFE" w:rsidP="0070360F">
      <w:pPr>
        <w:pStyle w:val="Text"/>
        <w:keepNext/>
        <w:keepLines/>
        <w:spacing w:before="0" w:after="0"/>
        <w:rPr>
          <w:color w:val="000000"/>
        </w:rPr>
      </w:pPr>
      <w:r>
        <w:rPr>
          <w:color w:val="000000"/>
        </w:rPr>
        <w:t xml:space="preserve">Proizvodnja </w:t>
      </w:r>
    </w:p>
    <w:p w14:paraId="11222691" w14:textId="77777777" w:rsidR="006B7BFE" w:rsidRPr="00D43FA1" w:rsidRDefault="006B7BFE" w:rsidP="009140F6">
      <w:pPr>
        <w:pStyle w:val="Text"/>
        <w:spacing w:before="0" w:after="0"/>
        <w:rPr>
          <w:color w:val="000000"/>
        </w:rPr>
      </w:pPr>
      <w:r>
        <w:rPr>
          <w:color w:val="000000"/>
        </w:rPr>
        <w:t xml:space="preserve">• škroba in škrobnih izdelkov, </w:t>
      </w:r>
    </w:p>
    <w:p w14:paraId="662E4943" w14:textId="77777777" w:rsidR="006B7BFE" w:rsidRPr="00D43FA1" w:rsidRDefault="006B7BFE" w:rsidP="009140F6">
      <w:pPr>
        <w:pStyle w:val="Text"/>
        <w:spacing w:before="0" w:after="0"/>
        <w:rPr>
          <w:color w:val="000000"/>
        </w:rPr>
      </w:pPr>
      <w:r>
        <w:rPr>
          <w:color w:val="000000"/>
        </w:rPr>
        <w:t xml:space="preserve">• trajnih pekovskih proizvodov, </w:t>
      </w:r>
    </w:p>
    <w:p w14:paraId="18BD7F36" w14:textId="77777777" w:rsidR="006B7BFE" w:rsidRPr="00D43FA1" w:rsidRDefault="006B7BFE" w:rsidP="009140F6">
      <w:pPr>
        <w:pStyle w:val="Text"/>
        <w:spacing w:before="0" w:after="0"/>
        <w:rPr>
          <w:color w:val="000000"/>
        </w:rPr>
      </w:pPr>
      <w:r>
        <w:rPr>
          <w:color w:val="000000"/>
        </w:rPr>
        <w:t xml:space="preserve">• testenin, </w:t>
      </w:r>
    </w:p>
    <w:p w14:paraId="38C5F55D" w14:textId="77777777" w:rsidR="006B7BFE" w:rsidRPr="00D43FA1" w:rsidRDefault="006B7BFE" w:rsidP="009140F6">
      <w:pPr>
        <w:pStyle w:val="Text"/>
        <w:spacing w:before="0" w:after="0"/>
        <w:rPr>
          <w:color w:val="000000"/>
        </w:rPr>
      </w:pPr>
      <w:r>
        <w:rPr>
          <w:color w:val="000000"/>
        </w:rPr>
        <w:t xml:space="preserve">• slaščic, </w:t>
      </w:r>
    </w:p>
    <w:p w14:paraId="1D62B3D9" w14:textId="77777777" w:rsidR="006B7BFE" w:rsidRPr="00D43FA1" w:rsidRDefault="006B7BFE" w:rsidP="009140F6">
      <w:pPr>
        <w:pStyle w:val="Text"/>
        <w:spacing w:before="0" w:after="0"/>
        <w:rPr>
          <w:color w:val="000000"/>
        </w:rPr>
      </w:pPr>
      <w:r>
        <w:rPr>
          <w:color w:val="000000"/>
        </w:rPr>
        <w:t xml:space="preserve">• kave/čaja, </w:t>
      </w:r>
    </w:p>
    <w:p w14:paraId="6E9A551C" w14:textId="77777777" w:rsidR="006B7BFE" w:rsidRPr="00D43FA1" w:rsidRDefault="006B7BFE" w:rsidP="009140F6">
      <w:pPr>
        <w:pStyle w:val="Text"/>
        <w:spacing w:before="0" w:after="0"/>
        <w:rPr>
          <w:color w:val="000000"/>
        </w:rPr>
      </w:pPr>
      <w:r>
        <w:rPr>
          <w:color w:val="000000"/>
        </w:rPr>
        <w:t xml:space="preserve">• mlevskih izdelkov, </w:t>
      </w:r>
    </w:p>
    <w:p w14:paraId="31C005BD" w14:textId="3394A96C" w:rsidR="006B7BFE" w:rsidRDefault="006B7BFE" w:rsidP="00557D18">
      <w:pPr>
        <w:pStyle w:val="Text"/>
        <w:spacing w:before="0" w:after="0"/>
        <w:jc w:val="left"/>
        <w:rPr>
          <w:color w:val="000000"/>
        </w:rPr>
      </w:pPr>
      <w:r>
        <w:rPr>
          <w:color w:val="000000"/>
        </w:rPr>
        <w:t xml:space="preserve">• pripravljenih jedi. </w:t>
      </w:r>
    </w:p>
    <w:p w14:paraId="69346562" w14:textId="77777777" w:rsidR="00D43FA1" w:rsidRPr="00D43FA1" w:rsidRDefault="00D43FA1" w:rsidP="00557D18">
      <w:pPr>
        <w:pStyle w:val="Text"/>
        <w:spacing w:before="0" w:after="0"/>
        <w:jc w:val="left"/>
        <w:rPr>
          <w:color w:val="000000"/>
        </w:rPr>
      </w:pPr>
    </w:p>
    <w:p w14:paraId="22853B05" w14:textId="2C2333C0" w:rsidR="006B7BFE" w:rsidRPr="00D43FA1" w:rsidRDefault="006B7BFE" w:rsidP="009140F6">
      <w:pPr>
        <w:pStyle w:val="Text"/>
        <w:spacing w:before="0" w:after="0"/>
        <w:rPr>
          <w:color w:val="000000"/>
        </w:rPr>
      </w:pPr>
      <w:r>
        <w:rPr>
          <w:color w:val="000000"/>
        </w:rPr>
        <w:t xml:space="preserve">Skupni promet 415 prizadetih podjetij znaša približno 26 milijard EUR. </w:t>
      </w:r>
    </w:p>
    <w:p w14:paraId="6EE2F31E" w14:textId="71A0F260" w:rsidR="006B7BFE" w:rsidRDefault="006B7BFE" w:rsidP="00557D18">
      <w:pPr>
        <w:pStyle w:val="Text"/>
        <w:spacing w:before="0" w:after="0"/>
        <w:rPr>
          <w:color w:val="000000"/>
        </w:rPr>
      </w:pPr>
      <w:r>
        <w:rPr>
          <w:color w:val="000000"/>
        </w:rPr>
        <w:t xml:space="preserve">Na podlagi skupnega prometa se oceni, koliko proizvodov (= živila in pripadajoče potrošniško blago, namenjeno za stik z živili) ta podjetja proizvedejo za nemški trg: pri skupnem prometu 26 milijard EUR in prometu 2,5 milijona EUR na proizvod je to </w:t>
      </w:r>
      <w:r>
        <w:rPr>
          <w:b/>
          <w:color w:val="000000"/>
        </w:rPr>
        <w:t>približno 10 000 proizvodov</w:t>
      </w:r>
      <w:r>
        <w:rPr>
          <w:color w:val="000000"/>
        </w:rPr>
        <w:t xml:space="preserve">. Le del embalaže proizvodov je treba dejansko spremeniti in vsa podjetja niso enako prizadeta: nekatera podjetja morajo spremeniti celoten nabor proizvodov, druga pa le nekaj proizvodov. Vendar je treba za vse proizvode preveriti, ali obstoječa embalaža v zadostni meri preprečuje prehajanje MOAH v živila. Preverijo se tudi živila, pakirana izključno v folijo, saj so ti proizvodi običajno dodatno pakirani v kartonske škatle iz recikliranega odpadnega papirja in se v njih dobavljajo. </w:t>
      </w:r>
    </w:p>
    <w:p w14:paraId="37B7DEE2" w14:textId="77777777" w:rsidR="00D43FA1" w:rsidRPr="00D43FA1" w:rsidRDefault="00D43FA1" w:rsidP="00557D18">
      <w:pPr>
        <w:pStyle w:val="Text"/>
        <w:spacing w:before="0" w:after="0"/>
        <w:rPr>
          <w:color w:val="000000"/>
        </w:rPr>
      </w:pPr>
    </w:p>
    <w:p w14:paraId="6FDE533B" w14:textId="5E092961" w:rsidR="006B7BFE" w:rsidRPr="00D43FA1" w:rsidRDefault="006B7BFE" w:rsidP="0070360F">
      <w:pPr>
        <w:pStyle w:val="Text"/>
        <w:keepNext/>
        <w:keepLines/>
        <w:numPr>
          <w:ilvl w:val="0"/>
          <w:numId w:val="5"/>
        </w:numPr>
        <w:spacing w:before="0" w:after="0"/>
        <w:rPr>
          <w:i/>
          <w:iCs/>
          <w:color w:val="000000"/>
          <w:u w:val="single"/>
        </w:rPr>
      </w:pPr>
      <w:r>
        <w:rPr>
          <w:i/>
          <w:color w:val="000000"/>
        </w:rPr>
        <w:t xml:space="preserve">Materialni stroški </w:t>
      </w:r>
    </w:p>
    <w:p w14:paraId="20856574" w14:textId="77777777" w:rsidR="00D43FA1" w:rsidRPr="00D43FA1" w:rsidRDefault="00D43FA1" w:rsidP="0070360F">
      <w:pPr>
        <w:keepNext/>
        <w:keepLines/>
        <w:spacing w:before="0" w:after="0"/>
      </w:pPr>
    </w:p>
    <w:p w14:paraId="3F2BE815" w14:textId="064B9289" w:rsidR="006B7BFE" w:rsidRPr="00D43FA1" w:rsidRDefault="006B7BFE" w:rsidP="009140F6">
      <w:pPr>
        <w:pStyle w:val="Text"/>
        <w:spacing w:before="0" w:after="0"/>
        <w:rPr>
          <w:color w:val="000000"/>
        </w:rPr>
      </w:pPr>
      <w:r>
        <w:rPr>
          <w:color w:val="000000"/>
        </w:rPr>
        <w:t>Materialni stroški so sestavljeni iz stroškov analize za prvo preverjanje živil in pripadajočega potrošniškega blaga, namenjenega za stik z živili (praviloma embalaža), ter razvoj in uporabo nove embalaže. Stroški nastanejo zaradi uporabe zunanjih laboratorijev za preskušanje. Le nekatera podjetja analize v celoti opravijo sama. Ugotovljeni so bili skupni stroški za vse prizadete proizvode podjetja, ki so bili razdeljeni na število proizvodov podjetja, ki spadajo v področje uporabe uredbe.</w:t>
      </w:r>
    </w:p>
    <w:p w14:paraId="12734BF7" w14:textId="5153E04E" w:rsidR="006B7BFE" w:rsidRPr="00D43FA1" w:rsidRDefault="006B7BFE" w:rsidP="009140F6">
      <w:pPr>
        <w:pStyle w:val="Text"/>
        <w:spacing w:before="0" w:after="0"/>
        <w:rPr>
          <w:color w:val="000000"/>
        </w:rPr>
      </w:pPr>
      <w:r>
        <w:rPr>
          <w:color w:val="000000"/>
        </w:rPr>
        <w:t xml:space="preserve">Na podlagi opravljenih razgovorov je bilo ugotovljeno, da stroški preskušanja živil in pripadajočega potrošniškega blaga, namenjenega za stik z živili, znašajo približno </w:t>
      </w:r>
      <w:r>
        <w:rPr>
          <w:b/>
          <w:color w:val="000000"/>
        </w:rPr>
        <w:t>290 EUR na proizvod</w:t>
      </w:r>
      <w:r>
        <w:rPr>
          <w:color w:val="000000"/>
        </w:rPr>
        <w:t>. Stroški veljajo za vseh 10 000 proizvodov.</w:t>
      </w:r>
    </w:p>
    <w:p w14:paraId="6C361081" w14:textId="3D294FA9" w:rsidR="006B7BFE" w:rsidRPr="00D43FA1" w:rsidRDefault="006B7BFE" w:rsidP="009140F6">
      <w:pPr>
        <w:pStyle w:val="Text"/>
        <w:spacing w:before="0" w:after="0"/>
        <w:rPr>
          <w:color w:val="000000"/>
        </w:rPr>
      </w:pPr>
      <w:r>
        <w:rPr>
          <w:color w:val="000000"/>
        </w:rPr>
        <w:t xml:space="preserve">Domneva se, da je treba spremeniti embalažo 50 % preskušenih proizvodov, torej 5 000 proizvodov. Za to v povprečju nastanejo stroški v višini </w:t>
      </w:r>
      <w:r>
        <w:rPr>
          <w:b/>
          <w:color w:val="000000"/>
        </w:rPr>
        <w:t>550 EUR materialnih stroškov na proizvod</w:t>
      </w:r>
      <w:r>
        <w:rPr>
          <w:color w:val="000000"/>
        </w:rPr>
        <w:t>.</w:t>
      </w:r>
    </w:p>
    <w:p w14:paraId="71241388" w14:textId="74E1DDC2" w:rsidR="00C23235" w:rsidRPr="00D43FA1" w:rsidRDefault="006B7BFE" w:rsidP="0070360F">
      <w:pPr>
        <w:pStyle w:val="Text"/>
        <w:keepNext/>
        <w:keepLines/>
        <w:spacing w:before="0" w:after="0"/>
        <w:rPr>
          <w:color w:val="000000"/>
        </w:rPr>
      </w:pPr>
      <w:r>
        <w:rPr>
          <w:color w:val="000000"/>
        </w:rPr>
        <w:t>Tako so enkratni materialni stroški prikazani na podlagi naslednjega izračuna:</w:t>
      </w:r>
    </w:p>
    <w:p w14:paraId="0AE849C1" w14:textId="750B6AEA" w:rsidR="006B7BFE" w:rsidRDefault="006B7BFE" w:rsidP="009140F6">
      <w:pPr>
        <w:pStyle w:val="Text"/>
        <w:spacing w:before="0" w:after="0"/>
        <w:rPr>
          <w:color w:val="000000"/>
        </w:rPr>
      </w:pPr>
      <w:r>
        <w:rPr>
          <w:color w:val="000000"/>
        </w:rPr>
        <w:t xml:space="preserve">stroški preskušanja v višini 290 EUR x 10 000 proizvodov, ki se preskusijo + materialni stroški v višini 550 EUR x 5 000 kosov embalaže proizvodov, ki jih je treba spremeniti = 5 650 000 EUR. </w:t>
      </w:r>
    </w:p>
    <w:p w14:paraId="0A260EF9" w14:textId="77777777" w:rsidR="00D43FA1" w:rsidRPr="00D43FA1" w:rsidRDefault="00D43FA1" w:rsidP="009140F6">
      <w:pPr>
        <w:pStyle w:val="Text"/>
        <w:spacing w:before="0" w:after="0"/>
        <w:rPr>
          <w:color w:val="000000"/>
        </w:rPr>
      </w:pPr>
    </w:p>
    <w:p w14:paraId="2EEE4654" w14:textId="5E56A404" w:rsidR="006B7BFE" w:rsidRPr="00D43FA1" w:rsidRDefault="006B7BFE" w:rsidP="0070360F">
      <w:pPr>
        <w:pStyle w:val="Text"/>
        <w:keepNext/>
        <w:keepLines/>
        <w:numPr>
          <w:ilvl w:val="0"/>
          <w:numId w:val="5"/>
        </w:numPr>
        <w:spacing w:before="0" w:after="0"/>
        <w:rPr>
          <w:u w:val="single"/>
        </w:rPr>
      </w:pPr>
      <w:r>
        <w:rPr>
          <w:i/>
          <w:color w:val="000000"/>
        </w:rPr>
        <w:lastRenderedPageBreak/>
        <w:t xml:space="preserve">Stroški za osebje </w:t>
      </w:r>
    </w:p>
    <w:p w14:paraId="3CDF1E12" w14:textId="77777777" w:rsidR="00D43FA1" w:rsidRPr="00D43FA1" w:rsidRDefault="00D43FA1" w:rsidP="0070360F">
      <w:pPr>
        <w:pStyle w:val="Text"/>
        <w:keepNext/>
        <w:keepLines/>
        <w:spacing w:before="0" w:after="0"/>
        <w:ind w:left="360"/>
        <w:rPr>
          <w:u w:val="single"/>
        </w:rPr>
      </w:pPr>
    </w:p>
    <w:p w14:paraId="060CC136" w14:textId="635630F2" w:rsidR="006B7BFE" w:rsidRPr="003A479C" w:rsidRDefault="006B7BFE" w:rsidP="009140F6">
      <w:pPr>
        <w:pStyle w:val="Text"/>
        <w:spacing w:before="0" w:after="0"/>
        <w:rPr>
          <w:spacing w:val="-4"/>
        </w:rPr>
      </w:pPr>
      <w:r w:rsidRPr="003A479C">
        <w:rPr>
          <w:spacing w:val="-4"/>
        </w:rPr>
        <w:t>Stroške za osebje zajemajo čas, potreben za preskušanje živil in pripadajočega potrošniškega blaga, namenjenega za stik z živili (praviloma embalaža), ter za spremembo embalaže (priprava in naknadna priprava laboratorijskih preiskav; analize se večinoma opravijo v zunanjih laboratorijih). Ugotovljeni so bili skupni stroški za vse prizadete proizvode podjetja, ki so bili razdeljeni na število proizvodov podjetja, ki spadajo v področje uporabe uredbe.</w:t>
      </w:r>
    </w:p>
    <w:p w14:paraId="325CED0A" w14:textId="1B8FFD16" w:rsidR="006B7BFE" w:rsidRPr="00D43FA1" w:rsidRDefault="006B7BFE" w:rsidP="009140F6">
      <w:pPr>
        <w:pStyle w:val="Text"/>
        <w:spacing w:before="0" w:after="0"/>
      </w:pPr>
      <w:r>
        <w:t xml:space="preserve">Na podlagi opravljenih razgovorov je bilo ugotovljeno, da čas, potreben za preskušanje živil in pripadajočega potrošniškega blaga, namenjenega za stik z živili, znaša približno </w:t>
      </w:r>
      <w:r>
        <w:rPr>
          <w:b/>
        </w:rPr>
        <w:t>tri ure na proizvod</w:t>
      </w:r>
      <w:r>
        <w:t>. Čas poleg analize glede MOAH zajema tudi pripravo, kot je vzorčenje. Določeno je plačilo 60,50 EUR/uro.</w:t>
      </w:r>
      <w:r>
        <w:rPr>
          <w:rStyle w:val="FootnoteReference"/>
        </w:rPr>
        <w:footnoteReference w:customMarkFollows="1" w:id="4"/>
        <w:t>3</w:t>
      </w:r>
      <w:r>
        <w:rPr>
          <w:vertAlign w:val="superscript"/>
        </w:rPr>
        <w:t xml:space="preserve"> </w:t>
      </w:r>
      <w:r>
        <w:t>Ti stroški nastanejo za vseh 10 000 proizvodov.</w:t>
      </w:r>
    </w:p>
    <w:p w14:paraId="31FE69DB" w14:textId="6CAD06A5" w:rsidR="006B7BFE" w:rsidRPr="00D43FA1" w:rsidRDefault="002201EF" w:rsidP="009140F6">
      <w:pPr>
        <w:pStyle w:val="Text"/>
        <w:spacing w:before="0" w:after="0"/>
      </w:pPr>
      <w:r>
        <w:t xml:space="preserve">Čas, potreben za spremembo embalaže proizvodov, znaša približno </w:t>
      </w:r>
      <w:r>
        <w:rPr>
          <w:b/>
        </w:rPr>
        <w:t>šest ur dela na proizvod</w:t>
      </w:r>
      <w:r>
        <w:t>. Določeno je plačilo 60,50 EUR/uro.</w:t>
      </w:r>
      <w:r>
        <w:rPr>
          <w:vertAlign w:val="superscript"/>
        </w:rPr>
        <w:t xml:space="preserve">3 </w:t>
      </w:r>
      <w:r>
        <w:t>Ob predpostavki, da je treba spremeniti približno 50 % vseh proizvodov, nastanejo stroški plačila za 5 000 proizvodov.</w:t>
      </w:r>
    </w:p>
    <w:p w14:paraId="082FCC81" w14:textId="44E4E333" w:rsidR="002201EF" w:rsidRPr="0086292F" w:rsidRDefault="006B7BFE" w:rsidP="009140F6">
      <w:pPr>
        <w:pStyle w:val="Text"/>
        <w:spacing w:before="0" w:after="0"/>
      </w:pPr>
      <w:r>
        <w:t xml:space="preserve">Tako so enkratni stroški za osebje prikazani na podlagi naslednjega izračuna: </w:t>
      </w:r>
    </w:p>
    <w:p w14:paraId="0A22DD87" w14:textId="6F935BF5" w:rsidR="00D43FA1" w:rsidRDefault="006B7BFE" w:rsidP="009140F6">
      <w:pPr>
        <w:pStyle w:val="Text"/>
        <w:spacing w:before="0" w:after="0"/>
      </w:pPr>
      <w:r>
        <w:t>čas, potreben za preskušanje: 3 ure x plačilo 60,50 EUR x 10 000 proizvodov, ki se preskusijo + čas, potreben za spremembo: 6 ur x plačilo 60,50 EUR x 5 000 proizvodov, ki jih je treba spremeniti = 3 630 000 EUR.</w:t>
      </w:r>
    </w:p>
    <w:p w14:paraId="2406F8A6" w14:textId="7A9A3CFE" w:rsidR="006B7BFE" w:rsidRPr="00D43FA1" w:rsidRDefault="006B7BFE" w:rsidP="009140F6">
      <w:pPr>
        <w:pStyle w:val="Text"/>
        <w:spacing w:before="0" w:after="0"/>
      </w:pPr>
    </w:p>
    <w:p w14:paraId="3A7DB30D" w14:textId="033BC6A9" w:rsidR="006B7BFE" w:rsidRPr="00D43FA1" w:rsidRDefault="006B7BFE" w:rsidP="0070360F">
      <w:pPr>
        <w:pStyle w:val="Text"/>
        <w:keepNext/>
        <w:keepLines/>
        <w:spacing w:before="0" w:after="0"/>
        <w:rPr>
          <w:u w:val="single"/>
        </w:rPr>
      </w:pPr>
      <w:r>
        <w:rPr>
          <w:b/>
        </w:rPr>
        <w:t xml:space="preserve">Preglednica 2: Pregled stroškov spremembe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436"/>
        <w:gridCol w:w="1134"/>
        <w:gridCol w:w="1275"/>
        <w:gridCol w:w="1276"/>
        <w:gridCol w:w="1276"/>
        <w:gridCol w:w="1276"/>
      </w:tblGrid>
      <w:tr w:rsidR="006B7BFE" w:rsidRPr="003A479C" w14:paraId="3E0ACA00" w14:textId="77777777" w:rsidTr="0070360F">
        <w:tc>
          <w:tcPr>
            <w:tcW w:w="2802" w:type="dxa"/>
            <w:gridSpan w:val="2"/>
          </w:tcPr>
          <w:p w14:paraId="6539344C" w14:textId="6E1D7699" w:rsidR="006B7BFE" w:rsidRPr="003A479C" w:rsidRDefault="006B7BFE" w:rsidP="0070360F">
            <w:pPr>
              <w:pStyle w:val="Default"/>
              <w:rPr>
                <w:rFonts w:ascii="Arial" w:hAnsi="Arial" w:cs="Arial"/>
                <w:b/>
                <w:spacing w:val="-4"/>
                <w:sz w:val="22"/>
                <w:szCs w:val="22"/>
              </w:rPr>
            </w:pPr>
            <w:r w:rsidRPr="003A479C">
              <w:rPr>
                <w:rFonts w:ascii="Arial" w:hAnsi="Arial"/>
                <w:b/>
                <w:spacing w:val="-4"/>
                <w:sz w:val="22"/>
              </w:rPr>
              <w:t xml:space="preserve">Cilj/obveznost obveščanja </w:t>
            </w:r>
          </w:p>
        </w:tc>
        <w:tc>
          <w:tcPr>
            <w:tcW w:w="1134" w:type="dxa"/>
          </w:tcPr>
          <w:p w14:paraId="49FCAF62" w14:textId="014CA8B5" w:rsidR="006B7BFE" w:rsidRPr="003A479C" w:rsidRDefault="006B7BFE" w:rsidP="0070360F">
            <w:pPr>
              <w:pStyle w:val="Default"/>
              <w:rPr>
                <w:rFonts w:ascii="Arial" w:hAnsi="Arial" w:cs="Arial"/>
                <w:b/>
                <w:spacing w:val="-4"/>
                <w:sz w:val="22"/>
                <w:szCs w:val="22"/>
              </w:rPr>
            </w:pPr>
            <w:r w:rsidRPr="003A479C">
              <w:rPr>
                <w:rFonts w:ascii="Arial" w:hAnsi="Arial"/>
                <w:b/>
                <w:spacing w:val="-4"/>
                <w:sz w:val="22"/>
              </w:rPr>
              <w:t xml:space="preserve">Enkratna poraba časa v urah </w:t>
            </w:r>
          </w:p>
        </w:tc>
        <w:tc>
          <w:tcPr>
            <w:tcW w:w="1275" w:type="dxa"/>
          </w:tcPr>
          <w:p w14:paraId="3FB6B09A" w14:textId="74F0E4BE" w:rsidR="006B7BFE" w:rsidRPr="003A479C" w:rsidRDefault="006B7BFE" w:rsidP="0070360F">
            <w:pPr>
              <w:pStyle w:val="Default"/>
              <w:rPr>
                <w:rFonts w:ascii="Arial" w:hAnsi="Arial" w:cs="Arial"/>
                <w:b/>
                <w:spacing w:val="-4"/>
                <w:sz w:val="22"/>
                <w:szCs w:val="22"/>
              </w:rPr>
            </w:pPr>
            <w:r w:rsidRPr="003A479C">
              <w:rPr>
                <w:rFonts w:ascii="Arial" w:hAnsi="Arial"/>
                <w:b/>
                <w:spacing w:val="-4"/>
                <w:sz w:val="22"/>
              </w:rPr>
              <w:t xml:space="preserve">Plačilo v EUR/uro </w:t>
            </w:r>
          </w:p>
        </w:tc>
        <w:tc>
          <w:tcPr>
            <w:tcW w:w="1276" w:type="dxa"/>
          </w:tcPr>
          <w:p w14:paraId="0F54C0E3" w14:textId="65BED0ED" w:rsidR="006B7BFE" w:rsidRPr="003A479C" w:rsidRDefault="006B7BFE" w:rsidP="0070360F">
            <w:pPr>
              <w:pStyle w:val="Default"/>
              <w:rPr>
                <w:rFonts w:ascii="Arial" w:hAnsi="Arial" w:cs="Arial"/>
                <w:b/>
                <w:spacing w:val="-4"/>
                <w:sz w:val="22"/>
                <w:szCs w:val="22"/>
              </w:rPr>
            </w:pPr>
            <w:r w:rsidRPr="003A479C">
              <w:rPr>
                <w:rFonts w:ascii="Arial" w:hAnsi="Arial"/>
                <w:b/>
                <w:spacing w:val="-4"/>
                <w:sz w:val="22"/>
              </w:rPr>
              <w:t xml:space="preserve">Enkratni stroški za osebje v EUR </w:t>
            </w:r>
          </w:p>
        </w:tc>
        <w:tc>
          <w:tcPr>
            <w:tcW w:w="1276" w:type="dxa"/>
          </w:tcPr>
          <w:p w14:paraId="2AD81DFC" w14:textId="1C78FBC9" w:rsidR="006B7BFE" w:rsidRPr="003A479C" w:rsidRDefault="006B7BFE" w:rsidP="0070360F">
            <w:pPr>
              <w:pStyle w:val="Default"/>
              <w:rPr>
                <w:rFonts w:ascii="Arial" w:hAnsi="Arial" w:cs="Arial"/>
                <w:b/>
                <w:spacing w:val="-4"/>
                <w:sz w:val="22"/>
                <w:szCs w:val="22"/>
              </w:rPr>
            </w:pPr>
            <w:r w:rsidRPr="003A479C">
              <w:rPr>
                <w:rFonts w:ascii="Arial" w:hAnsi="Arial"/>
                <w:b/>
                <w:spacing w:val="-4"/>
                <w:sz w:val="22"/>
              </w:rPr>
              <w:t xml:space="preserve">Enkratni materialni stroški v EUR </w:t>
            </w:r>
          </w:p>
        </w:tc>
        <w:tc>
          <w:tcPr>
            <w:tcW w:w="1276" w:type="dxa"/>
          </w:tcPr>
          <w:p w14:paraId="50C55997" w14:textId="675B1A51" w:rsidR="006B7BFE" w:rsidRPr="003A479C" w:rsidRDefault="006B7BFE" w:rsidP="0070360F">
            <w:pPr>
              <w:pStyle w:val="Default"/>
              <w:rPr>
                <w:rFonts w:ascii="Arial" w:hAnsi="Arial" w:cs="Arial"/>
                <w:b/>
                <w:spacing w:val="-4"/>
                <w:sz w:val="22"/>
                <w:szCs w:val="22"/>
              </w:rPr>
            </w:pPr>
            <w:r w:rsidRPr="003A479C">
              <w:rPr>
                <w:rFonts w:ascii="Arial" w:hAnsi="Arial"/>
                <w:b/>
                <w:spacing w:val="-4"/>
                <w:sz w:val="22"/>
              </w:rPr>
              <w:t>Enkratni stroški izpolnje</w:t>
            </w:r>
            <w:r w:rsidR="003A479C">
              <w:rPr>
                <w:rFonts w:ascii="Arial" w:hAnsi="Arial"/>
                <w:b/>
                <w:spacing w:val="-4"/>
                <w:sz w:val="22"/>
              </w:rPr>
              <w:t>-</w:t>
            </w:r>
            <w:r w:rsidRPr="003A479C">
              <w:rPr>
                <w:rFonts w:ascii="Arial" w:hAnsi="Arial"/>
                <w:b/>
                <w:spacing w:val="-4"/>
                <w:sz w:val="22"/>
              </w:rPr>
              <w:t xml:space="preserve">vanja obveznosti v EUR </w:t>
            </w:r>
          </w:p>
        </w:tc>
      </w:tr>
      <w:tr w:rsidR="006B7BFE" w:rsidRPr="003A479C" w14:paraId="19635ABD" w14:textId="77777777" w:rsidTr="0070360F">
        <w:tc>
          <w:tcPr>
            <w:tcW w:w="1366" w:type="dxa"/>
          </w:tcPr>
          <w:p w14:paraId="3EF43B2A" w14:textId="77777777" w:rsidR="006B7BFE" w:rsidRPr="003A479C" w:rsidRDefault="006B7BFE" w:rsidP="006B7BFE">
            <w:pPr>
              <w:pStyle w:val="Default"/>
              <w:rPr>
                <w:rFonts w:ascii="Arial" w:hAnsi="Arial" w:cs="Arial"/>
                <w:spacing w:val="-4"/>
                <w:sz w:val="22"/>
                <w:szCs w:val="22"/>
              </w:rPr>
            </w:pPr>
            <w:r w:rsidRPr="003A479C">
              <w:rPr>
                <w:rFonts w:ascii="Arial" w:hAnsi="Arial"/>
                <w:spacing w:val="-4"/>
                <w:sz w:val="22"/>
              </w:rPr>
              <w:t xml:space="preserve">Funkcionalna pregrada </w:t>
            </w:r>
          </w:p>
        </w:tc>
        <w:tc>
          <w:tcPr>
            <w:tcW w:w="1436" w:type="dxa"/>
          </w:tcPr>
          <w:p w14:paraId="3A8E99F1" w14:textId="2AA7C4CC" w:rsidR="006B7BFE" w:rsidRPr="003A479C" w:rsidRDefault="006B7BFE" w:rsidP="000F1682">
            <w:pPr>
              <w:pStyle w:val="Default"/>
              <w:rPr>
                <w:rFonts w:ascii="Arial" w:hAnsi="Arial" w:cs="Arial"/>
                <w:spacing w:val="-4"/>
                <w:sz w:val="22"/>
                <w:szCs w:val="22"/>
              </w:rPr>
            </w:pPr>
            <w:r w:rsidRPr="003A479C">
              <w:rPr>
                <w:rFonts w:ascii="Arial" w:hAnsi="Arial"/>
                <w:spacing w:val="-4"/>
                <w:sz w:val="22"/>
              </w:rPr>
              <w:t xml:space="preserve">Oddelek 6a(1) in (4) </w:t>
            </w:r>
          </w:p>
        </w:tc>
        <w:tc>
          <w:tcPr>
            <w:tcW w:w="1134" w:type="dxa"/>
          </w:tcPr>
          <w:p w14:paraId="0BB48AAC" w14:textId="77777777" w:rsidR="006B7BFE" w:rsidRPr="003A479C" w:rsidRDefault="006B7BFE" w:rsidP="002F4768">
            <w:pPr>
              <w:pStyle w:val="Default"/>
              <w:rPr>
                <w:rFonts w:ascii="Arial" w:hAnsi="Arial" w:cs="Arial"/>
                <w:spacing w:val="-4"/>
                <w:sz w:val="22"/>
                <w:szCs w:val="22"/>
              </w:rPr>
            </w:pPr>
            <w:r w:rsidRPr="003A479C">
              <w:rPr>
                <w:rFonts w:ascii="Arial" w:hAnsi="Arial"/>
                <w:spacing w:val="-4"/>
                <w:sz w:val="22"/>
              </w:rPr>
              <w:t xml:space="preserve">60 000 </w:t>
            </w:r>
          </w:p>
        </w:tc>
        <w:tc>
          <w:tcPr>
            <w:tcW w:w="1275" w:type="dxa"/>
          </w:tcPr>
          <w:p w14:paraId="28388CFA" w14:textId="77777777" w:rsidR="006B7BFE" w:rsidRPr="003A479C" w:rsidRDefault="00A4031B" w:rsidP="006B7BFE">
            <w:pPr>
              <w:pStyle w:val="Default"/>
              <w:rPr>
                <w:rFonts w:ascii="Arial" w:hAnsi="Arial" w:cs="Arial"/>
                <w:spacing w:val="-4"/>
                <w:sz w:val="22"/>
                <w:szCs w:val="22"/>
              </w:rPr>
            </w:pPr>
            <w:r w:rsidRPr="003A479C">
              <w:rPr>
                <w:rFonts w:ascii="Arial" w:hAnsi="Arial"/>
                <w:spacing w:val="-4"/>
                <w:sz w:val="22"/>
              </w:rPr>
              <w:t>60,50</w:t>
            </w:r>
          </w:p>
        </w:tc>
        <w:tc>
          <w:tcPr>
            <w:tcW w:w="1276" w:type="dxa"/>
          </w:tcPr>
          <w:p w14:paraId="1C8517E8" w14:textId="77777777" w:rsidR="006B7BFE" w:rsidRPr="003A479C" w:rsidRDefault="00A4031B" w:rsidP="002F4768">
            <w:pPr>
              <w:pStyle w:val="Default"/>
              <w:rPr>
                <w:rFonts w:ascii="Arial" w:hAnsi="Arial" w:cs="Arial"/>
                <w:spacing w:val="-4"/>
                <w:sz w:val="22"/>
                <w:szCs w:val="22"/>
              </w:rPr>
            </w:pPr>
            <w:r w:rsidRPr="003A479C">
              <w:rPr>
                <w:rFonts w:ascii="Arial" w:hAnsi="Arial"/>
                <w:spacing w:val="-4"/>
                <w:sz w:val="22"/>
              </w:rPr>
              <w:t xml:space="preserve">3 630 000 </w:t>
            </w:r>
          </w:p>
        </w:tc>
        <w:tc>
          <w:tcPr>
            <w:tcW w:w="1276" w:type="dxa"/>
          </w:tcPr>
          <w:p w14:paraId="38F2E4E4" w14:textId="77777777" w:rsidR="006B7BFE" w:rsidRPr="003A479C" w:rsidRDefault="006B7BFE" w:rsidP="002F4768">
            <w:pPr>
              <w:pStyle w:val="Default"/>
              <w:rPr>
                <w:rFonts w:ascii="Arial" w:hAnsi="Arial" w:cs="Arial"/>
                <w:spacing w:val="-4"/>
                <w:sz w:val="22"/>
                <w:szCs w:val="22"/>
              </w:rPr>
            </w:pPr>
            <w:r w:rsidRPr="003A479C">
              <w:rPr>
                <w:rFonts w:ascii="Arial" w:hAnsi="Arial"/>
                <w:spacing w:val="-4"/>
                <w:sz w:val="22"/>
              </w:rPr>
              <w:t xml:space="preserve">5 650 000 </w:t>
            </w:r>
          </w:p>
        </w:tc>
        <w:tc>
          <w:tcPr>
            <w:tcW w:w="1276" w:type="dxa"/>
            <w:shd w:val="clear" w:color="auto" w:fill="BFBFBF" w:themeFill="background1" w:themeFillShade="BF"/>
          </w:tcPr>
          <w:p w14:paraId="5943CEDA" w14:textId="77777777" w:rsidR="006B7BFE" w:rsidRPr="003A479C" w:rsidRDefault="002F4768" w:rsidP="002F4768">
            <w:pPr>
              <w:pStyle w:val="Default"/>
              <w:rPr>
                <w:rFonts w:ascii="Arial" w:hAnsi="Arial" w:cs="Arial"/>
                <w:spacing w:val="-4"/>
                <w:sz w:val="22"/>
                <w:szCs w:val="22"/>
              </w:rPr>
            </w:pPr>
            <w:r w:rsidRPr="003A479C">
              <w:rPr>
                <w:rFonts w:ascii="Arial" w:hAnsi="Arial"/>
                <w:b/>
                <w:spacing w:val="-4"/>
                <w:sz w:val="22"/>
              </w:rPr>
              <w:t xml:space="preserve"> 9 280 000 </w:t>
            </w:r>
          </w:p>
        </w:tc>
      </w:tr>
    </w:tbl>
    <w:p w14:paraId="70DC6500" w14:textId="77777777" w:rsidR="00D43FA1" w:rsidRDefault="00D43FA1" w:rsidP="00557D18">
      <w:pPr>
        <w:pStyle w:val="Text"/>
        <w:spacing w:before="0" w:after="0"/>
        <w:jc w:val="left"/>
        <w:rPr>
          <w:rStyle w:val="CommentReference"/>
          <w:rFonts w:ascii="Times New Roman" w:eastAsia="Times New Roman" w:hAnsi="Times New Roman" w:cs="Times New Roman"/>
          <w:lang w:eastAsia="de-DE"/>
        </w:rPr>
      </w:pPr>
    </w:p>
    <w:p w14:paraId="09D77BBF" w14:textId="77777777" w:rsidR="00D43FA1" w:rsidRDefault="006B7BFE" w:rsidP="0086292F">
      <w:pPr>
        <w:pStyle w:val="Text"/>
        <w:keepNext/>
        <w:keepLines/>
        <w:spacing w:before="0" w:after="0"/>
        <w:jc w:val="left"/>
        <w:rPr>
          <w:rStyle w:val="CommentReference"/>
          <w:rFonts w:ascii="Times New Roman" w:eastAsia="Times New Roman" w:hAnsi="Times New Roman" w:cs="Times New Roman"/>
        </w:rPr>
      </w:pPr>
      <w:r>
        <w:t xml:space="preserve">b) Letni stroški izpolnjevanja obveznosti </w:t>
      </w:r>
    </w:p>
    <w:p w14:paraId="5CB6CCB6" w14:textId="521BA6B6" w:rsidR="006B7BFE" w:rsidRPr="00D43FA1" w:rsidRDefault="006B7BFE" w:rsidP="0086292F">
      <w:pPr>
        <w:pStyle w:val="Text"/>
        <w:keepNext/>
        <w:keepLines/>
        <w:spacing w:before="0" w:after="0"/>
        <w:jc w:val="left"/>
      </w:pPr>
    </w:p>
    <w:p w14:paraId="318EDF1F" w14:textId="7E46817A" w:rsidR="00D43FA1" w:rsidRDefault="006B7BFE" w:rsidP="0086292F">
      <w:pPr>
        <w:pStyle w:val="Text"/>
        <w:keepNext/>
        <w:keepLines/>
        <w:spacing w:before="0" w:after="0"/>
        <w:rPr>
          <w:i/>
          <w:iCs/>
        </w:rPr>
      </w:pPr>
      <w:r>
        <w:rPr>
          <w:i/>
        </w:rPr>
        <w:t xml:space="preserve">Letni stroški izpolnjevanja obveznosti vključujejo stroške za osebje in materialne stroške za redno preskušanje ter dodatne stroške zaradi embalaže v skladu s predpisi v skladu z oddelkom 6a. Redno preskušanje živil in embalaže vključuje vzorčenje, analizo in oceno. </w:t>
      </w:r>
    </w:p>
    <w:p w14:paraId="61757831" w14:textId="2AB309E2" w:rsidR="006B7BFE" w:rsidRPr="00D43FA1" w:rsidRDefault="006B7BFE" w:rsidP="0086292F">
      <w:pPr>
        <w:pStyle w:val="Text"/>
        <w:keepNext/>
        <w:keepLines/>
        <w:spacing w:before="0" w:after="0"/>
        <w:rPr>
          <w:i/>
          <w:iCs/>
        </w:rPr>
      </w:pPr>
    </w:p>
    <w:p w14:paraId="3A014E51" w14:textId="71E218DC" w:rsidR="006B7BFE" w:rsidRPr="0086292F" w:rsidRDefault="006B7BFE" w:rsidP="00557D18">
      <w:pPr>
        <w:pStyle w:val="Text"/>
        <w:numPr>
          <w:ilvl w:val="0"/>
          <w:numId w:val="5"/>
        </w:numPr>
        <w:spacing w:before="0" w:after="0"/>
        <w:rPr>
          <w:color w:val="000000"/>
        </w:rPr>
      </w:pPr>
      <w:r>
        <w:rPr>
          <w:i/>
        </w:rPr>
        <w:t>Število primerov</w:t>
      </w:r>
      <w:r>
        <w:t xml:space="preserve"> </w:t>
      </w:r>
      <w:r>
        <w:rPr>
          <w:color w:val="000000"/>
        </w:rPr>
        <w:t xml:space="preserve">(= prizadeti proizvodi: živila in potrošniško blago, namenjeno za stik z živili) </w:t>
      </w:r>
    </w:p>
    <w:p w14:paraId="6EA56C3D" w14:textId="77777777" w:rsidR="00D43FA1" w:rsidRPr="00D43FA1" w:rsidRDefault="00D43FA1" w:rsidP="00D43FA1">
      <w:pPr>
        <w:pStyle w:val="Text"/>
        <w:spacing w:before="0" w:after="0"/>
        <w:ind w:left="360"/>
        <w:rPr>
          <w:u w:val="single"/>
        </w:rPr>
      </w:pPr>
    </w:p>
    <w:p w14:paraId="5F264B2C" w14:textId="09E098C0" w:rsidR="006B7BFE" w:rsidRPr="00D43FA1" w:rsidRDefault="006B7BFE" w:rsidP="009140F6">
      <w:pPr>
        <w:pStyle w:val="Text"/>
        <w:spacing w:before="0" w:after="0"/>
      </w:pPr>
      <w:r>
        <w:t xml:space="preserve">Skupno število proizvodov, ki jih zajema uredba, se izračuna glede na število primerov proizvodov za enkratne stroške spremembe: načeloma je prizadetih 10 000 proizvodov, pri 5 000 proizvodih je treba spremeniti embalažo. Skladnost nove embalaže za teh 5 000 proizvodov se preverja letno. Glede na informacije podjetij ti stroški nastanejo tudi za proizvode, ki jih ni treba spremeniti. Domneva se, da preskušanje ustreza tretjini stroškov za proizvode, ki se spremenijo. </w:t>
      </w:r>
    </w:p>
    <w:p w14:paraId="5B1EB757" w14:textId="77777777" w:rsidR="006B7BFE" w:rsidRPr="00D43FA1" w:rsidRDefault="006B7BFE" w:rsidP="009140F6">
      <w:pPr>
        <w:pStyle w:val="Text"/>
        <w:spacing w:before="0" w:after="0"/>
      </w:pPr>
    </w:p>
    <w:p w14:paraId="446C7513" w14:textId="77777777" w:rsidR="006B7BFE" w:rsidRPr="00D43FA1" w:rsidRDefault="006B7BFE" w:rsidP="0070360F">
      <w:pPr>
        <w:pStyle w:val="Text"/>
        <w:keepNext/>
        <w:keepLines/>
        <w:numPr>
          <w:ilvl w:val="0"/>
          <w:numId w:val="6"/>
        </w:numPr>
        <w:spacing w:before="0" w:after="0"/>
      </w:pPr>
      <w:r>
        <w:rPr>
          <w:i/>
        </w:rPr>
        <w:t>Stroški za osebje</w:t>
      </w:r>
    </w:p>
    <w:p w14:paraId="0FD42608" w14:textId="77777777" w:rsidR="006B7BFE" w:rsidRPr="00D43FA1" w:rsidRDefault="006B7BFE" w:rsidP="0070360F">
      <w:pPr>
        <w:pStyle w:val="Text"/>
        <w:keepNext/>
        <w:keepLines/>
        <w:spacing w:before="0" w:after="0"/>
        <w:rPr>
          <w:i/>
          <w:iCs/>
          <w:u w:val="single"/>
        </w:rPr>
      </w:pPr>
    </w:p>
    <w:p w14:paraId="58C3C95C" w14:textId="1B5847FC" w:rsidR="006B7BFE" w:rsidRPr="00D43FA1" w:rsidRDefault="00E71594" w:rsidP="009140F6">
      <w:pPr>
        <w:pStyle w:val="Text"/>
        <w:spacing w:before="0" w:after="0"/>
      </w:pPr>
      <w:r>
        <w:t xml:space="preserve">Letni stroški izpolnjevanja obveznosti izhajajo iz stroškov za osebje za naloge na področju rednega preskušanja živil in pripadajočega potrošniškega blaga, namenjenega za stik z živili (praviloma embalaža) (priprava in naknadna priprava laboratorijskih preiskav; analize se večinoma opravijo v zunanjih laboratorijih). Ugotovljeni so bili skupni stroški za vse prizadete proizvode podjetja, ki so bili razdeljeni na število proizvodov podjetja, ki spadajo v področje uporabe uredbe. </w:t>
      </w:r>
    </w:p>
    <w:p w14:paraId="6A10C10F" w14:textId="15A6BBA8" w:rsidR="006B7BFE" w:rsidRPr="00D43FA1" w:rsidRDefault="006B7BFE" w:rsidP="009140F6">
      <w:pPr>
        <w:pStyle w:val="Text"/>
        <w:spacing w:before="0" w:after="0"/>
        <w:rPr>
          <w:vertAlign w:val="superscript"/>
        </w:rPr>
      </w:pPr>
      <w:r>
        <w:lastRenderedPageBreak/>
        <w:t xml:space="preserve">Na podlagi opravljenih razgovorov je bilo ugotovljeno, da čas, potreben za preskušanje živil in pripadajočega potrošniškega blaga, namenjenega za stik z živili, znaša približno </w:t>
      </w:r>
      <w:r>
        <w:rPr>
          <w:b/>
        </w:rPr>
        <w:t>tri ure na proizvod</w:t>
      </w:r>
      <w:r>
        <w:t>. Čas poleg analize glede MOAH zajema tudi pripravo, kot je vzorčenje. Določeno je plačilo 60,50 EUR/uro.</w:t>
      </w:r>
      <w:r>
        <w:rPr>
          <w:vertAlign w:val="superscript"/>
        </w:rPr>
        <w:t>3</w:t>
      </w:r>
    </w:p>
    <w:p w14:paraId="1FCB5935" w14:textId="4A4AFC26" w:rsidR="006B7BFE" w:rsidRPr="00D43FA1" w:rsidRDefault="006B7BFE" w:rsidP="009140F6">
      <w:pPr>
        <w:pStyle w:val="Text"/>
        <w:spacing w:before="0" w:after="0"/>
        <w:rPr>
          <w:vertAlign w:val="superscript"/>
        </w:rPr>
      </w:pPr>
      <w:r>
        <w:t xml:space="preserve">Na podlagi razgovorov se nespremenjeni proizvodi (50 % skupnega števila, tj. 5 000 proizvodov) manj intenzivno preskušajo. Glede na to letna poraba časa ustreza </w:t>
      </w:r>
      <w:r>
        <w:rPr>
          <w:b/>
        </w:rPr>
        <w:t>eni uri na proizvod</w:t>
      </w:r>
      <w:r>
        <w:t>. Določeno je plačilo 60,50 EUR/uro.</w:t>
      </w:r>
      <w:r>
        <w:rPr>
          <w:vertAlign w:val="superscript"/>
        </w:rPr>
        <w:t xml:space="preserve">3 </w:t>
      </w:r>
    </w:p>
    <w:p w14:paraId="572A0A4A" w14:textId="2BFB3806" w:rsidR="006B7BFE" w:rsidRPr="00D43FA1" w:rsidRDefault="006B7BFE" w:rsidP="009140F6">
      <w:pPr>
        <w:pStyle w:val="Text"/>
        <w:spacing w:before="0" w:after="0"/>
      </w:pPr>
      <w:r>
        <w:t xml:space="preserve">Letni stroški za osebje torej znašajo: čas, potreben za preskušanje: 3 ure x plačilo 60,50 EUR x 5 000 proizvodov + čas, potreben za preskušanje: 1 ura x plačilo 60,50 EUR x 5 000 proizvodov = 1 210 000 EUR. </w:t>
      </w:r>
    </w:p>
    <w:p w14:paraId="471B7111" w14:textId="385C935E" w:rsidR="003923C4" w:rsidRPr="00D43FA1" w:rsidRDefault="003923C4" w:rsidP="009140F6">
      <w:pPr>
        <w:pStyle w:val="Text"/>
        <w:spacing w:before="0" w:after="0"/>
      </w:pPr>
    </w:p>
    <w:p w14:paraId="02CD70EC" w14:textId="77777777" w:rsidR="006B7BFE" w:rsidRPr="00D43FA1" w:rsidRDefault="006B7BFE" w:rsidP="0070360F">
      <w:pPr>
        <w:pStyle w:val="Text"/>
        <w:keepNext/>
        <w:keepLines/>
        <w:numPr>
          <w:ilvl w:val="0"/>
          <w:numId w:val="6"/>
        </w:numPr>
        <w:spacing w:before="0" w:after="0"/>
      </w:pPr>
      <w:r>
        <w:rPr>
          <w:i/>
        </w:rPr>
        <w:t xml:space="preserve">Materialni stroški </w:t>
      </w:r>
    </w:p>
    <w:p w14:paraId="1E71B5C0" w14:textId="77777777" w:rsidR="006B7BFE" w:rsidRPr="00D43FA1" w:rsidRDefault="006B7BFE" w:rsidP="0070360F">
      <w:pPr>
        <w:pStyle w:val="Text"/>
        <w:keepNext/>
        <w:keepLines/>
        <w:spacing w:before="0" w:after="0"/>
        <w:rPr>
          <w:i/>
          <w:iCs/>
          <w:u w:val="single"/>
        </w:rPr>
      </w:pPr>
    </w:p>
    <w:p w14:paraId="0B563A15" w14:textId="0B28C919" w:rsidR="006B7BFE" w:rsidRPr="00D43FA1" w:rsidRDefault="006B7BFE" w:rsidP="009140F6">
      <w:pPr>
        <w:pStyle w:val="Text"/>
        <w:spacing w:before="0" w:after="0"/>
      </w:pPr>
      <w:r>
        <w:t xml:space="preserve">Materialni stroški so sestavljeni iz stroškov rednega preskušanja živil in potrošniškega blaga, namenjenega za stik z živili (praviloma embalaža), ter dodatnih stroškov za embalažo, ki se spremeni. Stroški nastanejo zaradi uporabe zunanjih laboratorijev za preskušanje. Le nekatera podjetja analize v celoti opravijo sama. Ugotovljeni so bili stroški za vse prizadete proizvode podjetja, ki so bili razdeljeni na število proizvodov podjetja, ki spadajo v področje uporabe uredbe. </w:t>
      </w:r>
    </w:p>
    <w:p w14:paraId="05FEEC02" w14:textId="2694E55C" w:rsidR="006B7BFE" w:rsidRPr="00D43FA1" w:rsidRDefault="006B7BFE" w:rsidP="009140F6">
      <w:pPr>
        <w:pStyle w:val="Text"/>
        <w:spacing w:before="0" w:after="0"/>
      </w:pPr>
      <w:r>
        <w:t xml:space="preserve">Na podlagi opravljenih razgovorov je bilo ugotovljeno, da letni stroški za preskušanje živil in pripadajočega potrošniškega blaga, namenjenega za stik z živili, znašajo približno </w:t>
      </w:r>
      <w:r>
        <w:rPr>
          <w:b/>
        </w:rPr>
        <w:t>290 EUR na proizvod</w:t>
      </w:r>
      <w:r>
        <w:t xml:space="preserve">. Ti materialni stroški nastanejo za 5 000 proizvodov. Za manj intenzivno preskušanje živil, ki se ne spremenijo, so bili ugotovljeni stroški približno </w:t>
      </w:r>
      <w:r>
        <w:rPr>
          <w:b/>
        </w:rPr>
        <w:t>100 EUR na proizvod</w:t>
      </w:r>
      <w:r>
        <w:t xml:space="preserve"> za 5 000 proizvodov. </w:t>
      </w:r>
    </w:p>
    <w:p w14:paraId="1FB0BAEE" w14:textId="7A08EA5B" w:rsidR="006B7BFE" w:rsidRPr="00D43FA1" w:rsidRDefault="006B7BFE" w:rsidP="009140F6">
      <w:pPr>
        <w:pStyle w:val="Text"/>
        <w:spacing w:before="0" w:after="0"/>
      </w:pPr>
      <w:r>
        <w:t xml:space="preserve">Dodatni stroški embalaže za 5 000 proizvodov, ki ji je treba spremeniti, znašajo približno </w:t>
      </w:r>
      <w:r>
        <w:rPr>
          <w:b/>
        </w:rPr>
        <w:t>1 000 EUR na proizvod</w:t>
      </w:r>
      <w:r>
        <w:t xml:space="preserve">. </w:t>
      </w:r>
    </w:p>
    <w:p w14:paraId="5A000AC2" w14:textId="3C2F555F" w:rsidR="006B7BFE" w:rsidRPr="00D43FA1" w:rsidRDefault="006B7BFE" w:rsidP="009140F6">
      <w:pPr>
        <w:pStyle w:val="Text"/>
        <w:spacing w:before="0" w:after="0"/>
      </w:pPr>
      <w:r>
        <w:t xml:space="preserve">Letni materialni stroški torej znašajo: stroški preskušanja 290 EUR x 5 000 proizvodov + stroški preskušanja 100 EUR x 5 000 proizvodov + materialni stroški 1 000 EUR x 5 000 proizvodov = 6 950 000 EUR. </w:t>
      </w:r>
    </w:p>
    <w:p w14:paraId="4EA9AD8F" w14:textId="77777777" w:rsidR="006B7BFE" w:rsidRPr="00D43FA1" w:rsidRDefault="006B7BFE" w:rsidP="009140F6">
      <w:pPr>
        <w:pStyle w:val="Text"/>
        <w:spacing w:before="0" w:after="0"/>
      </w:pPr>
    </w:p>
    <w:p w14:paraId="5E74352B" w14:textId="7EEAE98F" w:rsidR="006B7BFE" w:rsidRPr="00D43FA1" w:rsidRDefault="006B7BFE" w:rsidP="0070360F">
      <w:pPr>
        <w:pStyle w:val="Text"/>
        <w:keepNext/>
        <w:keepLines/>
        <w:spacing w:before="0" w:after="0"/>
        <w:rPr>
          <w:u w:val="single"/>
        </w:rPr>
      </w:pPr>
      <w:r>
        <w:rPr>
          <w:b/>
        </w:rPr>
        <w:t xml:space="preserve">Preglednica 3: Pregled tekočih stroškov izpolnjevanja obveznosti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294"/>
        <w:gridCol w:w="1276"/>
        <w:gridCol w:w="1275"/>
        <w:gridCol w:w="1276"/>
        <w:gridCol w:w="1276"/>
        <w:gridCol w:w="1588"/>
      </w:tblGrid>
      <w:tr w:rsidR="006B7BFE" w:rsidRPr="003A479C" w14:paraId="1A7C22AA" w14:textId="77777777" w:rsidTr="003A479C">
        <w:tc>
          <w:tcPr>
            <w:tcW w:w="2660" w:type="dxa"/>
            <w:gridSpan w:val="2"/>
          </w:tcPr>
          <w:p w14:paraId="4EBDEFBC" w14:textId="603EE879" w:rsidR="006B7BFE" w:rsidRPr="003A479C" w:rsidRDefault="006B7BFE" w:rsidP="0070360F">
            <w:pPr>
              <w:pStyle w:val="Default"/>
              <w:keepNext/>
              <w:keepLines/>
              <w:rPr>
                <w:rFonts w:ascii="Arial" w:hAnsi="Arial" w:cs="Arial"/>
                <w:b/>
                <w:spacing w:val="-4"/>
                <w:sz w:val="22"/>
                <w:szCs w:val="22"/>
              </w:rPr>
            </w:pPr>
            <w:r w:rsidRPr="003A479C">
              <w:rPr>
                <w:rFonts w:ascii="Arial" w:hAnsi="Arial"/>
                <w:b/>
                <w:spacing w:val="-4"/>
                <w:sz w:val="22"/>
              </w:rPr>
              <w:t xml:space="preserve">Cilj/obveznost obveščanja </w:t>
            </w:r>
          </w:p>
          <w:p w14:paraId="67A2E6B2" w14:textId="77777777" w:rsidR="006B7BFE" w:rsidRPr="003A479C" w:rsidRDefault="006B7BFE" w:rsidP="0070360F">
            <w:pPr>
              <w:pStyle w:val="Default"/>
              <w:keepNext/>
              <w:keepLines/>
              <w:rPr>
                <w:rFonts w:ascii="Arial" w:hAnsi="Arial" w:cs="Arial"/>
                <w:b/>
                <w:spacing w:val="-4"/>
                <w:sz w:val="22"/>
                <w:szCs w:val="22"/>
              </w:rPr>
            </w:pPr>
          </w:p>
        </w:tc>
        <w:tc>
          <w:tcPr>
            <w:tcW w:w="1276" w:type="dxa"/>
          </w:tcPr>
          <w:p w14:paraId="06CC8623" w14:textId="007818CF" w:rsidR="006B7BFE" w:rsidRPr="003A479C" w:rsidRDefault="006B7BFE" w:rsidP="0070360F">
            <w:pPr>
              <w:pStyle w:val="Default"/>
              <w:keepNext/>
              <w:keepLines/>
              <w:rPr>
                <w:rFonts w:ascii="Arial" w:hAnsi="Arial" w:cs="Arial"/>
                <w:b/>
                <w:spacing w:val="-4"/>
                <w:sz w:val="22"/>
                <w:szCs w:val="22"/>
              </w:rPr>
            </w:pPr>
            <w:r w:rsidRPr="003A479C">
              <w:rPr>
                <w:rFonts w:ascii="Arial" w:hAnsi="Arial"/>
                <w:b/>
                <w:spacing w:val="-4"/>
                <w:sz w:val="22"/>
              </w:rPr>
              <w:t xml:space="preserve">Letna poraba časa v urah </w:t>
            </w:r>
          </w:p>
        </w:tc>
        <w:tc>
          <w:tcPr>
            <w:tcW w:w="1275" w:type="dxa"/>
          </w:tcPr>
          <w:p w14:paraId="6C38D040" w14:textId="1A5C7ACB" w:rsidR="006B7BFE" w:rsidRPr="003A479C" w:rsidRDefault="006B7BFE" w:rsidP="0070360F">
            <w:pPr>
              <w:pStyle w:val="Default"/>
              <w:keepNext/>
              <w:keepLines/>
              <w:rPr>
                <w:rFonts w:ascii="Arial" w:hAnsi="Arial" w:cs="Arial"/>
                <w:b/>
                <w:spacing w:val="-4"/>
                <w:sz w:val="22"/>
                <w:szCs w:val="22"/>
              </w:rPr>
            </w:pPr>
            <w:r w:rsidRPr="003A479C">
              <w:rPr>
                <w:rFonts w:ascii="Arial" w:hAnsi="Arial"/>
                <w:b/>
                <w:spacing w:val="-4"/>
                <w:sz w:val="22"/>
              </w:rPr>
              <w:t xml:space="preserve">Plačilo v EUR/uro </w:t>
            </w:r>
          </w:p>
        </w:tc>
        <w:tc>
          <w:tcPr>
            <w:tcW w:w="1276" w:type="dxa"/>
          </w:tcPr>
          <w:p w14:paraId="759A246A" w14:textId="60CDA072" w:rsidR="006B7BFE" w:rsidRPr="003A479C" w:rsidRDefault="006B7BFE" w:rsidP="0070360F">
            <w:pPr>
              <w:pStyle w:val="Default"/>
              <w:keepNext/>
              <w:keepLines/>
              <w:rPr>
                <w:rFonts w:ascii="Arial" w:hAnsi="Arial" w:cs="Arial"/>
                <w:b/>
                <w:spacing w:val="-4"/>
                <w:sz w:val="22"/>
                <w:szCs w:val="22"/>
              </w:rPr>
            </w:pPr>
            <w:r w:rsidRPr="003A479C">
              <w:rPr>
                <w:rFonts w:ascii="Arial" w:hAnsi="Arial"/>
                <w:b/>
                <w:spacing w:val="-4"/>
                <w:sz w:val="22"/>
              </w:rPr>
              <w:t xml:space="preserve">Letni stroški za osebje v EUR </w:t>
            </w:r>
          </w:p>
        </w:tc>
        <w:tc>
          <w:tcPr>
            <w:tcW w:w="1276" w:type="dxa"/>
          </w:tcPr>
          <w:p w14:paraId="3BAD02CC" w14:textId="194A8809" w:rsidR="006B7BFE" w:rsidRPr="003A479C" w:rsidRDefault="006B7BFE" w:rsidP="0070360F">
            <w:pPr>
              <w:pStyle w:val="Default"/>
              <w:keepNext/>
              <w:keepLines/>
              <w:rPr>
                <w:rFonts w:ascii="Arial" w:hAnsi="Arial" w:cs="Arial"/>
                <w:b/>
                <w:spacing w:val="-4"/>
                <w:sz w:val="22"/>
                <w:szCs w:val="22"/>
              </w:rPr>
            </w:pPr>
            <w:r w:rsidRPr="003A479C">
              <w:rPr>
                <w:rFonts w:ascii="Arial" w:hAnsi="Arial"/>
                <w:b/>
                <w:spacing w:val="-4"/>
                <w:sz w:val="22"/>
              </w:rPr>
              <w:t xml:space="preserve">Letni materialni stroški v EUR </w:t>
            </w:r>
          </w:p>
        </w:tc>
        <w:tc>
          <w:tcPr>
            <w:tcW w:w="1588" w:type="dxa"/>
          </w:tcPr>
          <w:p w14:paraId="7EA852C4" w14:textId="318E7D37" w:rsidR="006B7BFE" w:rsidRPr="003A479C" w:rsidRDefault="006B7BFE" w:rsidP="0070360F">
            <w:pPr>
              <w:pStyle w:val="Default"/>
              <w:keepNext/>
              <w:keepLines/>
              <w:rPr>
                <w:rFonts w:ascii="Arial" w:hAnsi="Arial" w:cs="Arial"/>
                <w:b/>
                <w:spacing w:val="-4"/>
                <w:sz w:val="22"/>
                <w:szCs w:val="22"/>
              </w:rPr>
            </w:pPr>
            <w:r w:rsidRPr="003A479C">
              <w:rPr>
                <w:rFonts w:ascii="Arial" w:hAnsi="Arial"/>
                <w:b/>
                <w:spacing w:val="-4"/>
                <w:sz w:val="22"/>
              </w:rPr>
              <w:t>Letni stroški izpolnje</w:t>
            </w:r>
            <w:r w:rsidR="003A479C">
              <w:rPr>
                <w:rFonts w:ascii="Arial" w:hAnsi="Arial"/>
                <w:b/>
                <w:spacing w:val="-4"/>
                <w:sz w:val="22"/>
              </w:rPr>
              <w:t>-</w:t>
            </w:r>
            <w:r w:rsidRPr="003A479C">
              <w:rPr>
                <w:rFonts w:ascii="Arial" w:hAnsi="Arial"/>
                <w:b/>
                <w:spacing w:val="-4"/>
                <w:sz w:val="22"/>
              </w:rPr>
              <w:t xml:space="preserve">vanja obveznosti v EUR </w:t>
            </w:r>
          </w:p>
        </w:tc>
      </w:tr>
      <w:tr w:rsidR="006B7BFE" w:rsidRPr="003A479C" w14:paraId="17404952" w14:textId="77777777" w:rsidTr="003A479C">
        <w:tc>
          <w:tcPr>
            <w:tcW w:w="1366" w:type="dxa"/>
          </w:tcPr>
          <w:p w14:paraId="274A982B" w14:textId="77777777" w:rsidR="006B7BFE" w:rsidRPr="003A479C" w:rsidRDefault="006B7BFE" w:rsidP="006B7BFE">
            <w:pPr>
              <w:pStyle w:val="Default"/>
              <w:rPr>
                <w:rFonts w:ascii="Arial" w:hAnsi="Arial" w:cs="Arial"/>
                <w:spacing w:val="-4"/>
                <w:sz w:val="22"/>
                <w:szCs w:val="22"/>
              </w:rPr>
            </w:pPr>
            <w:r w:rsidRPr="003A479C">
              <w:rPr>
                <w:rFonts w:ascii="Arial" w:hAnsi="Arial"/>
                <w:spacing w:val="-4"/>
                <w:sz w:val="22"/>
              </w:rPr>
              <w:t xml:space="preserve">Funkcionalna pregrada </w:t>
            </w:r>
          </w:p>
        </w:tc>
        <w:tc>
          <w:tcPr>
            <w:tcW w:w="1294" w:type="dxa"/>
          </w:tcPr>
          <w:p w14:paraId="73BC7D3D" w14:textId="221FDE31" w:rsidR="006B7BFE" w:rsidRPr="003A479C" w:rsidRDefault="006B7BFE" w:rsidP="000F1682">
            <w:pPr>
              <w:pStyle w:val="Default"/>
              <w:rPr>
                <w:rFonts w:ascii="Arial" w:hAnsi="Arial" w:cs="Arial"/>
                <w:spacing w:val="-4"/>
                <w:sz w:val="22"/>
                <w:szCs w:val="22"/>
              </w:rPr>
            </w:pPr>
            <w:r w:rsidRPr="003A479C">
              <w:rPr>
                <w:rFonts w:ascii="Arial" w:hAnsi="Arial"/>
                <w:spacing w:val="-4"/>
                <w:sz w:val="22"/>
              </w:rPr>
              <w:t xml:space="preserve">Oddelek 6a(1) in (4) </w:t>
            </w:r>
          </w:p>
        </w:tc>
        <w:tc>
          <w:tcPr>
            <w:tcW w:w="1276" w:type="dxa"/>
          </w:tcPr>
          <w:p w14:paraId="211D8246" w14:textId="77777777" w:rsidR="006B7BFE" w:rsidRPr="003A479C" w:rsidRDefault="006B7BFE" w:rsidP="002F4768">
            <w:pPr>
              <w:pStyle w:val="Default"/>
              <w:rPr>
                <w:rFonts w:ascii="Arial" w:hAnsi="Arial" w:cs="Arial"/>
                <w:spacing w:val="-4"/>
                <w:sz w:val="22"/>
                <w:szCs w:val="22"/>
              </w:rPr>
            </w:pPr>
            <w:r w:rsidRPr="003A479C">
              <w:rPr>
                <w:rFonts w:ascii="Arial" w:hAnsi="Arial"/>
                <w:spacing w:val="-4"/>
                <w:sz w:val="22"/>
              </w:rPr>
              <w:t xml:space="preserve">20 000 </w:t>
            </w:r>
          </w:p>
        </w:tc>
        <w:tc>
          <w:tcPr>
            <w:tcW w:w="1275" w:type="dxa"/>
          </w:tcPr>
          <w:p w14:paraId="041B8DAD" w14:textId="77777777" w:rsidR="006B7BFE" w:rsidRPr="003A479C" w:rsidRDefault="00A4031B" w:rsidP="006B7BFE">
            <w:pPr>
              <w:pStyle w:val="Default"/>
              <w:rPr>
                <w:rFonts w:ascii="Arial" w:hAnsi="Arial" w:cs="Arial"/>
                <w:spacing w:val="-4"/>
                <w:sz w:val="22"/>
                <w:szCs w:val="22"/>
              </w:rPr>
            </w:pPr>
            <w:r w:rsidRPr="003A479C">
              <w:rPr>
                <w:rFonts w:ascii="Arial" w:hAnsi="Arial"/>
                <w:spacing w:val="-4"/>
                <w:sz w:val="22"/>
              </w:rPr>
              <w:t>60,50</w:t>
            </w:r>
          </w:p>
        </w:tc>
        <w:tc>
          <w:tcPr>
            <w:tcW w:w="1276" w:type="dxa"/>
          </w:tcPr>
          <w:p w14:paraId="3016DBF2" w14:textId="77777777" w:rsidR="006B7BFE" w:rsidRPr="003A479C" w:rsidRDefault="00A4031B" w:rsidP="002F4768">
            <w:pPr>
              <w:pStyle w:val="Default"/>
              <w:rPr>
                <w:rFonts w:ascii="Arial" w:hAnsi="Arial" w:cs="Arial"/>
                <w:spacing w:val="-4"/>
                <w:sz w:val="22"/>
                <w:szCs w:val="22"/>
              </w:rPr>
            </w:pPr>
            <w:r w:rsidRPr="003A479C">
              <w:rPr>
                <w:rFonts w:ascii="Arial" w:hAnsi="Arial"/>
                <w:spacing w:val="-4"/>
                <w:sz w:val="22"/>
              </w:rPr>
              <w:t xml:space="preserve">1 210 000 </w:t>
            </w:r>
          </w:p>
        </w:tc>
        <w:tc>
          <w:tcPr>
            <w:tcW w:w="1276" w:type="dxa"/>
          </w:tcPr>
          <w:p w14:paraId="7800B24B" w14:textId="77777777" w:rsidR="006B7BFE" w:rsidRPr="003A479C" w:rsidRDefault="006B7BFE" w:rsidP="002F4768">
            <w:pPr>
              <w:pStyle w:val="Default"/>
              <w:rPr>
                <w:rFonts w:ascii="Arial" w:hAnsi="Arial" w:cs="Arial"/>
                <w:spacing w:val="-4"/>
                <w:sz w:val="22"/>
                <w:szCs w:val="22"/>
              </w:rPr>
            </w:pPr>
            <w:r w:rsidRPr="003A479C">
              <w:rPr>
                <w:rFonts w:ascii="Arial" w:hAnsi="Arial"/>
                <w:spacing w:val="-4"/>
                <w:sz w:val="22"/>
              </w:rPr>
              <w:t xml:space="preserve">6 950 000 </w:t>
            </w:r>
          </w:p>
        </w:tc>
        <w:tc>
          <w:tcPr>
            <w:tcW w:w="1588" w:type="dxa"/>
            <w:shd w:val="clear" w:color="auto" w:fill="BFBFBF" w:themeFill="background1" w:themeFillShade="BF"/>
          </w:tcPr>
          <w:p w14:paraId="4DC4F037" w14:textId="77777777" w:rsidR="006B7BFE" w:rsidRPr="003A479C" w:rsidRDefault="002F4768" w:rsidP="002F4768">
            <w:pPr>
              <w:pStyle w:val="Default"/>
              <w:rPr>
                <w:rFonts w:ascii="Arial" w:hAnsi="Arial" w:cs="Arial"/>
                <w:spacing w:val="-4"/>
                <w:sz w:val="22"/>
                <w:szCs w:val="22"/>
              </w:rPr>
            </w:pPr>
            <w:r w:rsidRPr="003A479C">
              <w:rPr>
                <w:rFonts w:ascii="Arial" w:hAnsi="Arial"/>
                <w:b/>
                <w:spacing w:val="-4"/>
                <w:sz w:val="22"/>
              </w:rPr>
              <w:t xml:space="preserve"> 8 160 000 </w:t>
            </w:r>
          </w:p>
        </w:tc>
      </w:tr>
    </w:tbl>
    <w:p w14:paraId="18499261" w14:textId="77777777" w:rsidR="006B7BFE" w:rsidRPr="00D43FA1" w:rsidRDefault="006B7BFE" w:rsidP="009140F6">
      <w:pPr>
        <w:pStyle w:val="Text"/>
        <w:spacing w:before="0" w:after="0"/>
      </w:pPr>
    </w:p>
    <w:p w14:paraId="59814092" w14:textId="5F799C20" w:rsidR="006B7BFE" w:rsidRPr="00D43FA1" w:rsidRDefault="006B7BFE" w:rsidP="0070360F">
      <w:pPr>
        <w:pStyle w:val="Text"/>
        <w:keepNext/>
        <w:keepLines/>
        <w:spacing w:before="0" w:after="0"/>
        <w:rPr>
          <w:b/>
          <w:bCs/>
          <w:u w:val="single"/>
        </w:rPr>
      </w:pPr>
      <w:r>
        <w:rPr>
          <w:b/>
          <w:u w:val="single"/>
        </w:rPr>
        <w:t xml:space="preserve">Pisna ali elektronska izjava o opustitvi funkcionalne pregrade v skladu z oddelkom 6a(3) </w:t>
      </w:r>
    </w:p>
    <w:p w14:paraId="4E96F6C2" w14:textId="77777777" w:rsidR="006B7BFE" w:rsidRPr="00D43FA1" w:rsidRDefault="006B7BFE" w:rsidP="0070360F">
      <w:pPr>
        <w:pStyle w:val="Text"/>
        <w:keepNext/>
        <w:keepLines/>
        <w:spacing w:before="0" w:after="0"/>
        <w:rPr>
          <w:b/>
          <w:bCs/>
          <w:u w:val="single"/>
        </w:rPr>
      </w:pPr>
    </w:p>
    <w:p w14:paraId="10854287" w14:textId="77777777" w:rsidR="006B7BFE" w:rsidRPr="00D43FA1" w:rsidRDefault="006B7BFE" w:rsidP="009140F6">
      <w:pPr>
        <w:pStyle w:val="Text"/>
        <w:spacing w:before="0" w:after="0"/>
      </w:pPr>
      <w:r>
        <w:t xml:space="preserve">a) Enkratni stroški prehoda </w:t>
      </w:r>
    </w:p>
    <w:p w14:paraId="6355E48C" w14:textId="77777777" w:rsidR="006B7BFE" w:rsidRPr="00D43FA1" w:rsidRDefault="006B7BFE" w:rsidP="009140F6">
      <w:pPr>
        <w:pStyle w:val="Text"/>
        <w:spacing w:before="0" w:after="0"/>
      </w:pPr>
    </w:p>
    <w:p w14:paraId="712DAED7" w14:textId="77777777" w:rsidR="006B7BFE" w:rsidRPr="00D43FA1" w:rsidRDefault="006B7BFE" w:rsidP="009140F6">
      <w:pPr>
        <w:pStyle w:val="Text"/>
        <w:spacing w:before="0" w:after="0"/>
      </w:pPr>
      <w:r>
        <w:t xml:space="preserve">Ne nastanejo enkratni stroški prehoda. </w:t>
      </w:r>
    </w:p>
    <w:p w14:paraId="00996219" w14:textId="77777777" w:rsidR="006B7BFE" w:rsidRPr="00D43FA1" w:rsidRDefault="006B7BFE" w:rsidP="009140F6">
      <w:pPr>
        <w:pStyle w:val="Text"/>
        <w:spacing w:before="0" w:after="0"/>
      </w:pPr>
    </w:p>
    <w:p w14:paraId="17551374" w14:textId="77777777" w:rsidR="006B7BFE" w:rsidRPr="00D43FA1" w:rsidRDefault="006B7BFE" w:rsidP="0070360F">
      <w:pPr>
        <w:pStyle w:val="Text"/>
        <w:keepNext/>
        <w:keepLines/>
        <w:spacing w:before="0" w:after="0"/>
      </w:pPr>
      <w:r>
        <w:t xml:space="preserve">b) Letni stroški izpolnjevanja obveznosti </w:t>
      </w:r>
    </w:p>
    <w:p w14:paraId="35D80FBA" w14:textId="77777777" w:rsidR="006B7BFE" w:rsidRPr="00D43FA1" w:rsidRDefault="006B7BFE" w:rsidP="0070360F">
      <w:pPr>
        <w:pStyle w:val="Text"/>
        <w:keepNext/>
        <w:keepLines/>
        <w:spacing w:before="0" w:after="0"/>
      </w:pPr>
    </w:p>
    <w:p w14:paraId="3CE01598" w14:textId="35D783EC" w:rsidR="006B7BFE" w:rsidRPr="00D43FA1" w:rsidRDefault="006B7BFE" w:rsidP="009140F6">
      <w:pPr>
        <w:pStyle w:val="Text"/>
        <w:spacing w:before="0" w:after="0"/>
      </w:pPr>
      <w:r>
        <w:t xml:space="preserve">Potrebni dodatni podatki, tj. vsebina izjave o opustitvi, so predmet dogovorov o embalažnem materialu med proizvajalci embalaže in živil. Nastanejo manjši dodatni stroški izpolnjevanja obveznosti. </w:t>
      </w:r>
    </w:p>
    <w:p w14:paraId="7BA9413B" w14:textId="77777777" w:rsidR="006B7BFE" w:rsidRPr="00D43FA1" w:rsidRDefault="006B7BFE" w:rsidP="009140F6">
      <w:pPr>
        <w:pStyle w:val="Text"/>
        <w:spacing w:before="0" w:after="0"/>
      </w:pPr>
    </w:p>
    <w:p w14:paraId="27386C8C" w14:textId="3AECCFC0" w:rsidR="006B7BFE" w:rsidRPr="00D43FA1" w:rsidRDefault="006B7BFE" w:rsidP="0070360F">
      <w:pPr>
        <w:pStyle w:val="Text"/>
        <w:keepNext/>
        <w:keepLines/>
        <w:spacing w:before="0" w:after="0"/>
        <w:rPr>
          <w:b/>
          <w:bCs/>
          <w:u w:val="single"/>
        </w:rPr>
      </w:pPr>
      <w:r>
        <w:rPr>
          <w:b/>
          <w:u w:val="single"/>
        </w:rPr>
        <w:t>Obveznost dokazila o izključitvi prehajanja MOAH v skladu z oddelkom 6a(1), (2) in (4)</w:t>
      </w:r>
    </w:p>
    <w:p w14:paraId="3AA8F0EE" w14:textId="77777777" w:rsidR="006B7BFE" w:rsidRPr="00D43FA1" w:rsidRDefault="006B7BFE" w:rsidP="0070360F">
      <w:pPr>
        <w:pStyle w:val="Text"/>
        <w:keepNext/>
        <w:keepLines/>
        <w:spacing w:before="0" w:after="0"/>
        <w:rPr>
          <w:b/>
          <w:bCs/>
          <w:u w:val="single"/>
        </w:rPr>
      </w:pPr>
    </w:p>
    <w:p w14:paraId="7E2FAB88" w14:textId="77777777" w:rsidR="006B7BFE" w:rsidRPr="00D43FA1" w:rsidRDefault="006B7BFE" w:rsidP="009140F6">
      <w:pPr>
        <w:pStyle w:val="Text"/>
        <w:spacing w:before="0" w:after="0"/>
      </w:pPr>
      <w:r>
        <w:t xml:space="preserve">a) Enkratni stroški prehoda </w:t>
      </w:r>
    </w:p>
    <w:p w14:paraId="05D46EC8" w14:textId="77777777" w:rsidR="006B7BFE" w:rsidRPr="00D43FA1" w:rsidRDefault="006B7BFE" w:rsidP="009140F6">
      <w:pPr>
        <w:pStyle w:val="Text"/>
        <w:spacing w:before="0" w:after="0"/>
      </w:pPr>
    </w:p>
    <w:p w14:paraId="41AA9133" w14:textId="77777777" w:rsidR="006B7BFE" w:rsidRPr="00D43FA1" w:rsidRDefault="006B7BFE" w:rsidP="009140F6">
      <w:pPr>
        <w:pStyle w:val="Text"/>
        <w:spacing w:before="0" w:after="0"/>
      </w:pPr>
      <w:r>
        <w:lastRenderedPageBreak/>
        <w:t xml:space="preserve">Ne nastanejo enkratni stroški prehoda. </w:t>
      </w:r>
    </w:p>
    <w:p w14:paraId="47912140" w14:textId="77777777" w:rsidR="006B7BFE" w:rsidRPr="00D43FA1" w:rsidRDefault="006B7BFE" w:rsidP="009140F6">
      <w:pPr>
        <w:pStyle w:val="Text"/>
        <w:spacing w:before="0" w:after="0"/>
      </w:pPr>
    </w:p>
    <w:p w14:paraId="25B57848" w14:textId="77777777" w:rsidR="006B7BFE" w:rsidRPr="00D43FA1" w:rsidRDefault="006B7BFE" w:rsidP="0070360F">
      <w:pPr>
        <w:pStyle w:val="Text"/>
        <w:keepNext/>
        <w:keepLines/>
        <w:spacing w:before="0" w:after="0"/>
      </w:pPr>
      <w:r>
        <w:t xml:space="preserve">b) Letni stroški izpolnjevanja obveznosti </w:t>
      </w:r>
    </w:p>
    <w:p w14:paraId="3DD42870" w14:textId="77777777" w:rsidR="006B7BFE" w:rsidRPr="00D43FA1" w:rsidRDefault="006B7BFE" w:rsidP="0070360F">
      <w:pPr>
        <w:pStyle w:val="Text"/>
        <w:keepNext/>
        <w:keepLines/>
        <w:spacing w:before="0" w:after="0"/>
      </w:pPr>
    </w:p>
    <w:p w14:paraId="0F203911" w14:textId="58912BF5" w:rsidR="00013F7F" w:rsidRPr="00D43FA1" w:rsidRDefault="006B7BFE" w:rsidP="00557D18">
      <w:pPr>
        <w:pStyle w:val="Text"/>
        <w:spacing w:before="0" w:after="0"/>
      </w:pPr>
      <w:r>
        <w:t>Splošna obveznost glede dokumentacije za potrošniško blago, namenjeno za stik z živili, je že določena v Uredbi Komisije (ES) št. 2023/2006 z dne 22. decembra 2006 o dobri proizvodni praksi za materiale in izdelke, namenjene za stik z živili (UL L 384, 29.12.2006, str. 75) (tako imenovana uredba o dobri proizvodni praksi). Poleg tega se v okviru prvega preskušanja in rednega preskušanja živil in embalaže živil že pripravijo dokumenti, ki lahko služijo kot dokazilo. Nastanejo manjši dodatni stroški izpolnjevanja obveznosti.</w:t>
      </w:r>
    </w:p>
    <w:p w14:paraId="6239F5A0" w14:textId="77777777" w:rsidR="00013F7F" w:rsidRPr="00D43FA1" w:rsidRDefault="00013F7F" w:rsidP="00013F7F">
      <w:pPr>
        <w:pStyle w:val="Text"/>
        <w:spacing w:before="0" w:after="0"/>
        <w:jc w:val="left"/>
      </w:pPr>
    </w:p>
    <w:p w14:paraId="24214F93" w14:textId="148D582D" w:rsidR="00425BF3" w:rsidRPr="003A479C" w:rsidRDefault="00425BF3" w:rsidP="00557D18">
      <w:pPr>
        <w:pStyle w:val="Text"/>
        <w:spacing w:before="0" w:after="0"/>
        <w:rPr>
          <w:spacing w:val="-4"/>
        </w:rPr>
      </w:pPr>
      <w:r w:rsidRPr="003A479C">
        <w:rPr>
          <w:spacing w:val="-4"/>
        </w:rPr>
        <w:t>Določbe uredbe se uporabljajo enako za mala in srednje velika podjetja (MSP). Posebna izvzetja za MSP zaradi varovanja zdravja potrošnikov niso mogoča. Vendar uredba na splošno predvideva izvzetja od uporabe funkcionalne pregrade, če so zagotovljeni potrebni pogoji.</w:t>
      </w:r>
    </w:p>
    <w:p w14:paraId="4C839333" w14:textId="77777777" w:rsidR="00325F70" w:rsidRPr="00D43FA1" w:rsidRDefault="00325F70" w:rsidP="00013F7F">
      <w:pPr>
        <w:pStyle w:val="Text"/>
        <w:spacing w:before="0" w:after="0"/>
        <w:jc w:val="left"/>
      </w:pPr>
    </w:p>
    <w:p w14:paraId="2CF68D80" w14:textId="7D273F70" w:rsidR="003F6BDA" w:rsidRPr="00D43FA1" w:rsidRDefault="00091B75" w:rsidP="00557D18">
      <w:pPr>
        <w:pStyle w:val="Text"/>
        <w:spacing w:before="0" w:after="0"/>
      </w:pPr>
      <w:r>
        <w:t>Dodatni tekoči stroški izpolnjevanja obveznosti za gospodarstvo, ki jih povzroči zahteva, so predmet načela „za enega sprejetega se eden odpravi“. Nadomestila v okviru predložene ureditve ni mogoče uresničiti. Stroški izpolnjevanja obveznosti se tako nadomestijo z drugo načrtovano ureditvijo.</w:t>
      </w:r>
    </w:p>
    <w:p w14:paraId="099F2BD7" w14:textId="77777777" w:rsidR="00FA7FE4" w:rsidRPr="00D43FA1" w:rsidRDefault="00FA7FE4" w:rsidP="00013F7F">
      <w:pPr>
        <w:pStyle w:val="Text"/>
        <w:spacing w:before="0" w:after="0"/>
        <w:jc w:val="left"/>
      </w:pPr>
    </w:p>
    <w:p w14:paraId="3A617D65" w14:textId="77777777" w:rsidR="004779CD" w:rsidRPr="00D43FA1" w:rsidRDefault="004779CD" w:rsidP="0070360F">
      <w:pPr>
        <w:pStyle w:val="Text"/>
        <w:keepNext/>
        <w:keepLines/>
        <w:spacing w:before="0" w:after="0"/>
        <w:rPr>
          <w:u w:val="single"/>
        </w:rPr>
      </w:pPr>
      <w:r>
        <w:rPr>
          <w:u w:val="single"/>
        </w:rPr>
        <w:t>c) Stroški izpolnjevanja obveznosti za državljane</w:t>
      </w:r>
    </w:p>
    <w:p w14:paraId="49145E90" w14:textId="77777777" w:rsidR="004779CD" w:rsidRPr="00D43FA1" w:rsidRDefault="004779CD" w:rsidP="0070360F">
      <w:pPr>
        <w:pStyle w:val="Text"/>
        <w:keepNext/>
        <w:keepLines/>
        <w:spacing w:before="0" w:after="0"/>
      </w:pPr>
    </w:p>
    <w:p w14:paraId="61EA37FE" w14:textId="65B99C01" w:rsidR="00D43FA1" w:rsidRDefault="00612652" w:rsidP="003F6BDA">
      <w:pPr>
        <w:pStyle w:val="Text"/>
        <w:spacing w:before="0" w:after="0"/>
      </w:pPr>
      <w:r>
        <w:t>Za državljane z uredbo ne nastanejo stroški izpolnjevanja obveznosti.</w:t>
      </w:r>
    </w:p>
    <w:p w14:paraId="1EB134D3" w14:textId="568FB39B" w:rsidR="004779CD" w:rsidRPr="00D43FA1" w:rsidRDefault="004779CD" w:rsidP="003F6BDA">
      <w:pPr>
        <w:pStyle w:val="Text"/>
        <w:spacing w:before="0" w:after="0"/>
      </w:pPr>
    </w:p>
    <w:p w14:paraId="3D17859D" w14:textId="77777777" w:rsidR="006444D5" w:rsidRPr="00D43FA1" w:rsidRDefault="006444D5" w:rsidP="001E5369">
      <w:pPr>
        <w:pStyle w:val="berschriftarabischBegrndung"/>
      </w:pPr>
      <w:r>
        <w:t>Dodatni stroški</w:t>
      </w:r>
    </w:p>
    <w:p w14:paraId="4A6DA429" w14:textId="7117B5F4" w:rsidR="000F4A0B" w:rsidRPr="00D43FA1" w:rsidRDefault="00CB5E99">
      <w:pPr>
        <w:pStyle w:val="Text"/>
      </w:pPr>
      <w:r>
        <w:t>Vpliva na posamezne cene ni mogoče povsem izključiti, vendar vpliva na splošno raven cen, zlasti na raven maloprodajnih cen, ni pričakovati.</w:t>
      </w:r>
    </w:p>
    <w:p w14:paraId="6B3FA7B6" w14:textId="77777777" w:rsidR="000F4A0B" w:rsidRPr="00D43FA1" w:rsidRDefault="000F4A0B" w:rsidP="000F4A0B">
      <w:pPr>
        <w:pStyle w:val="berschriftarabischBegrndung"/>
      </w:pPr>
      <w:r>
        <w:t>Nadaljnje zakonske posledice</w:t>
      </w:r>
    </w:p>
    <w:p w14:paraId="0411E3C3" w14:textId="0FFA3405" w:rsidR="000F4A0B" w:rsidRPr="00D43FA1" w:rsidRDefault="000F4A0B" w:rsidP="000F4A0B">
      <w:pPr>
        <w:pStyle w:val="Text"/>
      </w:pPr>
      <w:r>
        <w:t xml:space="preserve">Uredba ne vsebuje določb, ki bi posebej vplivale na življenjske okoliščine žensk ali moških. V enaki meri je zagotovljeno varovanje zdravja žensk in moških. Zato ni pričakovati vplivov na enakopravnost žensk in moških. </w:t>
      </w:r>
    </w:p>
    <w:p w14:paraId="3D5B6005" w14:textId="77777777" w:rsidR="000F4A0B" w:rsidRPr="00D43FA1" w:rsidRDefault="000F4A0B" w:rsidP="000F4A0B">
      <w:pPr>
        <w:pStyle w:val="berschriftrmischBegrndung"/>
      </w:pPr>
      <w:r>
        <w:t>Časovna omejitev; vrednotenje</w:t>
      </w:r>
    </w:p>
    <w:p w14:paraId="713DB2AE" w14:textId="7C93590C" w:rsidR="00BE6637" w:rsidRPr="00D43FA1" w:rsidRDefault="006504FE" w:rsidP="000F4A0B">
      <w:pPr>
        <w:pStyle w:val="Text"/>
      </w:pPr>
      <w:r>
        <w:t xml:space="preserve">Časovna omejitev ureditve ni predvidena, saj je treba zagotoviti dolgoročno varstvo potrošnikov. </w:t>
      </w:r>
    </w:p>
    <w:p w14:paraId="757F71C9" w14:textId="125BCDA5" w:rsidR="000F4A0B" w:rsidRPr="003A479C" w:rsidRDefault="00BE6637" w:rsidP="000F4A0B">
      <w:pPr>
        <w:pStyle w:val="Text"/>
        <w:rPr>
          <w:spacing w:val="-4"/>
          <w:highlight w:val="yellow"/>
        </w:rPr>
      </w:pPr>
      <w:r w:rsidRPr="003A479C">
        <w:rPr>
          <w:spacing w:val="-4"/>
        </w:rPr>
        <w:t xml:space="preserve">Vendar je ocena učinka te uredbe predvidena pet let po začetku uporabe predpisov. Pri tem se preveri, ali so bili doseženi cilji uredbe, torej zmanjšanje izpostavljenosti potrošnikov MOAH iz potrošniškega blaga, namenjenega za stik z živili, ki ga ureja uredba, z uporabo funkcionalne pregrade ali drugih ustreznih ukrepov za preprečevanje prehajanja MOAH (meja zaznavnosti 0,5 miligrama MOAH na kilogram živila ali 0,15 miligrama MOAH na kilogram modelne raztopine za živila). Potrebni podatki bi morali biti na voljo na podlagi rezultatov nadzora organov za nadzor nad živili in dela na področju zagotavljanja skladnosti prizadetih podjetij. Poleg tega je treba upoštevati dejanske vplive stroškov, kot so na primer stroški razvoja, prehoda in analitskega preskušanja potrošniškega materiala, namenjenega za stik z živili, in prizadetih živil, glede na cilj ureditve in možne stranske učinke, če je to potrebno. Upoštevati je treba tudi razvoj analiz, zlasti dosegljive meje zaznavnosti za MOAH. </w:t>
      </w:r>
    </w:p>
    <w:p w14:paraId="353D2149" w14:textId="77777777" w:rsidR="006444D5" w:rsidRPr="00D43FA1" w:rsidRDefault="006444D5" w:rsidP="0070360F">
      <w:pPr>
        <w:pStyle w:val="BegrndungBesondererTeil"/>
        <w:keepLines/>
      </w:pPr>
      <w:r>
        <w:lastRenderedPageBreak/>
        <w:t>B. Posebni del</w:t>
      </w:r>
    </w:p>
    <w:p w14:paraId="0532AB57" w14:textId="77777777" w:rsidR="00CB5E99" w:rsidRPr="00D43FA1" w:rsidRDefault="00CB5E99" w:rsidP="0070360F">
      <w:pPr>
        <w:pStyle w:val="Text"/>
        <w:keepNext/>
        <w:keepLines/>
        <w:rPr>
          <w:b/>
        </w:rPr>
      </w:pPr>
      <w:r>
        <w:rPr>
          <w:b/>
        </w:rPr>
        <w:t>K členu 1</w:t>
      </w:r>
    </w:p>
    <w:p w14:paraId="03E3D677" w14:textId="77777777" w:rsidR="00CB5E99" w:rsidRPr="00D43FA1" w:rsidRDefault="00CB5E99" w:rsidP="0070360F">
      <w:pPr>
        <w:pStyle w:val="Text"/>
        <w:keepNext/>
        <w:keepLines/>
        <w:rPr>
          <w:u w:val="single"/>
        </w:rPr>
      </w:pPr>
      <w:r>
        <w:rPr>
          <w:u w:val="single"/>
        </w:rPr>
        <w:t>K točki 1</w:t>
      </w:r>
    </w:p>
    <w:p w14:paraId="56A74D00" w14:textId="53730A0D" w:rsidR="00CB5E99" w:rsidRPr="00D43FA1" w:rsidRDefault="00CB5E99" w:rsidP="00CB5E99">
      <w:pPr>
        <w:pStyle w:val="Text"/>
      </w:pPr>
      <w:r>
        <w:t xml:space="preserve">S točko 1 se v zvezi z vsebino ureditve te uredbe vključijo potrebne opredelitve pojmov za vlakna iz odpadnega papirja, aromatske ogljikovodike mineralnih olj (MOAH), funkcionalno pregrado in modelno raztopino za živila. </w:t>
      </w:r>
    </w:p>
    <w:p w14:paraId="6B41D48F" w14:textId="7D3C5D5E" w:rsidR="002535AD" w:rsidRPr="00D43FA1" w:rsidRDefault="00031FDC" w:rsidP="00CB5E99">
      <w:pPr>
        <w:pStyle w:val="Text"/>
      </w:pPr>
      <w:r>
        <w:t xml:space="preserve">V okviru opredelitve pojma funkcionalne pregrade se uvede razlikovanje med različnimi oblikami. Funkcionalna pregrada je lahko trdno povezana s potrošniškim blagom, namenjenim za stik z živili, na primer v obliki premaza (oddelek 2(9)(a)), ali ločena, na primer v obliki vmesne vrečke (oddelek 2(9)(b)). Glede na vrsto potrošniškega blaga, namenjenega za stik z živili, živila, pogojev uporabe in roka uporabe potrošniškega blaga, namenjenega za stik z živili, so kot material za premaz papirja, lepenke ali kartona ali kot material za dodatno notranjo vrečko primerni na primer aluminij ali različne umetne mase (npr. PET, poliakrilat, poliacetat, poliamidi). </w:t>
      </w:r>
    </w:p>
    <w:p w14:paraId="578470CD" w14:textId="77777777" w:rsidR="00CB5E99" w:rsidRPr="00D43FA1" w:rsidRDefault="00CB5E99" w:rsidP="0070360F">
      <w:pPr>
        <w:pStyle w:val="Text"/>
        <w:keepNext/>
        <w:keepLines/>
        <w:rPr>
          <w:u w:val="single"/>
        </w:rPr>
      </w:pPr>
      <w:r>
        <w:rPr>
          <w:u w:val="single"/>
        </w:rPr>
        <w:t>K točki 2</w:t>
      </w:r>
    </w:p>
    <w:p w14:paraId="0EE8563F" w14:textId="0FD6DB76" w:rsidR="00492084" w:rsidRPr="00D43FA1" w:rsidRDefault="00CB5E99" w:rsidP="00CB5E99">
      <w:pPr>
        <w:pStyle w:val="Text"/>
      </w:pPr>
      <w:r>
        <w:t xml:space="preserve">S točko 2 se določijo posebni predpisi za potrošniško blago, namenjeno za stik z živili, iz papirja, lepenke ali kartona, ki se proizvede z uporabo vlaken iz odpadnega papirja. </w:t>
      </w:r>
    </w:p>
    <w:p w14:paraId="02416656" w14:textId="65FC9A3F" w:rsidR="00492084" w:rsidRPr="00D43FA1" w:rsidRDefault="00492084" w:rsidP="00123317">
      <w:pPr>
        <w:pStyle w:val="Text"/>
      </w:pPr>
      <w:r>
        <w:t>V oddelku 6a(1) in (2) so določene posebne zahteve za podjetja, ki proizvajajo potrošniško blago, namenjeno za stik z živili (proizvajalec, dobavitelj). Če želi nosilec živilske dejavnosti sprejeti lastne ustrezne ukrepe, ki odstopajo od tega, se uporabljajo zahteve iz odstavkov 3 in 4, ki so namenjene njemu in podjetjem za proizvodnjo potrošniškega blaga, namenjenega za stik z živili. Odstavek 5 je namenjen podjetjem za proizvodnjo potrošniškega blaga, namenjenega za stik z živili, in tudi nosilcem živilske dejavnosti.</w:t>
      </w:r>
    </w:p>
    <w:p w14:paraId="21FFB49B" w14:textId="172F128E" w:rsidR="00123317" w:rsidRPr="00D43FA1" w:rsidRDefault="00CB5E99" w:rsidP="00123317">
      <w:pPr>
        <w:pStyle w:val="Text"/>
      </w:pPr>
      <w:r>
        <w:t>V skladu z oddelkom 6a(1) mora biti zgoraj navedeno potrošniško blago, namenjeno za stik z živili, opremljeno s funkcionalno pregrado, s katero se zagotovi, da ne pride do prehajanja MOAH v živila. Proizvajalci in dobavitelji potrošniškega blaga, namenjenega za stik z živili, bodo praviloma uporabljali funkcionalno pregrado v skladu z oddelkom 2(9)(a), torej plast ali premaz, trdno povezan s potrošniškim blagom, namenjenim za stik z živili. Če se meri prehajanja v živilo, je zakonsko določeno, da do meje zaznavnosti 0,5 miligrama MOAH na kilogram živila ne pride do prehajanja. Če se funkcionalnost pregrade določa z ustreznimi modelnimi raztopinami za živila, se ustrezno uporablja meja zaznavnosti 0,15 miligrama MOAH na kilogram modelne raztopine za živila.</w:t>
      </w:r>
    </w:p>
    <w:p w14:paraId="69C05D19" w14:textId="6D27CFB0" w:rsidR="006F0E66" w:rsidRPr="00D43FA1" w:rsidRDefault="00123317" w:rsidP="0070360F">
      <w:pPr>
        <w:pStyle w:val="Text"/>
        <w:keepNext/>
        <w:keepLines/>
      </w:pPr>
      <w:r>
        <w:lastRenderedPageBreak/>
        <w:t xml:space="preserve">Analiza mineralnega olja v živilu in analiza deleža, ki izvira iz potrošniškega blaga, namenjenega za stik z živili, sta zahtevni, vendar je bil v zadnjih letih dosežen velik napredek. Trenutno ni mogoče doseči dolgoročne meje zaznavnosti 0,15 miligrama na kilogram živila za prehajanje MOAH iz potrošniškega blaga, namenjenega za stik z živili, v vseh živilih. Nanjo močno vpliva posamezna živilska matrica. Predvidena meja zaznavnosti 0,5 miligrama MOAH na kilogram živila za prehajanje iz potrošniškega blaga, namenjenega za stik z živili, je trenutno mogoče določiti analitsko v praksi na živilih. Če se namesto tega uporabljajo modelne raztopine za živila (praviloma poli(2,6-difenil-p-fenilenoksid)), da se preveri zadostna funkcionalnost pregrade glede prehajanja MOAH, se uporabi meja zaznavnosti 0,15 miligrama MOAH na kilogram modelne raztopine za živila. To je med drugim utemeljeno s tem, da ne prihaja do vpliva na MOAH zaradi živilske matrice in je zato dokazovanje MOAH v praksi znatno občutljivejše. Glede običajnih metod ali analiznih metod, ki se trenutno najpogosteje uporabljajo, je vključeno sklicevanje na naslednjo objavo Zveznega inštituta za oceno tveganja: </w:t>
      </w:r>
    </w:p>
    <w:p w14:paraId="13C0812B" w14:textId="5C8E1359" w:rsidR="006F0E66" w:rsidRPr="00D43FA1" w:rsidRDefault="00123317" w:rsidP="009777BB">
      <w:pPr>
        <w:pStyle w:val="Text"/>
        <w:numPr>
          <w:ilvl w:val="0"/>
          <w:numId w:val="7"/>
        </w:numPr>
      </w:pPr>
      <w:r>
        <w:t xml:space="preserve">„Določanje ogljikovodikov iz mineralnih olj (MOSH in MOAH) ali umetnih mas (POSH, PAO) v embalažnih materialih in suhih živilih z ekstrakcijo trdne faze in plinsko kromatografijo-plamenskim ionizacijskim detektorjem“ (na voljo na: </w:t>
      </w:r>
      <w:hyperlink r:id="rId8" w:history="1">
        <w:r>
          <w:t>http://</w:t>
        </w:r>
      </w:hyperlink>
      <w:hyperlink r:id="rId9" w:history="1">
        <w:r>
          <w:t>www.bfr.bund.de/cm/343/bestimmung-von-kohlenwasserstoffen-aus-mineraloel-oder-kunststoffen.pdf</w:t>
        </w:r>
      </w:hyperlink>
      <w:r>
        <w:t xml:space="preserve"> stanje: </w:t>
      </w:r>
      <w:r>
        <w:rPr>
          <w:b/>
          <w:i/>
          <w:u w:val="single"/>
        </w:rPr>
        <w:t>vstaviti XX.YY.2020</w:t>
      </w:r>
      <w:r>
        <w:t>);</w:t>
      </w:r>
    </w:p>
    <w:p w14:paraId="5B28167A" w14:textId="7238AA47" w:rsidR="00123317" w:rsidRPr="00D43FA1" w:rsidRDefault="00123317" w:rsidP="009777BB">
      <w:pPr>
        <w:pStyle w:val="Text"/>
        <w:numPr>
          <w:ilvl w:val="0"/>
          <w:numId w:val="7"/>
        </w:numPr>
      </w:pPr>
      <w:r>
        <w:t xml:space="preserve">„Merjenje ogljikovodikov iz mineralnih olj v živilih in embalažnih materialih“, priročnik Zveznega inštituta za oceno tveganja in laboratorija kantona Zürich (na voljo na : </w:t>
      </w:r>
      <w:hyperlink r:id="rId10" w:history="1">
        <w:r>
          <w:t>http://www.bfr.bund.de/cm/343/messung-von-mineraloel-kohlenwasserstoffen-in-lebensmitteln-und-verpackungsmaterialien.pdf</w:t>
        </w:r>
      </w:hyperlink>
      <w:r>
        <w:t xml:space="preserve"> stanje: </w:t>
      </w:r>
      <w:r>
        <w:rPr>
          <w:b/>
          <w:i/>
          <w:u w:val="single"/>
        </w:rPr>
        <w:t>vstaviti XX.YY.2020</w:t>
      </w:r>
      <w:r>
        <w:t>).</w:t>
      </w:r>
      <w:r>
        <w:rPr>
          <w:u w:val="single"/>
        </w:rPr>
        <w:t xml:space="preserve"> </w:t>
      </w:r>
    </w:p>
    <w:p w14:paraId="2BF32794" w14:textId="24041945" w:rsidR="00123317" w:rsidRPr="00D43FA1" w:rsidRDefault="00123317" w:rsidP="00123317">
      <w:pPr>
        <w:pStyle w:val="Text"/>
      </w:pPr>
      <w:r>
        <w:t xml:space="preserve">Zahteve glede uporabe funkcionalne pregrade se med drugim uporabljajo samo za materiale in izdelke iz papirja, lepenke ali kartona, ki se proizvajajo z uporabo vlaken iz odpadnega papirja in spadajo v področje uporabe člena 1(2) Uredbe (ES) št. 1935/2004 o materialih in izdelkih, namenjenih za stik z živili, in o razveljavitvi direktiv 80/590/EGS in 89/109/EGS. Za transportni karton in kartonsko ovojnino se ustrezno uporablja samo, če gre v konkretnem primeru za potrošniško blago, namenjeno za stik z živili. Prekrivajoča se, večkratna namestitev funkcionalne pregrade vzdolž dobavne verige načeloma ni potrebna. Tako na primer v primeru transportnega kartona in kartonske ovojnine – če gre v konkretnem primeru za potrošniško blago, namenjeno za stik z živili – ni potrebna funkcionalna pregrada, če se že z dejanske embalaže ali embalažnega sistema samega živila (npr. primarna ali sekundarna embalaža) zagotovi, da ne prihaja do prehajanja MOAH v živila. Ustrezno je – na splošno na področju potrošniškega blaga, namenjenega za stik z živili – nujna ustrezna komunikacija znotraj dobavne verige. </w:t>
      </w:r>
    </w:p>
    <w:p w14:paraId="2A4229C4" w14:textId="53D99B75" w:rsidR="00123317" w:rsidRPr="00D43FA1" w:rsidRDefault="00123317" w:rsidP="00CB5E99">
      <w:pPr>
        <w:pStyle w:val="Text"/>
      </w:pPr>
      <w:r>
        <w:t xml:space="preserve">Meja zaznavnosti 0,5 miligrama MOAH na kilogram živila, ki je v zvezi s funkcionalno pregrado določena v tej uredbi, se poleg tega nanaša samo na prehajanje MOAH iz potrošniškega blaga, namenjenega za stik z živili, ki spada v področje uporabe te uredbe, in ne predstavlja splošne največje količine MOAH v živilih. </w:t>
      </w:r>
    </w:p>
    <w:p w14:paraId="4749053E" w14:textId="4FB8D89A" w:rsidR="00C42AD4" w:rsidRPr="00D43FA1" w:rsidRDefault="00000EDE" w:rsidP="00CB5E99">
      <w:pPr>
        <w:pStyle w:val="Text"/>
      </w:pPr>
      <w:r>
        <w:t xml:space="preserve">V odstavku 2 so predvidena izvzetja od obveznega opremljanja zadevnega potrošniškega blaga, namenjenega za stik z živili, s funkcionalno pregrado, ki se uporabljajo za podjetje za proizvodnjo potrošniškega blaga, namenjenega za stik z živili: če so izpolnjeni posebni pogoji, ki preprečujejo prehajanje MOAH v živila, ali če se z drugimi ukrepi zagotovi, da prehajanje MOAH iz potrošniškega blaga, namenjenega za stik z živili, pri meji zaznavnosti 0,5 miligrama MOAH na kilogram živila (ali 0,15 miligrama MOAH na kilogram modelne raztopine za živila) ni dokazano, se ne uporablja obveznost uporabe funkcionalne pregrade. Prva navedba velja, ko je že v samem papirju, lepenki ali kartonu vsebnost MOAH tako majhna, da ne more priti do prehajanja v živila nad mejo zaznavnosti. Slednje, tj. drugi ustrezni ukrepi v smislu točke 2, so lahko na primer ukrepi za potrošniško blago, namenjeno za stik z živili, kot je vdelava adsorbentov (aktivno oglje ipd.) v papir, lepenko ali karton, ki preprečujejo prehajanje MOAH v živila. </w:t>
      </w:r>
    </w:p>
    <w:p w14:paraId="575AE879" w14:textId="033B49B4" w:rsidR="00873463" w:rsidRPr="003A479C" w:rsidRDefault="00B849CA" w:rsidP="00CB5E99">
      <w:pPr>
        <w:pStyle w:val="Text"/>
        <w:rPr>
          <w:spacing w:val="-4"/>
        </w:rPr>
      </w:pPr>
      <w:r w:rsidRPr="003A479C">
        <w:rPr>
          <w:spacing w:val="-4"/>
        </w:rPr>
        <w:lastRenderedPageBreak/>
        <w:t xml:space="preserve">V skladu z oddelkom 6a(2) se lahko zadevno potrošniško blago, namenjeno za stik z živili, z odstopanjem od oddelka 6a(1) ob upoštevanju odstavka 4 proizvaja in daje na trg brez funkcionalne pregrade, ki je trdno povezana s potrošniškim blagom, namenjenim za stik z živili. Vendar je to dovoljeno le, če nosilec živilske dejavnosti proizvajalcu ali dobavitelju pred dobavo potrošniškega blaga, namenjenega za stik z živili, pisno ali elektronsko poda izjavo o opustitvi funkcionalne pregrade. Proizvajalec ali dobavitelj potrošniškega blaga, namenjenega za stik z živili, izjavo shrani, da bi lahko pristojnemu organu dokazal, da obstaja možnost odstopanja od določbe oddelka 6a(1)(1) na podlagi opustitve s strani nosilca živilske dejavnosti. </w:t>
      </w:r>
    </w:p>
    <w:p w14:paraId="559558B3" w14:textId="6DE3D8D4" w:rsidR="00595A3F" w:rsidRPr="003A479C" w:rsidRDefault="00595A3F" w:rsidP="00CB5E99">
      <w:pPr>
        <w:pStyle w:val="Text"/>
        <w:rPr>
          <w:spacing w:val="-4"/>
        </w:rPr>
      </w:pPr>
      <w:r w:rsidRPr="003A479C">
        <w:rPr>
          <w:spacing w:val="-4"/>
        </w:rPr>
        <w:t>Ureditev iz oddelka 6a(3) zajema nosilce živilske dejavnosti, ki v okviru svojega področja odgovornosti povzročijo, da je potrošniško blago, namenjeno za stik z živili, ki je proizvedeno z vlakni iz odpadnega papirja, v posrednem ali neposrednem stiku z živili, torej embalirajo ali pakirajo živila, ali povzročijo, da živila na drug način prvič pridejo v stik s potrošniškim blagom, namenjenim za stik z živili. Obveznost iz oddelka 6a(3) pa se na primer ne uporablja za nosilce živilske dejavnosti, ki nabavljajo izključno že embalirana živila (tudi iz druge države članice EU ali tretje države) in nimajo vpliva na postopek embaliranja. Nosilec živilske dejavnosti mora v tem primeru v okviru svoje splošne dolžnosti skrbnosti zagotoviti, da zadevni proizvodi izpolnjujejo zahteve glede nedovoljenega prehajanja MOAH.</w:t>
      </w:r>
    </w:p>
    <w:p w14:paraId="5D78B6B3" w14:textId="52811955" w:rsidR="00882CE4" w:rsidRPr="00D43FA1" w:rsidRDefault="00031FDC" w:rsidP="00CB5E99">
      <w:pPr>
        <w:pStyle w:val="Text"/>
      </w:pPr>
      <w:r>
        <w:t xml:space="preserve">V primerih iz oddelka 6a(3) mora nosilec živilske dejavnosti sam sprejeti ustrezne ukrepe v skladu z oddelka 6a(4), da prepreči prehajanje MOAH iz potrošniškega blaga, namenjenega za stik z živili, v živila. Tako lahko nosilec živilske dejavnosti v okviru polnjenja živila npr. uporabi vmesne vrečke ipd., ki služijo kot funkcionalna pregrada (glej oddelek 2(9)(b)). Ustrezno se uporabljajo zahteve glede meje zaznavnosti. </w:t>
      </w:r>
    </w:p>
    <w:p w14:paraId="7B05CB8A" w14:textId="77BE7A87" w:rsidR="00CB5E99" w:rsidRPr="00D43FA1" w:rsidRDefault="00CB5E99" w:rsidP="00CB5E99">
      <w:pPr>
        <w:pStyle w:val="Text"/>
      </w:pPr>
      <w:r>
        <w:t xml:space="preserve">Uporaba funkcionalne pregrade pa ni edina možnost, da se zagotovi, da ne pride do prehajanja MOAH iz potrošniškega blaga, namenjenega za stik z živili, v živila oziroma da prehajanje ni zaznavno. Ne uporablja se zlasti obveznost sprejetja ustreznih ukrepov, če zaradi sestave živila (npr. jedilna sol) ali pogojev uporabe (npr. v primeru globoko zamrznjenih živil ali kratkotrajnega stika suhih živil) ne pride do prehajanja MOAH v živila oziroma prehajanje ni nad mejo zaznavnosti ter tako velja za nezaznavno. </w:t>
      </w:r>
    </w:p>
    <w:p w14:paraId="285E5728" w14:textId="4D350E71" w:rsidR="00CB5E99" w:rsidRPr="003A479C" w:rsidRDefault="00CB5E99" w:rsidP="009C1BE7">
      <w:pPr>
        <w:pStyle w:val="Text"/>
        <w:rPr>
          <w:spacing w:val="-4"/>
        </w:rPr>
      </w:pPr>
      <w:r w:rsidRPr="003A479C">
        <w:rPr>
          <w:spacing w:val="-4"/>
        </w:rPr>
        <w:t>V okviru splošnih predpisov o potrošniškem blagu, namenjenem za stik z živili, mora posamezni odgovorni podjetnik – npr. proizvajalec, dobavitelj ali izvajalec pakiranja živil – pri izpolnjevanju svoje dolžnosti skrbnosti zagotoviti, da potrošniško blago, namenjeno za stik z živili, ki spada v njegovo področje odgovornosti ali se uporablja v okviru njega, izpolnjuje veljavne zahteve. Vključeno je na primer sklicevanje na oddelek 30(3) Zakonika o živilih, potrošniškem blagu in krmi (LFGB) in Uredbo (ES) št. 2023/2006. V skladu z Uredbo (ES) št. 2023/2006 je treba med drugim izpolnjevati določene obveznosti glede dokumentacije. To je v zvezi s predloženo uredbo pomembno pri vprašanju pregrade, ki se uporabi, ali pri uporabi izvzetja, saj se lahko dokumenti, ki se pripravijo v okviru teh obveznosti, uporabljajo kot dokazilo, da ima pregrada glede MOAH potrebno funkcionalnost za predvideni namen ali da prehajanje MOAH iz potrošniškega blaga, namenjenega za stik z živili, v živila ni zaznavno niti takrat, tj. ne presega meje zaznavnosti, ko se ne uporablja funkcionalna pregrada.</w:t>
      </w:r>
    </w:p>
    <w:p w14:paraId="46427445" w14:textId="7F633480" w:rsidR="00C66E2D" w:rsidRPr="0086292F" w:rsidRDefault="00D701EB" w:rsidP="00CB5E99">
      <w:pPr>
        <w:pStyle w:val="Text"/>
        <w:rPr>
          <w:szCs w:val="24"/>
        </w:rPr>
      </w:pPr>
      <w:r>
        <w:t xml:space="preserve">Proizvajalec ali dobavitelj potrošniškega blaga, namenjenega za stik z živili, in nosilec živilske dejavnosti morajo pristojnemu organu pojasniti, na podlagi katerih pogojev ali okoliščin uveljavljajo izvzetje. Poleg tega je v oddelku 6a(5) zajeta obveznost proizvajalca ali dobavitelja potrošniškega blaga, namenjenega za stik z živili, in odgovornih nosilcev živilske dejavnosti, ki natančneje opredeljuje prej navedene predpise, v zvezi z dokumentacijo, ki dokazuje, kako posamezna odgovorna oseba zagotovi, da ne prihaja do prehajanja MOAH v živila. </w:t>
      </w:r>
    </w:p>
    <w:p w14:paraId="7E7353A1" w14:textId="6A080229" w:rsidR="00E36DB1" w:rsidRPr="00D43FA1" w:rsidRDefault="005211EE" w:rsidP="003A479C">
      <w:pPr>
        <w:pStyle w:val="Text"/>
        <w:keepLines/>
        <w:rPr>
          <w:color w:val="231F20"/>
          <w:szCs w:val="24"/>
        </w:rPr>
      </w:pPr>
      <w:r>
        <w:rPr>
          <w:color w:val="231F20"/>
        </w:rPr>
        <w:lastRenderedPageBreak/>
        <w:t>V oddelku 6a(6) so zajete prepovedi prodaje živil zaradi varstva potrošnikov pred možnimi tveganji za zdravje zaradi prehajanja MOAH iz potrošniškega blaga, namenjenega za stik z živili. Prepoved prodaje se uporablja za živila, ki so bila obdelana s potrošniškim blagom, namenjenim za stik z živili, ki ne ustreza zahtevam iz oddelka 6a(1)(1) ali oddelka 6a(4)(1) in se pri tem ne uporablja veljavno izvzetje v skladu z oddelkom 6a(2) ali oddelkom 6a(4)(3).</w:t>
      </w:r>
    </w:p>
    <w:p w14:paraId="295C3C27" w14:textId="77777777" w:rsidR="00893613" w:rsidRPr="00D43FA1" w:rsidRDefault="00893613" w:rsidP="0070360F">
      <w:pPr>
        <w:pStyle w:val="Text"/>
        <w:keepNext/>
        <w:keepLines/>
        <w:rPr>
          <w:szCs w:val="24"/>
          <w:u w:val="single"/>
        </w:rPr>
      </w:pPr>
      <w:r>
        <w:rPr>
          <w:u w:val="single"/>
        </w:rPr>
        <w:t>K točki 3</w:t>
      </w:r>
    </w:p>
    <w:p w14:paraId="527C76F7" w14:textId="77777777" w:rsidR="00893613" w:rsidRPr="00D43FA1" w:rsidRDefault="00893613" w:rsidP="00893613">
      <w:pPr>
        <w:pStyle w:val="Text"/>
        <w:rPr>
          <w:szCs w:val="24"/>
        </w:rPr>
      </w:pPr>
      <w:r>
        <w:t>V točki 3 je urejena prepoved uporabe potrošniškega blaga, namenjenega za stik z živili, ki ne ustreza zahtevam iz oddelka 6a.</w:t>
      </w:r>
    </w:p>
    <w:p w14:paraId="0BECB08F" w14:textId="77777777" w:rsidR="00893613" w:rsidRPr="00D43FA1" w:rsidRDefault="00893613" w:rsidP="0070360F">
      <w:pPr>
        <w:pStyle w:val="Text"/>
        <w:keepNext/>
        <w:keepLines/>
        <w:rPr>
          <w:szCs w:val="24"/>
          <w:u w:val="single"/>
        </w:rPr>
      </w:pPr>
      <w:r>
        <w:rPr>
          <w:u w:val="single"/>
        </w:rPr>
        <w:t>K točki 4</w:t>
      </w:r>
    </w:p>
    <w:p w14:paraId="123E14BA" w14:textId="6B756B3B" w:rsidR="00D77D9F" w:rsidRPr="00D43FA1" w:rsidRDefault="00D77D9F" w:rsidP="00893613">
      <w:pPr>
        <w:pStyle w:val="Text"/>
        <w:rPr>
          <w:szCs w:val="24"/>
          <w:u w:val="single"/>
        </w:rPr>
      </w:pPr>
      <w:r>
        <w:t>V točki 4 je urejeno sankcioniranje kršitev predpisov iz oddelka 6a Uredbe o potrošniškem blagu.</w:t>
      </w:r>
    </w:p>
    <w:p w14:paraId="72ADCE94" w14:textId="77777777" w:rsidR="00CB5E99" w:rsidRPr="00D43FA1" w:rsidRDefault="00D77D9F" w:rsidP="0070360F">
      <w:pPr>
        <w:pStyle w:val="Text"/>
        <w:keepNext/>
        <w:keepLines/>
        <w:rPr>
          <w:u w:val="single"/>
        </w:rPr>
      </w:pPr>
      <w:r>
        <w:rPr>
          <w:u w:val="single"/>
        </w:rPr>
        <w:t>K točki 5</w:t>
      </w:r>
    </w:p>
    <w:p w14:paraId="10DAE7A6" w14:textId="77777777" w:rsidR="00BC7160" w:rsidRPr="00D43FA1" w:rsidRDefault="00CB5E99" w:rsidP="00CB5E99">
      <w:pPr>
        <w:pStyle w:val="Text"/>
      </w:pPr>
      <w:r>
        <w:t xml:space="preserve">V točki 5 je določeno, da se predpisi uporabljajo šele po triletnem prehodnem obdobju. </w:t>
      </w:r>
    </w:p>
    <w:p w14:paraId="38F583BA" w14:textId="41DB97CF" w:rsidR="00CB5E99" w:rsidRPr="00D43FA1" w:rsidRDefault="00CB5E99" w:rsidP="00CB5E99">
      <w:pPr>
        <w:pStyle w:val="Text"/>
      </w:pPr>
      <w:r>
        <w:t>V točki 5 je nadalje določeno, da se lahko potrošniško blago, namenjeno za stik z živili, ki je bilo proizvedeno po datumu začetka uporabe predpisov iz uredbe, tudi po tem dnevu daje na trg in uporablja še dve leti.</w:t>
      </w:r>
    </w:p>
    <w:p w14:paraId="3DCB47CB" w14:textId="77777777" w:rsidR="00CB5E99" w:rsidRPr="00D43FA1" w:rsidRDefault="00CB5E99" w:rsidP="0070360F">
      <w:pPr>
        <w:pStyle w:val="Text"/>
        <w:keepNext/>
        <w:keepLines/>
        <w:rPr>
          <w:b/>
        </w:rPr>
      </w:pPr>
      <w:r>
        <w:rPr>
          <w:b/>
        </w:rPr>
        <w:t>K členu 2</w:t>
      </w:r>
    </w:p>
    <w:p w14:paraId="3A8E0CB1" w14:textId="77777777" w:rsidR="00CB5E99" w:rsidRPr="00D43FA1" w:rsidRDefault="00CB5E99" w:rsidP="00CB5E99">
      <w:pPr>
        <w:pStyle w:val="Text"/>
      </w:pPr>
      <w:r>
        <w:t>Člen 2 zajema dovoljenje o objavi Uredbe o potrošniškem blagu.</w:t>
      </w:r>
    </w:p>
    <w:p w14:paraId="7689A2E3" w14:textId="77777777" w:rsidR="00CB5E99" w:rsidRPr="00D43FA1" w:rsidRDefault="00CB5E99" w:rsidP="0070360F">
      <w:pPr>
        <w:pStyle w:val="Text"/>
        <w:keepNext/>
        <w:keepLines/>
        <w:rPr>
          <w:b/>
        </w:rPr>
      </w:pPr>
      <w:r>
        <w:rPr>
          <w:b/>
        </w:rPr>
        <w:t>K členu 3</w:t>
      </w:r>
    </w:p>
    <w:p w14:paraId="193ACE56" w14:textId="77777777" w:rsidR="00CB5E99" w:rsidRPr="0070360F" w:rsidRDefault="00CB5E99">
      <w:pPr>
        <w:pStyle w:val="Text"/>
      </w:pPr>
      <w:r>
        <w:t>Člen 3 ureja začetek veljavnosti uredbe.</w:t>
      </w:r>
    </w:p>
    <w:sectPr w:rsidR="00CB5E99" w:rsidRPr="0070360F" w:rsidSect="00073F52">
      <w:headerReference w:type="default" r:id="rId11"/>
      <w:headerReference w:type="first" r:id="rId12"/>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42A24" w14:textId="77777777" w:rsidR="00617ED5" w:rsidRDefault="00617ED5">
      <w:pPr>
        <w:spacing w:before="0" w:after="0"/>
      </w:pPr>
      <w:r>
        <w:separator/>
      </w:r>
    </w:p>
  </w:endnote>
  <w:endnote w:type="continuationSeparator" w:id="0">
    <w:p w14:paraId="4EAC3B55" w14:textId="77777777" w:rsidR="00617ED5" w:rsidRDefault="00617E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etaNormalLF-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E2447" w14:textId="77777777" w:rsidR="00617ED5" w:rsidRDefault="00617ED5">
      <w:pPr>
        <w:spacing w:before="0" w:after="0"/>
      </w:pPr>
      <w:r>
        <w:separator/>
      </w:r>
    </w:p>
  </w:footnote>
  <w:footnote w:type="continuationSeparator" w:id="0">
    <w:p w14:paraId="0C133EB0" w14:textId="77777777" w:rsidR="00617ED5" w:rsidRDefault="00617ED5">
      <w:pPr>
        <w:spacing w:before="0" w:after="0"/>
      </w:pPr>
      <w:r>
        <w:continuationSeparator/>
      </w:r>
    </w:p>
  </w:footnote>
  <w:footnote w:id="1">
    <w:p w14:paraId="7B8D79B8" w14:textId="77777777" w:rsidR="00E24BD3" w:rsidRPr="008036EA" w:rsidRDefault="00E24BD3">
      <w:pPr>
        <w:pStyle w:val="FootnoteText"/>
      </w:pPr>
      <w:r>
        <w:rPr>
          <w:rStyle w:val="FootnoteReference"/>
        </w:rPr>
        <w:t>1)</w:t>
      </w:r>
      <w:r>
        <w:tab/>
        <w:t>Priglašeno v skladu z Direktivo (EU) 2015/1535 Evropskega parlamenta in Sveta z dne 9. septembra 2015 o določitvi postopka za zbiranje informacij na področju tehničnih predpisov in pravil za storitve informacijske družbe (UL L 241, 17.9.2015, str. 1).</w:t>
      </w:r>
    </w:p>
  </w:footnote>
  <w:footnote w:id="2">
    <w:p w14:paraId="7D837383" w14:textId="702D53CD" w:rsidR="00E24BD3" w:rsidRDefault="00E24BD3" w:rsidP="006B7BFE">
      <w:pPr>
        <w:pStyle w:val="FootnoteText"/>
        <w:jc w:val="left"/>
      </w:pPr>
      <w:r>
        <w:rPr>
          <w:rStyle w:val="FootnoteReference"/>
        </w:rPr>
        <w:footnoteRef/>
      </w:r>
      <w:r>
        <w:t xml:space="preserve"> </w:t>
      </w:r>
      <w:r>
        <w:tab/>
        <w:t xml:space="preserve">Zvezni statistični urad (2012): Priročnik za določitev in predstavitev stroškov izpolnjevanja obveznosti v načrtovanih ureditvah zvezne vlade. </w:t>
      </w:r>
    </w:p>
  </w:footnote>
  <w:footnote w:id="3">
    <w:p w14:paraId="36F3698B" w14:textId="41598129" w:rsidR="00E24BD3" w:rsidRPr="0086292F" w:rsidRDefault="00E24BD3" w:rsidP="002F54A3">
      <w:pPr>
        <w:pStyle w:val="FootnoteText"/>
      </w:pPr>
      <w:r>
        <w:rPr>
          <w:rStyle w:val="FootnoteReference"/>
        </w:rPr>
        <w:footnoteRef/>
      </w:r>
      <w:r>
        <w:t xml:space="preserve"> </w:t>
      </w:r>
      <w:r>
        <w:tab/>
        <w:t xml:space="preserve">Podatki o strukturi stroškov na področju predelovalne industrije in rudarstva (št. EVAS 42251): zaposleni, promet, vrednost proizvodnje in ustvarjanje vrednosti podjetij v predelovalni industriji, Nemčija 2015, gospodarske dejavnosti WZ08-10. </w:t>
      </w:r>
    </w:p>
  </w:footnote>
  <w:footnote w:id="4">
    <w:p w14:paraId="3324C433" w14:textId="77777777" w:rsidR="00E24BD3" w:rsidRPr="00D47EE6" w:rsidRDefault="00E24BD3" w:rsidP="002F54A3">
      <w:pPr>
        <w:pStyle w:val="Default"/>
        <w:ind w:left="720" w:hanging="720"/>
        <w:rPr>
          <w:rFonts w:ascii="Arial" w:hAnsi="Arial" w:cs="Arial"/>
          <w:sz w:val="18"/>
          <w:szCs w:val="18"/>
        </w:rPr>
      </w:pPr>
      <w:r>
        <w:rPr>
          <w:rStyle w:val="FootnoteReference"/>
          <w:rFonts w:ascii="Arial" w:hAnsi="Arial"/>
          <w:sz w:val="18"/>
        </w:rPr>
        <w:t>3</w:t>
      </w:r>
      <w:r>
        <w:t xml:space="preserve"> </w:t>
      </w:r>
      <w:r>
        <w:tab/>
      </w:r>
      <w:r>
        <w:rPr>
          <w:rFonts w:ascii="Arial" w:hAnsi="Arial"/>
          <w:sz w:val="18"/>
        </w:rPr>
        <w:t xml:space="preserve">Preglednica stroškov plačil za leto 2017 za merjenje stroškov izpolnjevanja obveznosti in upravnih stroškov Zveznega statističnega urada, panoga C10, podjetja z vsaj 250 zaposlenimi, visoka stopnja kvalifikacije. </w:t>
      </w:r>
    </w:p>
    <w:p w14:paraId="2487B60A" w14:textId="77777777" w:rsidR="00E24BD3" w:rsidRDefault="00E24B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70F90" w14:textId="527F13F4" w:rsidR="00E24BD3" w:rsidRPr="00073F52" w:rsidRDefault="00D43FA1" w:rsidP="00073F52">
    <w:pPr>
      <w:pStyle w:val="Header"/>
    </w:pPr>
    <w:r>
      <w:tab/>
      <w:t xml:space="preserve">- </w:t>
    </w:r>
    <w:r w:rsidR="00073F52">
      <w:fldChar w:fldCharType="begin"/>
    </w:r>
    <w:r w:rsidR="00073F52">
      <w:instrText xml:space="preserve"> PAGE  \* MERGEFORMAT </w:instrText>
    </w:r>
    <w:r w:rsidR="00073F52">
      <w:fldChar w:fldCharType="separate"/>
    </w:r>
    <w:r w:rsidR="00215892">
      <w:rPr>
        <w:noProof/>
      </w:rPr>
      <w:t>2</w:t>
    </w:r>
    <w:r w:rsidR="00073F52">
      <w:fldChar w:fldCharType="end"/>
    </w:r>
    <w:r>
      <w:t xml:space="preserve"> -</w:t>
    </w:r>
    <w:r>
      <w:tab/>
    </w:r>
    <w:r>
      <w:rPr>
        <w:sz w:val="18"/>
      </w:rPr>
      <w:t>Stanje: 14.8.2020 ob 15.07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B8F3E" w14:textId="0C4B739B" w:rsidR="00E24BD3" w:rsidRPr="00073F52" w:rsidRDefault="00D43FA1" w:rsidP="00073F52">
    <w:pPr>
      <w:pStyle w:val="Header"/>
    </w:pPr>
    <w:r>
      <w:tab/>
    </w:r>
    <w:r w:rsidR="00617ED5">
      <w:rPr>
        <w:sz w:val="18"/>
      </w:rPr>
      <w:fldChar w:fldCharType="begin"/>
    </w:r>
    <w:r w:rsidR="00617ED5">
      <w:rPr>
        <w:sz w:val="18"/>
      </w:rPr>
      <w:instrText xml:space="preserve"> DOCPROPERTY "Bearbeitungsstand" \* MERGEFORMAT </w:instrText>
    </w:r>
    <w:r w:rsidR="00617ED5">
      <w:rPr>
        <w:sz w:val="18"/>
      </w:rPr>
      <w:fldChar w:fldCharType="separate"/>
    </w:r>
    <w:r w:rsidRPr="00D43FA1">
      <w:rPr>
        <w:sz w:val="18"/>
      </w:rPr>
      <w:t>Bearbeitungsstand: 14.08.2020</w:t>
    </w:r>
    <w:r>
      <w:rPr>
        <w:sz w:val="18"/>
      </w:rPr>
      <w:t xml:space="preserve"> </w:t>
    </w:r>
    <w:r w:rsidRPr="00D43FA1">
      <w:rPr>
        <w:sz w:val="18"/>
      </w:rPr>
      <w:t>15:07 Uhr</w:t>
    </w:r>
    <w:r w:rsidR="00617ED5">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4536"/>
        </w:tabs>
        <w:ind w:left="4253"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A2D0161"/>
    <w:multiLevelType w:val="hybridMultilevel"/>
    <w:tmpl w:val="8B90B208"/>
    <w:lvl w:ilvl="0" w:tplc="74E867FC">
      <w:start w:val="1"/>
      <w:numFmt w:val="bullet"/>
      <w:lvlText w:val="˗"/>
      <w:lvlJc w:val="left"/>
      <w:pPr>
        <w:ind w:left="1145" w:hanging="360"/>
      </w:pPr>
      <w:rPr>
        <w:rFonts w:ascii="Times New Roman"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0500708"/>
    <w:multiLevelType w:val="hybridMultilevel"/>
    <w:tmpl w:val="F0940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6" w15:restartNumberingAfterBreak="0">
    <w:nsid w:val="127C50D1"/>
    <w:multiLevelType w:val="hybridMultilevel"/>
    <w:tmpl w:val="7B5267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9"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0" w15:restartNumberingAfterBreak="0">
    <w:nsid w:val="26DC129C"/>
    <w:multiLevelType w:val="hybridMultilevel"/>
    <w:tmpl w:val="D682E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3F2C75"/>
    <w:multiLevelType w:val="hybridMultilevel"/>
    <w:tmpl w:val="6F30F0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3"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4" w15:restartNumberingAfterBreak="0">
    <w:nsid w:val="2A897DF0"/>
    <w:multiLevelType w:val="hybridMultilevel"/>
    <w:tmpl w:val="857C688C"/>
    <w:lvl w:ilvl="0" w:tplc="74E867FC">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7"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9"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0"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4" w15:restartNumberingAfterBreak="0">
    <w:nsid w:val="56DD28C7"/>
    <w:multiLevelType w:val="hybridMultilevel"/>
    <w:tmpl w:val="32463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ED6052"/>
    <w:multiLevelType w:val="multilevel"/>
    <w:tmpl w:val="99C217B4"/>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1"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
  </w:num>
  <w:num w:numId="2">
    <w:abstractNumId w:val="3"/>
  </w:num>
  <w:num w:numId="3">
    <w:abstractNumId w:val="10"/>
  </w:num>
  <w:num w:numId="4">
    <w:abstractNumId w:val="14"/>
  </w:num>
  <w:num w:numId="5">
    <w:abstractNumId w:val="11"/>
  </w:num>
  <w:num w:numId="6">
    <w:abstractNumId w:val="6"/>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31"/>
  </w:num>
  <w:num w:numId="12">
    <w:abstractNumId w:val="22"/>
  </w:num>
  <w:num w:numId="13">
    <w:abstractNumId w:val="5"/>
  </w:num>
  <w:num w:numId="14">
    <w:abstractNumId w:val="16"/>
  </w:num>
  <w:num w:numId="15">
    <w:abstractNumId w:val="0"/>
  </w:num>
  <w:num w:numId="16">
    <w:abstractNumId w:val="30"/>
  </w:num>
  <w:num w:numId="17">
    <w:abstractNumId w:val="17"/>
  </w:num>
  <w:num w:numId="18">
    <w:abstractNumId w:val="26"/>
  </w:num>
  <w:num w:numId="19">
    <w:abstractNumId w:val="4"/>
  </w:num>
  <w:num w:numId="20">
    <w:abstractNumId w:val="21"/>
  </w:num>
  <w:num w:numId="21">
    <w:abstractNumId w:val="12"/>
  </w:num>
  <w:num w:numId="22">
    <w:abstractNumId w:val="9"/>
  </w:num>
  <w:num w:numId="23">
    <w:abstractNumId w:val="20"/>
  </w:num>
  <w:num w:numId="24">
    <w:abstractNumId w:val="27"/>
  </w:num>
  <w:num w:numId="25">
    <w:abstractNumId w:val="13"/>
  </w:num>
  <w:num w:numId="26">
    <w:abstractNumId w:val="18"/>
  </w:num>
  <w:num w:numId="27">
    <w:abstractNumId w:val="1"/>
  </w:num>
  <w:num w:numId="28">
    <w:abstractNumId w:val="19"/>
  </w:num>
  <w:num w:numId="29">
    <w:abstractNumId w:val="7"/>
  </w:num>
  <w:num w:numId="30">
    <w:abstractNumId w:val="29"/>
  </w:num>
  <w:num w:numId="31">
    <w:abstractNumId w:val="28"/>
  </w:num>
  <w:num w:numId="32">
    <w:abstractNumId w:val="15"/>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372ms"/>
    <w:docVar w:name="BefehlsKontext_SpeichernOOXML_Schnitt" w:val="372ms"/>
    <w:docVar w:name="BMJ" w:val="True"/>
    <w:docVar w:name="CUSTOMER" w:val="8"/>
    <w:docVar w:name="DQCDateTime" w:val="29.07.2020 09:42:09"/>
    <w:docVar w:name="DQCPart_Begruendung" w:val="0"/>
    <w:docVar w:name="DQCPart_Dokument" w:val="0"/>
    <w:docVar w:name="DQCPart_Regelungsteil" w:val="0"/>
    <w:docVar w:name="DQCPart_Vorblatt" w:val="0"/>
    <w:docVar w:name="DQCResult_Aenderungsbefehl" w:val="0;14"/>
    <w:docVar w:name="DQCResult_Binnenverweise" w:val="0;0"/>
    <w:docVar w:name="DQCResult_Citations" w:val="0;2"/>
    <w:docVar w:name="DQCResult_EinzelneRegelungsteile" w:val="0;0"/>
    <w:docVar w:name="DQCResult_EmbeddedObjects" w:val="0;0"/>
    <w:docVar w:name="DQCResult_Gliederung" w:val="22;6"/>
    <w:docVar w:name="DQCResult_Marker" w:val="0;0"/>
    <w:docVar w:name="DQCResult_Metadata" w:val="0;0"/>
    <w:docVar w:name="DQCResult_ModifiedCharFormat" w:val="0;89"/>
    <w:docVar w:name="DQCResult_ModifiedMargins" w:val="21;0"/>
    <w:docVar w:name="DQCResult_ModifiedNumbering" w:val="2;0"/>
    <w:docVar w:name="DQCResult_StructureCheck" w:val="16;0"/>
    <w:docVar w:name="DQCResult_SuperfluousWhitespace" w:val="69;0"/>
    <w:docVar w:name="DQCResult_TermsAndDiction" w:val="0;10"/>
    <w:docVar w:name="DQCResult_Verweise" w:val="0;0"/>
    <w:docVar w:name="DQCWithWarnings" w:val="1"/>
    <w:docVar w:name="LW_DocType" w:val="AENDER"/>
    <w:docVar w:name="LWCons_Langue" w:val="DE"/>
  </w:docVars>
  <w:rsids>
    <w:rsidRoot w:val="006444D5"/>
    <w:rsid w:val="00000EDE"/>
    <w:rsid w:val="00006B73"/>
    <w:rsid w:val="00011404"/>
    <w:rsid w:val="000114D3"/>
    <w:rsid w:val="00011669"/>
    <w:rsid w:val="00013F7F"/>
    <w:rsid w:val="0001751A"/>
    <w:rsid w:val="000202F9"/>
    <w:rsid w:val="000205EA"/>
    <w:rsid w:val="00021172"/>
    <w:rsid w:val="00023B79"/>
    <w:rsid w:val="0002703A"/>
    <w:rsid w:val="00031FDC"/>
    <w:rsid w:val="00031FE9"/>
    <w:rsid w:val="0003253F"/>
    <w:rsid w:val="000326A1"/>
    <w:rsid w:val="00033203"/>
    <w:rsid w:val="000379E5"/>
    <w:rsid w:val="00040BA6"/>
    <w:rsid w:val="00042625"/>
    <w:rsid w:val="00042E60"/>
    <w:rsid w:val="00043B45"/>
    <w:rsid w:val="000447FD"/>
    <w:rsid w:val="00046B6A"/>
    <w:rsid w:val="000511BF"/>
    <w:rsid w:val="0005302B"/>
    <w:rsid w:val="0005489F"/>
    <w:rsid w:val="000579F5"/>
    <w:rsid w:val="0006353C"/>
    <w:rsid w:val="000636B3"/>
    <w:rsid w:val="00067EA9"/>
    <w:rsid w:val="00070990"/>
    <w:rsid w:val="00072429"/>
    <w:rsid w:val="00073F52"/>
    <w:rsid w:val="000746B9"/>
    <w:rsid w:val="00080C0D"/>
    <w:rsid w:val="00081E27"/>
    <w:rsid w:val="0008213F"/>
    <w:rsid w:val="0008560F"/>
    <w:rsid w:val="00086709"/>
    <w:rsid w:val="00087B66"/>
    <w:rsid w:val="00091B75"/>
    <w:rsid w:val="000958E3"/>
    <w:rsid w:val="000A00BC"/>
    <w:rsid w:val="000A0EA7"/>
    <w:rsid w:val="000A42DE"/>
    <w:rsid w:val="000B1116"/>
    <w:rsid w:val="000B17F0"/>
    <w:rsid w:val="000B2DB8"/>
    <w:rsid w:val="000B41D9"/>
    <w:rsid w:val="000C09F9"/>
    <w:rsid w:val="000C4EFA"/>
    <w:rsid w:val="000C57C8"/>
    <w:rsid w:val="000D03E9"/>
    <w:rsid w:val="000D0F45"/>
    <w:rsid w:val="000D3FA6"/>
    <w:rsid w:val="000D48E2"/>
    <w:rsid w:val="000E049B"/>
    <w:rsid w:val="000E4B72"/>
    <w:rsid w:val="000E73A4"/>
    <w:rsid w:val="000F1682"/>
    <w:rsid w:val="000F35FD"/>
    <w:rsid w:val="000F4A0B"/>
    <w:rsid w:val="000F6183"/>
    <w:rsid w:val="000F64B6"/>
    <w:rsid w:val="000F71D6"/>
    <w:rsid w:val="00105F8D"/>
    <w:rsid w:val="00106224"/>
    <w:rsid w:val="00110308"/>
    <w:rsid w:val="0011039C"/>
    <w:rsid w:val="00112749"/>
    <w:rsid w:val="00117552"/>
    <w:rsid w:val="0012322F"/>
    <w:rsid w:val="00123317"/>
    <w:rsid w:val="00123700"/>
    <w:rsid w:val="00131DBC"/>
    <w:rsid w:val="00133C9F"/>
    <w:rsid w:val="001348D2"/>
    <w:rsid w:val="0013637E"/>
    <w:rsid w:val="00140A6C"/>
    <w:rsid w:val="001419E7"/>
    <w:rsid w:val="00146E0A"/>
    <w:rsid w:val="0015179A"/>
    <w:rsid w:val="00152222"/>
    <w:rsid w:val="00155E4D"/>
    <w:rsid w:val="00160D57"/>
    <w:rsid w:val="0016165D"/>
    <w:rsid w:val="0016584A"/>
    <w:rsid w:val="00166244"/>
    <w:rsid w:val="001667AF"/>
    <w:rsid w:val="00166DA2"/>
    <w:rsid w:val="00170F46"/>
    <w:rsid w:val="00175860"/>
    <w:rsid w:val="001758C6"/>
    <w:rsid w:val="00175A40"/>
    <w:rsid w:val="001827A3"/>
    <w:rsid w:val="00185FED"/>
    <w:rsid w:val="001911F5"/>
    <w:rsid w:val="0019372F"/>
    <w:rsid w:val="00193B98"/>
    <w:rsid w:val="0019599F"/>
    <w:rsid w:val="001967AF"/>
    <w:rsid w:val="001A28CA"/>
    <w:rsid w:val="001A2F04"/>
    <w:rsid w:val="001A5621"/>
    <w:rsid w:val="001B10CC"/>
    <w:rsid w:val="001B2B49"/>
    <w:rsid w:val="001B471D"/>
    <w:rsid w:val="001B4AC9"/>
    <w:rsid w:val="001B654F"/>
    <w:rsid w:val="001C0BC3"/>
    <w:rsid w:val="001D09DD"/>
    <w:rsid w:val="001D5E6B"/>
    <w:rsid w:val="001D7ACD"/>
    <w:rsid w:val="001E05AF"/>
    <w:rsid w:val="001E169B"/>
    <w:rsid w:val="001E3F09"/>
    <w:rsid w:val="001E46F6"/>
    <w:rsid w:val="001E5369"/>
    <w:rsid w:val="001F0A70"/>
    <w:rsid w:val="001F39C1"/>
    <w:rsid w:val="001F595D"/>
    <w:rsid w:val="001F5B99"/>
    <w:rsid w:val="001F5E17"/>
    <w:rsid w:val="001F7A10"/>
    <w:rsid w:val="00204FD0"/>
    <w:rsid w:val="00206EBE"/>
    <w:rsid w:val="002128DA"/>
    <w:rsid w:val="00215892"/>
    <w:rsid w:val="002201EF"/>
    <w:rsid w:val="002235F2"/>
    <w:rsid w:val="00226A59"/>
    <w:rsid w:val="00227028"/>
    <w:rsid w:val="0022733A"/>
    <w:rsid w:val="002275AC"/>
    <w:rsid w:val="00231F40"/>
    <w:rsid w:val="0023385E"/>
    <w:rsid w:val="00234C16"/>
    <w:rsid w:val="002378C1"/>
    <w:rsid w:val="00240DFC"/>
    <w:rsid w:val="00241B36"/>
    <w:rsid w:val="00241FAE"/>
    <w:rsid w:val="00243E14"/>
    <w:rsid w:val="00244230"/>
    <w:rsid w:val="00244CF8"/>
    <w:rsid w:val="002455B9"/>
    <w:rsid w:val="00247D01"/>
    <w:rsid w:val="00250F1D"/>
    <w:rsid w:val="0025249C"/>
    <w:rsid w:val="0025354D"/>
    <w:rsid w:val="002535AD"/>
    <w:rsid w:val="00255264"/>
    <w:rsid w:val="0025650A"/>
    <w:rsid w:val="00257E98"/>
    <w:rsid w:val="0026302A"/>
    <w:rsid w:val="00264ECC"/>
    <w:rsid w:val="00265487"/>
    <w:rsid w:val="002666C4"/>
    <w:rsid w:val="00266860"/>
    <w:rsid w:val="0027334F"/>
    <w:rsid w:val="00274D3C"/>
    <w:rsid w:val="0027761E"/>
    <w:rsid w:val="00280B36"/>
    <w:rsid w:val="0028261E"/>
    <w:rsid w:val="00283E6C"/>
    <w:rsid w:val="00284E94"/>
    <w:rsid w:val="002876F5"/>
    <w:rsid w:val="00287EBE"/>
    <w:rsid w:val="002929F3"/>
    <w:rsid w:val="00294ACD"/>
    <w:rsid w:val="00295A54"/>
    <w:rsid w:val="00297533"/>
    <w:rsid w:val="002A1335"/>
    <w:rsid w:val="002A17CE"/>
    <w:rsid w:val="002A5AE5"/>
    <w:rsid w:val="002A60B8"/>
    <w:rsid w:val="002A6582"/>
    <w:rsid w:val="002A6EAA"/>
    <w:rsid w:val="002B0188"/>
    <w:rsid w:val="002B5546"/>
    <w:rsid w:val="002B62A4"/>
    <w:rsid w:val="002C13F3"/>
    <w:rsid w:val="002D0A9B"/>
    <w:rsid w:val="002D2CDA"/>
    <w:rsid w:val="002D7A0A"/>
    <w:rsid w:val="002D7D76"/>
    <w:rsid w:val="002E02C1"/>
    <w:rsid w:val="002E295B"/>
    <w:rsid w:val="002E33A2"/>
    <w:rsid w:val="002E550F"/>
    <w:rsid w:val="002E5E76"/>
    <w:rsid w:val="002E6AEF"/>
    <w:rsid w:val="002F0673"/>
    <w:rsid w:val="002F0B7F"/>
    <w:rsid w:val="002F1ED8"/>
    <w:rsid w:val="002F27A5"/>
    <w:rsid w:val="002F3448"/>
    <w:rsid w:val="002F4768"/>
    <w:rsid w:val="002F54A3"/>
    <w:rsid w:val="002F556C"/>
    <w:rsid w:val="002F5848"/>
    <w:rsid w:val="002F687B"/>
    <w:rsid w:val="002F7BDF"/>
    <w:rsid w:val="00301DC9"/>
    <w:rsid w:val="00302746"/>
    <w:rsid w:val="003035FC"/>
    <w:rsid w:val="00305F3A"/>
    <w:rsid w:val="00307078"/>
    <w:rsid w:val="00312412"/>
    <w:rsid w:val="0031368B"/>
    <w:rsid w:val="00313AFD"/>
    <w:rsid w:val="00314E88"/>
    <w:rsid w:val="0031773F"/>
    <w:rsid w:val="00323DAC"/>
    <w:rsid w:val="00325F70"/>
    <w:rsid w:val="003308AC"/>
    <w:rsid w:val="00331B5D"/>
    <w:rsid w:val="00334D1C"/>
    <w:rsid w:val="003454AA"/>
    <w:rsid w:val="00347A46"/>
    <w:rsid w:val="00351F32"/>
    <w:rsid w:val="00354B9C"/>
    <w:rsid w:val="00357F15"/>
    <w:rsid w:val="0036192C"/>
    <w:rsid w:val="0036199E"/>
    <w:rsid w:val="00363609"/>
    <w:rsid w:val="0036600C"/>
    <w:rsid w:val="00366367"/>
    <w:rsid w:val="0037560C"/>
    <w:rsid w:val="00375C93"/>
    <w:rsid w:val="00376190"/>
    <w:rsid w:val="00376D74"/>
    <w:rsid w:val="00380556"/>
    <w:rsid w:val="00391106"/>
    <w:rsid w:val="003923C4"/>
    <w:rsid w:val="00395CCD"/>
    <w:rsid w:val="003A1F45"/>
    <w:rsid w:val="003A479C"/>
    <w:rsid w:val="003A773C"/>
    <w:rsid w:val="003B280E"/>
    <w:rsid w:val="003B2E93"/>
    <w:rsid w:val="003C0DCF"/>
    <w:rsid w:val="003C1F50"/>
    <w:rsid w:val="003C2CF2"/>
    <w:rsid w:val="003C3EEC"/>
    <w:rsid w:val="003C7574"/>
    <w:rsid w:val="003D2F67"/>
    <w:rsid w:val="003D3061"/>
    <w:rsid w:val="003D3839"/>
    <w:rsid w:val="003E061A"/>
    <w:rsid w:val="003E0A8F"/>
    <w:rsid w:val="003E369F"/>
    <w:rsid w:val="003E5E20"/>
    <w:rsid w:val="003E643B"/>
    <w:rsid w:val="003F072B"/>
    <w:rsid w:val="003F2896"/>
    <w:rsid w:val="003F4716"/>
    <w:rsid w:val="003F4E3F"/>
    <w:rsid w:val="003F5844"/>
    <w:rsid w:val="003F61B5"/>
    <w:rsid w:val="003F6BDA"/>
    <w:rsid w:val="003F7EB4"/>
    <w:rsid w:val="0040082A"/>
    <w:rsid w:val="00401DF2"/>
    <w:rsid w:val="00402ED1"/>
    <w:rsid w:val="00404213"/>
    <w:rsid w:val="004046A1"/>
    <w:rsid w:val="00410F1B"/>
    <w:rsid w:val="00412B86"/>
    <w:rsid w:val="00412EE8"/>
    <w:rsid w:val="00416BFF"/>
    <w:rsid w:val="00417CBD"/>
    <w:rsid w:val="004202CF"/>
    <w:rsid w:val="0042126B"/>
    <w:rsid w:val="00423AC9"/>
    <w:rsid w:val="00425BF3"/>
    <w:rsid w:val="00425F35"/>
    <w:rsid w:val="004313DF"/>
    <w:rsid w:val="00433B99"/>
    <w:rsid w:val="0043452E"/>
    <w:rsid w:val="00435EAE"/>
    <w:rsid w:val="0044115A"/>
    <w:rsid w:val="0044208A"/>
    <w:rsid w:val="0044326B"/>
    <w:rsid w:val="00454ADA"/>
    <w:rsid w:val="00454D02"/>
    <w:rsid w:val="00454D9A"/>
    <w:rsid w:val="00460A90"/>
    <w:rsid w:val="004654DC"/>
    <w:rsid w:val="00466F75"/>
    <w:rsid w:val="004779CD"/>
    <w:rsid w:val="00483982"/>
    <w:rsid w:val="00486F92"/>
    <w:rsid w:val="00492084"/>
    <w:rsid w:val="004975C3"/>
    <w:rsid w:val="004A4749"/>
    <w:rsid w:val="004A6A21"/>
    <w:rsid w:val="004B0349"/>
    <w:rsid w:val="004B69CF"/>
    <w:rsid w:val="004B79B4"/>
    <w:rsid w:val="004C32E6"/>
    <w:rsid w:val="004C5508"/>
    <w:rsid w:val="004D0AC8"/>
    <w:rsid w:val="004D16CA"/>
    <w:rsid w:val="004D5050"/>
    <w:rsid w:val="004E15A1"/>
    <w:rsid w:val="004E3C4B"/>
    <w:rsid w:val="004E416D"/>
    <w:rsid w:val="004E72E0"/>
    <w:rsid w:val="004F1DB4"/>
    <w:rsid w:val="004F2B12"/>
    <w:rsid w:val="004F4835"/>
    <w:rsid w:val="00500609"/>
    <w:rsid w:val="005006FC"/>
    <w:rsid w:val="00501945"/>
    <w:rsid w:val="00502460"/>
    <w:rsid w:val="00503A0C"/>
    <w:rsid w:val="00504030"/>
    <w:rsid w:val="005068AC"/>
    <w:rsid w:val="00513B6A"/>
    <w:rsid w:val="005211EE"/>
    <w:rsid w:val="00521B05"/>
    <w:rsid w:val="005227FE"/>
    <w:rsid w:val="00524D10"/>
    <w:rsid w:val="00532ED6"/>
    <w:rsid w:val="00533412"/>
    <w:rsid w:val="00534679"/>
    <w:rsid w:val="00537AF3"/>
    <w:rsid w:val="00542778"/>
    <w:rsid w:val="00545785"/>
    <w:rsid w:val="00550810"/>
    <w:rsid w:val="005544A3"/>
    <w:rsid w:val="00554B4D"/>
    <w:rsid w:val="0055707E"/>
    <w:rsid w:val="00557319"/>
    <w:rsid w:val="00557D18"/>
    <w:rsid w:val="00560F85"/>
    <w:rsid w:val="00565598"/>
    <w:rsid w:val="00570706"/>
    <w:rsid w:val="00572FEB"/>
    <w:rsid w:val="005757E3"/>
    <w:rsid w:val="00580CE1"/>
    <w:rsid w:val="00582019"/>
    <w:rsid w:val="005836E0"/>
    <w:rsid w:val="0058390A"/>
    <w:rsid w:val="005872C8"/>
    <w:rsid w:val="00587FF1"/>
    <w:rsid w:val="00591AFF"/>
    <w:rsid w:val="00595A3F"/>
    <w:rsid w:val="005A12E2"/>
    <w:rsid w:val="005A1A80"/>
    <w:rsid w:val="005A4FF8"/>
    <w:rsid w:val="005B0D5B"/>
    <w:rsid w:val="005B4624"/>
    <w:rsid w:val="005B4D17"/>
    <w:rsid w:val="005C1176"/>
    <w:rsid w:val="005C22B8"/>
    <w:rsid w:val="005C302D"/>
    <w:rsid w:val="005D0728"/>
    <w:rsid w:val="005D3ACC"/>
    <w:rsid w:val="005D4738"/>
    <w:rsid w:val="005D6DB1"/>
    <w:rsid w:val="005D7810"/>
    <w:rsid w:val="005E19F4"/>
    <w:rsid w:val="005F1658"/>
    <w:rsid w:val="00602358"/>
    <w:rsid w:val="006023FF"/>
    <w:rsid w:val="00610226"/>
    <w:rsid w:val="006112FC"/>
    <w:rsid w:val="00612652"/>
    <w:rsid w:val="006172FB"/>
    <w:rsid w:val="00617ED5"/>
    <w:rsid w:val="00625E69"/>
    <w:rsid w:val="00627A2B"/>
    <w:rsid w:val="006331E5"/>
    <w:rsid w:val="00633718"/>
    <w:rsid w:val="00634FE4"/>
    <w:rsid w:val="006362A8"/>
    <w:rsid w:val="0064273F"/>
    <w:rsid w:val="006444D5"/>
    <w:rsid w:val="00645D07"/>
    <w:rsid w:val="00646A3B"/>
    <w:rsid w:val="006504FE"/>
    <w:rsid w:val="0065079C"/>
    <w:rsid w:val="00650D95"/>
    <w:rsid w:val="006579C6"/>
    <w:rsid w:val="00657AA0"/>
    <w:rsid w:val="006708F9"/>
    <w:rsid w:val="00670B84"/>
    <w:rsid w:val="00671288"/>
    <w:rsid w:val="00672D86"/>
    <w:rsid w:val="006737EE"/>
    <w:rsid w:val="006754F3"/>
    <w:rsid w:val="00676165"/>
    <w:rsid w:val="006764E4"/>
    <w:rsid w:val="006808E4"/>
    <w:rsid w:val="00680B5D"/>
    <w:rsid w:val="006818A9"/>
    <w:rsid w:val="00685810"/>
    <w:rsid w:val="006937A1"/>
    <w:rsid w:val="00693CB3"/>
    <w:rsid w:val="00695CF5"/>
    <w:rsid w:val="0069641F"/>
    <w:rsid w:val="0069682A"/>
    <w:rsid w:val="006A2E3D"/>
    <w:rsid w:val="006A2F7F"/>
    <w:rsid w:val="006A35EA"/>
    <w:rsid w:val="006A44D1"/>
    <w:rsid w:val="006A578D"/>
    <w:rsid w:val="006A5CD4"/>
    <w:rsid w:val="006B01A1"/>
    <w:rsid w:val="006B184E"/>
    <w:rsid w:val="006B2B6B"/>
    <w:rsid w:val="006B6225"/>
    <w:rsid w:val="006B664F"/>
    <w:rsid w:val="006B7BFE"/>
    <w:rsid w:val="006C419F"/>
    <w:rsid w:val="006C4287"/>
    <w:rsid w:val="006C4B57"/>
    <w:rsid w:val="006C5005"/>
    <w:rsid w:val="006C5F55"/>
    <w:rsid w:val="006C6AEA"/>
    <w:rsid w:val="006D5A07"/>
    <w:rsid w:val="006D61A8"/>
    <w:rsid w:val="006E0E51"/>
    <w:rsid w:val="006E1543"/>
    <w:rsid w:val="006E32D4"/>
    <w:rsid w:val="006E5F3C"/>
    <w:rsid w:val="006E735C"/>
    <w:rsid w:val="006F0E66"/>
    <w:rsid w:val="006F303A"/>
    <w:rsid w:val="006F41D3"/>
    <w:rsid w:val="006F48BC"/>
    <w:rsid w:val="006F517F"/>
    <w:rsid w:val="00702263"/>
    <w:rsid w:val="0070360F"/>
    <w:rsid w:val="00706264"/>
    <w:rsid w:val="007115EE"/>
    <w:rsid w:val="00711B3B"/>
    <w:rsid w:val="007161EB"/>
    <w:rsid w:val="007218C5"/>
    <w:rsid w:val="007239E8"/>
    <w:rsid w:val="0072609A"/>
    <w:rsid w:val="007314AB"/>
    <w:rsid w:val="00733250"/>
    <w:rsid w:val="00735843"/>
    <w:rsid w:val="00737DA8"/>
    <w:rsid w:val="00742EFE"/>
    <w:rsid w:val="007437B0"/>
    <w:rsid w:val="00746FED"/>
    <w:rsid w:val="007525FC"/>
    <w:rsid w:val="00755B7A"/>
    <w:rsid w:val="00756335"/>
    <w:rsid w:val="00761998"/>
    <w:rsid w:val="0076235D"/>
    <w:rsid w:val="007637B5"/>
    <w:rsid w:val="00763CDC"/>
    <w:rsid w:val="00764D8F"/>
    <w:rsid w:val="00777926"/>
    <w:rsid w:val="007905CF"/>
    <w:rsid w:val="00792C48"/>
    <w:rsid w:val="00793595"/>
    <w:rsid w:val="007A1312"/>
    <w:rsid w:val="007A25F0"/>
    <w:rsid w:val="007A3936"/>
    <w:rsid w:val="007A3D7C"/>
    <w:rsid w:val="007A6737"/>
    <w:rsid w:val="007A6BD7"/>
    <w:rsid w:val="007B10BC"/>
    <w:rsid w:val="007B13BA"/>
    <w:rsid w:val="007B2A4A"/>
    <w:rsid w:val="007B2B4A"/>
    <w:rsid w:val="007B2F1F"/>
    <w:rsid w:val="007B6C3C"/>
    <w:rsid w:val="007C0BDB"/>
    <w:rsid w:val="007C1039"/>
    <w:rsid w:val="007C63D5"/>
    <w:rsid w:val="007C7895"/>
    <w:rsid w:val="007C7B00"/>
    <w:rsid w:val="007D0F38"/>
    <w:rsid w:val="007D108B"/>
    <w:rsid w:val="007D261F"/>
    <w:rsid w:val="007D3DEE"/>
    <w:rsid w:val="007D6A27"/>
    <w:rsid w:val="007E01A6"/>
    <w:rsid w:val="007E0BC1"/>
    <w:rsid w:val="007E28A4"/>
    <w:rsid w:val="007E3F7C"/>
    <w:rsid w:val="007E6419"/>
    <w:rsid w:val="007F06A5"/>
    <w:rsid w:val="007F1598"/>
    <w:rsid w:val="007F1BEC"/>
    <w:rsid w:val="007F5287"/>
    <w:rsid w:val="007F5E0C"/>
    <w:rsid w:val="007F65D4"/>
    <w:rsid w:val="007F7386"/>
    <w:rsid w:val="007F73D0"/>
    <w:rsid w:val="008036EA"/>
    <w:rsid w:val="00810208"/>
    <w:rsid w:val="00817182"/>
    <w:rsid w:val="00817D65"/>
    <w:rsid w:val="0082323D"/>
    <w:rsid w:val="00824198"/>
    <w:rsid w:val="0082568F"/>
    <w:rsid w:val="00826169"/>
    <w:rsid w:val="0082734B"/>
    <w:rsid w:val="00830AE8"/>
    <w:rsid w:val="00834113"/>
    <w:rsid w:val="00837E20"/>
    <w:rsid w:val="008405C2"/>
    <w:rsid w:val="00842543"/>
    <w:rsid w:val="008443C6"/>
    <w:rsid w:val="00844711"/>
    <w:rsid w:val="008464BD"/>
    <w:rsid w:val="00846C2F"/>
    <w:rsid w:val="0084703A"/>
    <w:rsid w:val="00852BD9"/>
    <w:rsid w:val="00861728"/>
    <w:rsid w:val="0086292F"/>
    <w:rsid w:val="0086352B"/>
    <w:rsid w:val="008717D7"/>
    <w:rsid w:val="00873463"/>
    <w:rsid w:val="00874303"/>
    <w:rsid w:val="008765C5"/>
    <w:rsid w:val="0087733A"/>
    <w:rsid w:val="00882CE4"/>
    <w:rsid w:val="0088401B"/>
    <w:rsid w:val="00884B9D"/>
    <w:rsid w:val="00885A3B"/>
    <w:rsid w:val="00885C8B"/>
    <w:rsid w:val="008879C9"/>
    <w:rsid w:val="00891402"/>
    <w:rsid w:val="00891D8C"/>
    <w:rsid w:val="0089248C"/>
    <w:rsid w:val="008928AF"/>
    <w:rsid w:val="00893613"/>
    <w:rsid w:val="008938A6"/>
    <w:rsid w:val="00893B6F"/>
    <w:rsid w:val="00895F7C"/>
    <w:rsid w:val="00897536"/>
    <w:rsid w:val="008A1448"/>
    <w:rsid w:val="008A3AD7"/>
    <w:rsid w:val="008A49D9"/>
    <w:rsid w:val="008B2ED4"/>
    <w:rsid w:val="008B44DD"/>
    <w:rsid w:val="008C041B"/>
    <w:rsid w:val="008C70E1"/>
    <w:rsid w:val="008D05B6"/>
    <w:rsid w:val="008D1A03"/>
    <w:rsid w:val="008D2799"/>
    <w:rsid w:val="008E0320"/>
    <w:rsid w:val="008E05D9"/>
    <w:rsid w:val="008E14B1"/>
    <w:rsid w:val="008F314A"/>
    <w:rsid w:val="008F408D"/>
    <w:rsid w:val="008F59AD"/>
    <w:rsid w:val="00900EFB"/>
    <w:rsid w:val="00906395"/>
    <w:rsid w:val="00907F51"/>
    <w:rsid w:val="009126F0"/>
    <w:rsid w:val="0091293F"/>
    <w:rsid w:val="009140F6"/>
    <w:rsid w:val="0091607B"/>
    <w:rsid w:val="009212E3"/>
    <w:rsid w:val="00921394"/>
    <w:rsid w:val="00922941"/>
    <w:rsid w:val="00923FC8"/>
    <w:rsid w:val="00925AF7"/>
    <w:rsid w:val="0092712D"/>
    <w:rsid w:val="00927A82"/>
    <w:rsid w:val="00932B9F"/>
    <w:rsid w:val="00935133"/>
    <w:rsid w:val="00942105"/>
    <w:rsid w:val="00942647"/>
    <w:rsid w:val="00956553"/>
    <w:rsid w:val="00956F44"/>
    <w:rsid w:val="00961AD8"/>
    <w:rsid w:val="00967139"/>
    <w:rsid w:val="00970E60"/>
    <w:rsid w:val="00972BA7"/>
    <w:rsid w:val="00973033"/>
    <w:rsid w:val="00974FD8"/>
    <w:rsid w:val="009768F8"/>
    <w:rsid w:val="00977107"/>
    <w:rsid w:val="009777BB"/>
    <w:rsid w:val="00977AB9"/>
    <w:rsid w:val="009809AB"/>
    <w:rsid w:val="0098171F"/>
    <w:rsid w:val="00982E48"/>
    <w:rsid w:val="0098470E"/>
    <w:rsid w:val="0098717A"/>
    <w:rsid w:val="009877A3"/>
    <w:rsid w:val="00987BFB"/>
    <w:rsid w:val="009913B3"/>
    <w:rsid w:val="00992DCE"/>
    <w:rsid w:val="009969BE"/>
    <w:rsid w:val="009971D4"/>
    <w:rsid w:val="009A2B59"/>
    <w:rsid w:val="009A72FC"/>
    <w:rsid w:val="009B4228"/>
    <w:rsid w:val="009B5E0F"/>
    <w:rsid w:val="009B6F48"/>
    <w:rsid w:val="009C0B04"/>
    <w:rsid w:val="009C0ECB"/>
    <w:rsid w:val="009C1BE7"/>
    <w:rsid w:val="009D1486"/>
    <w:rsid w:val="009D292B"/>
    <w:rsid w:val="009D5BD6"/>
    <w:rsid w:val="009D5D87"/>
    <w:rsid w:val="009E2085"/>
    <w:rsid w:val="009E4FB1"/>
    <w:rsid w:val="009E64FD"/>
    <w:rsid w:val="009F2D90"/>
    <w:rsid w:val="009F3C2C"/>
    <w:rsid w:val="009F7EF3"/>
    <w:rsid w:val="00A00B42"/>
    <w:rsid w:val="00A06E8F"/>
    <w:rsid w:val="00A07F3E"/>
    <w:rsid w:val="00A1021A"/>
    <w:rsid w:val="00A10FFB"/>
    <w:rsid w:val="00A12F3B"/>
    <w:rsid w:val="00A2160A"/>
    <w:rsid w:val="00A21D45"/>
    <w:rsid w:val="00A22A2C"/>
    <w:rsid w:val="00A22A71"/>
    <w:rsid w:val="00A22D07"/>
    <w:rsid w:val="00A231B2"/>
    <w:rsid w:val="00A241C4"/>
    <w:rsid w:val="00A253B8"/>
    <w:rsid w:val="00A25999"/>
    <w:rsid w:val="00A27C30"/>
    <w:rsid w:val="00A33D66"/>
    <w:rsid w:val="00A34C53"/>
    <w:rsid w:val="00A36DDF"/>
    <w:rsid w:val="00A37317"/>
    <w:rsid w:val="00A4031B"/>
    <w:rsid w:val="00A46E9C"/>
    <w:rsid w:val="00A524CD"/>
    <w:rsid w:val="00A54257"/>
    <w:rsid w:val="00A5434C"/>
    <w:rsid w:val="00A56992"/>
    <w:rsid w:val="00A571C8"/>
    <w:rsid w:val="00A65120"/>
    <w:rsid w:val="00A66ADC"/>
    <w:rsid w:val="00A7267C"/>
    <w:rsid w:val="00A72E85"/>
    <w:rsid w:val="00A73880"/>
    <w:rsid w:val="00A771BD"/>
    <w:rsid w:val="00A77926"/>
    <w:rsid w:val="00A80AFA"/>
    <w:rsid w:val="00A867EB"/>
    <w:rsid w:val="00A875F0"/>
    <w:rsid w:val="00A93B8B"/>
    <w:rsid w:val="00A93E39"/>
    <w:rsid w:val="00A93E51"/>
    <w:rsid w:val="00A94237"/>
    <w:rsid w:val="00AA0B6B"/>
    <w:rsid w:val="00AA52E9"/>
    <w:rsid w:val="00AA7A1B"/>
    <w:rsid w:val="00AB15B8"/>
    <w:rsid w:val="00AB2F7D"/>
    <w:rsid w:val="00AB7D5C"/>
    <w:rsid w:val="00AC0558"/>
    <w:rsid w:val="00AC0817"/>
    <w:rsid w:val="00AC0D2A"/>
    <w:rsid w:val="00AC0FB9"/>
    <w:rsid w:val="00AC4077"/>
    <w:rsid w:val="00AC68A0"/>
    <w:rsid w:val="00AD0A9D"/>
    <w:rsid w:val="00AD4E53"/>
    <w:rsid w:val="00AD6029"/>
    <w:rsid w:val="00AE12FC"/>
    <w:rsid w:val="00AE1D98"/>
    <w:rsid w:val="00AE3EF0"/>
    <w:rsid w:val="00AE4275"/>
    <w:rsid w:val="00AF0391"/>
    <w:rsid w:val="00AF147B"/>
    <w:rsid w:val="00AF45AF"/>
    <w:rsid w:val="00AF54C0"/>
    <w:rsid w:val="00AF69BD"/>
    <w:rsid w:val="00B01338"/>
    <w:rsid w:val="00B0307F"/>
    <w:rsid w:val="00B040C1"/>
    <w:rsid w:val="00B048DC"/>
    <w:rsid w:val="00B049F6"/>
    <w:rsid w:val="00B15756"/>
    <w:rsid w:val="00B15F4C"/>
    <w:rsid w:val="00B20F8E"/>
    <w:rsid w:val="00B235DA"/>
    <w:rsid w:val="00B269E6"/>
    <w:rsid w:val="00B310DB"/>
    <w:rsid w:val="00B340DA"/>
    <w:rsid w:val="00B349C6"/>
    <w:rsid w:val="00B37828"/>
    <w:rsid w:val="00B40717"/>
    <w:rsid w:val="00B415C9"/>
    <w:rsid w:val="00B432CD"/>
    <w:rsid w:val="00B4461D"/>
    <w:rsid w:val="00B44F31"/>
    <w:rsid w:val="00B46987"/>
    <w:rsid w:val="00B503DE"/>
    <w:rsid w:val="00B55E8C"/>
    <w:rsid w:val="00B568BD"/>
    <w:rsid w:val="00B60A11"/>
    <w:rsid w:val="00B62B54"/>
    <w:rsid w:val="00B640E7"/>
    <w:rsid w:val="00B643B8"/>
    <w:rsid w:val="00B70254"/>
    <w:rsid w:val="00B70726"/>
    <w:rsid w:val="00B76466"/>
    <w:rsid w:val="00B77970"/>
    <w:rsid w:val="00B82A75"/>
    <w:rsid w:val="00B841E4"/>
    <w:rsid w:val="00B849CA"/>
    <w:rsid w:val="00B87F83"/>
    <w:rsid w:val="00B91E8F"/>
    <w:rsid w:val="00B92F7A"/>
    <w:rsid w:val="00BA1086"/>
    <w:rsid w:val="00BA3B39"/>
    <w:rsid w:val="00BA72DC"/>
    <w:rsid w:val="00BB3536"/>
    <w:rsid w:val="00BB49B2"/>
    <w:rsid w:val="00BB73AF"/>
    <w:rsid w:val="00BC1E0C"/>
    <w:rsid w:val="00BC31F7"/>
    <w:rsid w:val="00BC7160"/>
    <w:rsid w:val="00BC7B99"/>
    <w:rsid w:val="00BD166C"/>
    <w:rsid w:val="00BE16B1"/>
    <w:rsid w:val="00BE377D"/>
    <w:rsid w:val="00BE6637"/>
    <w:rsid w:val="00BF0E7F"/>
    <w:rsid w:val="00BF4294"/>
    <w:rsid w:val="00BF43E5"/>
    <w:rsid w:val="00BF5CAD"/>
    <w:rsid w:val="00C016BE"/>
    <w:rsid w:val="00C06AEC"/>
    <w:rsid w:val="00C07F0B"/>
    <w:rsid w:val="00C07FE5"/>
    <w:rsid w:val="00C10661"/>
    <w:rsid w:val="00C107FC"/>
    <w:rsid w:val="00C108C6"/>
    <w:rsid w:val="00C10DB0"/>
    <w:rsid w:val="00C119ED"/>
    <w:rsid w:val="00C12EDA"/>
    <w:rsid w:val="00C13532"/>
    <w:rsid w:val="00C14401"/>
    <w:rsid w:val="00C20308"/>
    <w:rsid w:val="00C23235"/>
    <w:rsid w:val="00C27F02"/>
    <w:rsid w:val="00C3213D"/>
    <w:rsid w:val="00C339E4"/>
    <w:rsid w:val="00C40F46"/>
    <w:rsid w:val="00C42AD4"/>
    <w:rsid w:val="00C4309F"/>
    <w:rsid w:val="00C455C6"/>
    <w:rsid w:val="00C45FA9"/>
    <w:rsid w:val="00C465A9"/>
    <w:rsid w:val="00C47404"/>
    <w:rsid w:val="00C56AA8"/>
    <w:rsid w:val="00C57520"/>
    <w:rsid w:val="00C60FB5"/>
    <w:rsid w:val="00C62066"/>
    <w:rsid w:val="00C64254"/>
    <w:rsid w:val="00C64C9A"/>
    <w:rsid w:val="00C651EB"/>
    <w:rsid w:val="00C66303"/>
    <w:rsid w:val="00C66E2D"/>
    <w:rsid w:val="00C71693"/>
    <w:rsid w:val="00C73D0D"/>
    <w:rsid w:val="00C7430B"/>
    <w:rsid w:val="00C74328"/>
    <w:rsid w:val="00C74C74"/>
    <w:rsid w:val="00C75744"/>
    <w:rsid w:val="00C761E6"/>
    <w:rsid w:val="00C80A78"/>
    <w:rsid w:val="00C80F23"/>
    <w:rsid w:val="00C854A1"/>
    <w:rsid w:val="00C859B0"/>
    <w:rsid w:val="00C86A55"/>
    <w:rsid w:val="00C86B99"/>
    <w:rsid w:val="00C9025B"/>
    <w:rsid w:val="00C97C35"/>
    <w:rsid w:val="00CA4AAE"/>
    <w:rsid w:val="00CB068E"/>
    <w:rsid w:val="00CB169B"/>
    <w:rsid w:val="00CB2B64"/>
    <w:rsid w:val="00CB2B7C"/>
    <w:rsid w:val="00CB48AC"/>
    <w:rsid w:val="00CB5E99"/>
    <w:rsid w:val="00CC00D4"/>
    <w:rsid w:val="00CC2FCC"/>
    <w:rsid w:val="00CC62A8"/>
    <w:rsid w:val="00CD3233"/>
    <w:rsid w:val="00CD4340"/>
    <w:rsid w:val="00CD48AC"/>
    <w:rsid w:val="00CD72E7"/>
    <w:rsid w:val="00CD79FA"/>
    <w:rsid w:val="00CE0FAA"/>
    <w:rsid w:val="00CE4690"/>
    <w:rsid w:val="00CE6911"/>
    <w:rsid w:val="00CF089D"/>
    <w:rsid w:val="00CF598F"/>
    <w:rsid w:val="00CF77B9"/>
    <w:rsid w:val="00D00443"/>
    <w:rsid w:val="00D00691"/>
    <w:rsid w:val="00D00B25"/>
    <w:rsid w:val="00D01B39"/>
    <w:rsid w:val="00D02BB9"/>
    <w:rsid w:val="00D05914"/>
    <w:rsid w:val="00D0609E"/>
    <w:rsid w:val="00D10507"/>
    <w:rsid w:val="00D11F7D"/>
    <w:rsid w:val="00D12C49"/>
    <w:rsid w:val="00D20980"/>
    <w:rsid w:val="00D21B37"/>
    <w:rsid w:val="00D23812"/>
    <w:rsid w:val="00D25113"/>
    <w:rsid w:val="00D27F59"/>
    <w:rsid w:val="00D27F65"/>
    <w:rsid w:val="00D30DC9"/>
    <w:rsid w:val="00D3407E"/>
    <w:rsid w:val="00D3546A"/>
    <w:rsid w:val="00D356FF"/>
    <w:rsid w:val="00D37559"/>
    <w:rsid w:val="00D4300F"/>
    <w:rsid w:val="00D43FA1"/>
    <w:rsid w:val="00D4552F"/>
    <w:rsid w:val="00D47514"/>
    <w:rsid w:val="00D47EE6"/>
    <w:rsid w:val="00D510AC"/>
    <w:rsid w:val="00D513EF"/>
    <w:rsid w:val="00D539DF"/>
    <w:rsid w:val="00D56C3D"/>
    <w:rsid w:val="00D56C5F"/>
    <w:rsid w:val="00D56E02"/>
    <w:rsid w:val="00D57D67"/>
    <w:rsid w:val="00D60EED"/>
    <w:rsid w:val="00D6121C"/>
    <w:rsid w:val="00D61FA7"/>
    <w:rsid w:val="00D62AA5"/>
    <w:rsid w:val="00D64ED7"/>
    <w:rsid w:val="00D701EB"/>
    <w:rsid w:val="00D70ABA"/>
    <w:rsid w:val="00D7191C"/>
    <w:rsid w:val="00D767D7"/>
    <w:rsid w:val="00D77D9F"/>
    <w:rsid w:val="00D8525F"/>
    <w:rsid w:val="00D878EA"/>
    <w:rsid w:val="00D92621"/>
    <w:rsid w:val="00D95BBC"/>
    <w:rsid w:val="00DA55F6"/>
    <w:rsid w:val="00DA7A9F"/>
    <w:rsid w:val="00DB01DD"/>
    <w:rsid w:val="00DB0F34"/>
    <w:rsid w:val="00DB13D5"/>
    <w:rsid w:val="00DB1458"/>
    <w:rsid w:val="00DB19D9"/>
    <w:rsid w:val="00DB38B5"/>
    <w:rsid w:val="00DB3CF9"/>
    <w:rsid w:val="00DC00C7"/>
    <w:rsid w:val="00DC1531"/>
    <w:rsid w:val="00DC2157"/>
    <w:rsid w:val="00DC2C36"/>
    <w:rsid w:val="00DC36D5"/>
    <w:rsid w:val="00DC380F"/>
    <w:rsid w:val="00DC401B"/>
    <w:rsid w:val="00DC4992"/>
    <w:rsid w:val="00DD1A0D"/>
    <w:rsid w:val="00DD71AC"/>
    <w:rsid w:val="00DE03A2"/>
    <w:rsid w:val="00DE24D8"/>
    <w:rsid w:val="00DE7695"/>
    <w:rsid w:val="00DF0740"/>
    <w:rsid w:val="00DF477E"/>
    <w:rsid w:val="00DF4E86"/>
    <w:rsid w:val="00DF53DA"/>
    <w:rsid w:val="00DF7321"/>
    <w:rsid w:val="00DF781E"/>
    <w:rsid w:val="00E04BC7"/>
    <w:rsid w:val="00E05E20"/>
    <w:rsid w:val="00E1185F"/>
    <w:rsid w:val="00E132B2"/>
    <w:rsid w:val="00E14CCC"/>
    <w:rsid w:val="00E15C50"/>
    <w:rsid w:val="00E24156"/>
    <w:rsid w:val="00E24BD3"/>
    <w:rsid w:val="00E259E6"/>
    <w:rsid w:val="00E2699B"/>
    <w:rsid w:val="00E315B2"/>
    <w:rsid w:val="00E31DBA"/>
    <w:rsid w:val="00E322AC"/>
    <w:rsid w:val="00E333E7"/>
    <w:rsid w:val="00E33C95"/>
    <w:rsid w:val="00E34002"/>
    <w:rsid w:val="00E369A7"/>
    <w:rsid w:val="00E36DB1"/>
    <w:rsid w:val="00E41803"/>
    <w:rsid w:val="00E47946"/>
    <w:rsid w:val="00E5019C"/>
    <w:rsid w:val="00E508C1"/>
    <w:rsid w:val="00E53816"/>
    <w:rsid w:val="00E54627"/>
    <w:rsid w:val="00E54B36"/>
    <w:rsid w:val="00E55ABC"/>
    <w:rsid w:val="00E562A2"/>
    <w:rsid w:val="00E6133B"/>
    <w:rsid w:val="00E647EA"/>
    <w:rsid w:val="00E64AE6"/>
    <w:rsid w:val="00E66B13"/>
    <w:rsid w:val="00E71594"/>
    <w:rsid w:val="00E71B70"/>
    <w:rsid w:val="00E733ED"/>
    <w:rsid w:val="00E779E1"/>
    <w:rsid w:val="00E77C05"/>
    <w:rsid w:val="00E85935"/>
    <w:rsid w:val="00E8663B"/>
    <w:rsid w:val="00E94E49"/>
    <w:rsid w:val="00EA266D"/>
    <w:rsid w:val="00EA4993"/>
    <w:rsid w:val="00EB3709"/>
    <w:rsid w:val="00EB6BAB"/>
    <w:rsid w:val="00EC00AE"/>
    <w:rsid w:val="00EC0CBB"/>
    <w:rsid w:val="00EC1617"/>
    <w:rsid w:val="00EC558E"/>
    <w:rsid w:val="00EC7455"/>
    <w:rsid w:val="00ED0657"/>
    <w:rsid w:val="00ED07F3"/>
    <w:rsid w:val="00ED663D"/>
    <w:rsid w:val="00ED7B1E"/>
    <w:rsid w:val="00EE62A1"/>
    <w:rsid w:val="00EE62CE"/>
    <w:rsid w:val="00EF47B1"/>
    <w:rsid w:val="00F014BA"/>
    <w:rsid w:val="00F04411"/>
    <w:rsid w:val="00F04D45"/>
    <w:rsid w:val="00F061D0"/>
    <w:rsid w:val="00F063FD"/>
    <w:rsid w:val="00F07168"/>
    <w:rsid w:val="00F121FF"/>
    <w:rsid w:val="00F129A9"/>
    <w:rsid w:val="00F15200"/>
    <w:rsid w:val="00F16E27"/>
    <w:rsid w:val="00F170F3"/>
    <w:rsid w:val="00F2201E"/>
    <w:rsid w:val="00F23790"/>
    <w:rsid w:val="00F23F16"/>
    <w:rsid w:val="00F24484"/>
    <w:rsid w:val="00F2606D"/>
    <w:rsid w:val="00F279DE"/>
    <w:rsid w:val="00F35C02"/>
    <w:rsid w:val="00F40436"/>
    <w:rsid w:val="00F4137A"/>
    <w:rsid w:val="00F44B92"/>
    <w:rsid w:val="00F5065C"/>
    <w:rsid w:val="00F51C87"/>
    <w:rsid w:val="00F535BE"/>
    <w:rsid w:val="00F56D0C"/>
    <w:rsid w:val="00F637BF"/>
    <w:rsid w:val="00F64036"/>
    <w:rsid w:val="00F7167A"/>
    <w:rsid w:val="00F727C8"/>
    <w:rsid w:val="00F73908"/>
    <w:rsid w:val="00F80850"/>
    <w:rsid w:val="00F8576F"/>
    <w:rsid w:val="00F85FFE"/>
    <w:rsid w:val="00F907B0"/>
    <w:rsid w:val="00F9186A"/>
    <w:rsid w:val="00F91DBD"/>
    <w:rsid w:val="00F92B69"/>
    <w:rsid w:val="00F92FFA"/>
    <w:rsid w:val="00F957C5"/>
    <w:rsid w:val="00F95E71"/>
    <w:rsid w:val="00FA0EB5"/>
    <w:rsid w:val="00FA1B15"/>
    <w:rsid w:val="00FA564F"/>
    <w:rsid w:val="00FA7FE4"/>
    <w:rsid w:val="00FB17AA"/>
    <w:rsid w:val="00FB3AAE"/>
    <w:rsid w:val="00FB4098"/>
    <w:rsid w:val="00FB523D"/>
    <w:rsid w:val="00FB68F5"/>
    <w:rsid w:val="00FC4635"/>
    <w:rsid w:val="00FC68ED"/>
    <w:rsid w:val="00FD0941"/>
    <w:rsid w:val="00FD0C0F"/>
    <w:rsid w:val="00FE1333"/>
    <w:rsid w:val="00FE14FD"/>
    <w:rsid w:val="00FE1714"/>
    <w:rsid w:val="00FE657D"/>
    <w:rsid w:val="00FF0A67"/>
    <w:rsid w:val="00FF2040"/>
    <w:rsid w:val="00FF2546"/>
    <w:rsid w:val="00FF65B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4004A1"/>
  <w15:docId w15:val="{A66F0216-75A1-4E2C-9C3A-EDA13697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9"/>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9"/>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9"/>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9"/>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4D5"/>
    <w:rPr>
      <w:color w:val="0000FF"/>
      <w:u w:val="single"/>
    </w:rPr>
  </w:style>
  <w:style w:type="character" w:styleId="CommentReference">
    <w:name w:val="annotation reference"/>
    <w:semiHidden/>
    <w:rsid w:val="00DA7A9F"/>
    <w:rPr>
      <w:sz w:val="16"/>
      <w:szCs w:val="16"/>
    </w:rPr>
  </w:style>
  <w:style w:type="paragraph" w:styleId="CommentText">
    <w:name w:val="annotation text"/>
    <w:basedOn w:val="Normal"/>
    <w:link w:val="CommentTextChar"/>
    <w:semiHidden/>
    <w:rsid w:val="00DA7A9F"/>
    <w:pPr>
      <w:spacing w:before="0" w:after="0" w:line="360" w:lineRule="exact"/>
      <w:jc w:val="left"/>
    </w:pPr>
    <w:rPr>
      <w:rFonts w:ascii="Times New Roman" w:eastAsia="Times New Roman" w:hAnsi="Times New Roman" w:cs="Times New Roman"/>
      <w:sz w:val="20"/>
      <w:szCs w:val="20"/>
      <w:lang w:eastAsia="de-DE"/>
    </w:rPr>
  </w:style>
  <w:style w:type="character" w:customStyle="1" w:styleId="CommentTextChar">
    <w:name w:val="Comment Text Char"/>
    <w:basedOn w:val="DefaultParagraphFont"/>
    <w:link w:val="CommentText"/>
    <w:semiHidden/>
    <w:rsid w:val="00DA7A9F"/>
    <w:rPr>
      <w:rFonts w:ascii="Times New Roman" w:eastAsia="Times New Roman" w:hAnsi="Times New Roman" w:cs="Times New Roman"/>
      <w:sz w:val="20"/>
      <w:szCs w:val="20"/>
      <w:lang w:eastAsia="de-DE"/>
    </w:rPr>
  </w:style>
  <w:style w:type="paragraph" w:styleId="BalloonText">
    <w:name w:val="Balloon Text"/>
    <w:basedOn w:val="Normal"/>
    <w:link w:val="BalloonTextChar"/>
    <w:uiPriority w:val="99"/>
    <w:semiHidden/>
    <w:unhideWhenUsed/>
    <w:rsid w:val="00DA7A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9F"/>
    <w:rPr>
      <w:rFonts w:ascii="Tahoma" w:hAnsi="Tahoma" w:cs="Tahoma"/>
      <w:sz w:val="16"/>
      <w:szCs w:val="16"/>
    </w:rPr>
  </w:style>
  <w:style w:type="paragraph" w:customStyle="1" w:styleId="Normal-Absatz">
    <w:name w:val="Normal-Absatz"/>
    <w:basedOn w:val="Normal"/>
    <w:rsid w:val="007B13BA"/>
    <w:pPr>
      <w:spacing w:before="0" w:after="0" w:line="360" w:lineRule="auto"/>
      <w:jc w:val="left"/>
    </w:pPr>
    <w:rPr>
      <w:rFonts w:eastAsia="Times New Roman" w:cs="Times New Roman"/>
      <w:szCs w:val="20"/>
      <w:lang w:eastAsia="de-DE"/>
    </w:rPr>
  </w:style>
  <w:style w:type="paragraph" w:customStyle="1" w:styleId="CM1">
    <w:name w:val="CM1"/>
    <w:basedOn w:val="Normal"/>
    <w:next w:val="Normal"/>
    <w:uiPriority w:val="99"/>
    <w:rsid w:val="00CB5E99"/>
    <w:pPr>
      <w:autoSpaceDE w:val="0"/>
      <w:autoSpaceDN w:val="0"/>
      <w:adjustRightInd w:val="0"/>
      <w:spacing w:before="0" w:after="0"/>
      <w:jc w:val="left"/>
    </w:pPr>
    <w:rPr>
      <w:rFonts w:ascii="Times New Roman" w:eastAsia="Times New Roman" w:hAnsi="Times New Roman" w:cs="Times New Roman"/>
      <w:sz w:val="24"/>
      <w:szCs w:val="24"/>
      <w:lang w:eastAsia="de-DE"/>
    </w:rPr>
  </w:style>
  <w:style w:type="paragraph" w:styleId="CommentSubject">
    <w:name w:val="annotation subject"/>
    <w:basedOn w:val="CommentText"/>
    <w:next w:val="CommentText"/>
    <w:link w:val="CommentSubjectChar"/>
    <w:uiPriority w:val="99"/>
    <w:semiHidden/>
    <w:unhideWhenUsed/>
    <w:rsid w:val="005F1658"/>
    <w:pPr>
      <w:spacing w:before="120" w:after="120" w:line="240" w:lineRule="auto"/>
      <w:jc w:val="both"/>
    </w:pPr>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5F1658"/>
    <w:rPr>
      <w:rFonts w:ascii="Arial" w:eastAsia="Times New Roman" w:hAnsi="Arial" w:cs="Arial"/>
      <w:b/>
      <w:bCs/>
      <w:sz w:val="20"/>
      <w:szCs w:val="20"/>
      <w:lang w:eastAsia="de-DE"/>
    </w:rPr>
  </w:style>
  <w:style w:type="paragraph" w:styleId="Revision">
    <w:name w:val="Revision"/>
    <w:hidden/>
    <w:uiPriority w:val="99"/>
    <w:semiHidden/>
    <w:rsid w:val="005F1658"/>
    <w:pPr>
      <w:spacing w:after="0" w:line="240" w:lineRule="auto"/>
    </w:pPr>
    <w:rPr>
      <w:rFonts w:ascii="Arial" w:hAnsi="Arial" w:cs="Arial"/>
    </w:rPr>
  </w:style>
  <w:style w:type="paragraph" w:styleId="ListParagraph">
    <w:name w:val="List Paragraph"/>
    <w:basedOn w:val="Normal"/>
    <w:uiPriority w:val="34"/>
    <w:qFormat/>
    <w:rsid w:val="00D510AC"/>
    <w:pPr>
      <w:spacing w:before="0" w:after="0"/>
      <w:ind w:left="720"/>
      <w:jc w:val="left"/>
    </w:pPr>
    <w:rPr>
      <w:rFonts w:ascii="Times New Roman" w:hAnsi="Times New Roman" w:cs="Times New Roman"/>
      <w:sz w:val="24"/>
      <w:szCs w:val="24"/>
      <w:lang w:eastAsia="de-DE"/>
    </w:rPr>
  </w:style>
  <w:style w:type="paragraph" w:styleId="NormalWeb">
    <w:name w:val="Normal (Web)"/>
    <w:basedOn w:val="Normal"/>
    <w:uiPriority w:val="99"/>
    <w:semiHidden/>
    <w:unhideWhenUsed/>
    <w:rsid w:val="008036EA"/>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Emphasis">
    <w:name w:val="Emphasis"/>
    <w:basedOn w:val="DefaultParagraphFont"/>
    <w:uiPriority w:val="20"/>
    <w:qFormat/>
    <w:rsid w:val="00AC0558"/>
    <w:rPr>
      <w:i/>
      <w:iCs/>
    </w:rPr>
  </w:style>
  <w:style w:type="table" w:styleId="TableGrid">
    <w:name w:val="Table Grid"/>
    <w:basedOn w:val="TableNormal"/>
    <w:uiPriority w:val="59"/>
    <w:rsid w:val="004E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68F"/>
    <w:pPr>
      <w:autoSpaceDE w:val="0"/>
      <w:autoSpaceDN w:val="0"/>
      <w:adjustRightInd w:val="0"/>
      <w:spacing w:after="0" w:line="240" w:lineRule="auto"/>
    </w:pPr>
    <w:rPr>
      <w:rFonts w:ascii="MetaNormalLF-Roman" w:hAnsi="MetaNormalLF-Roman" w:cs="MetaNormalLF-Roman"/>
      <w:color w:val="000000"/>
      <w:sz w:val="24"/>
      <w:szCs w:val="24"/>
    </w:rPr>
  </w:style>
  <w:style w:type="paragraph" w:customStyle="1" w:styleId="CVUAGru">
    <w:name w:val="CVUA_Gruß"/>
    <w:basedOn w:val="Normal"/>
    <w:rsid w:val="007C7B00"/>
    <w:pPr>
      <w:tabs>
        <w:tab w:val="left" w:pos="13608"/>
      </w:tabs>
      <w:overflowPunct w:val="0"/>
      <w:autoSpaceDE w:val="0"/>
      <w:autoSpaceDN w:val="0"/>
      <w:adjustRightInd w:val="0"/>
      <w:spacing w:before="0" w:after="0" w:line="360" w:lineRule="auto"/>
      <w:jc w:val="left"/>
    </w:pPr>
    <w:rPr>
      <w:rFonts w:eastAsia="Times New Roman" w:cs="Times New Roman"/>
      <w:szCs w:val="20"/>
      <w:lang w:eastAsia="de-DE"/>
    </w:rPr>
  </w:style>
  <w:style w:type="character" w:customStyle="1" w:styleId="apple-converted-space">
    <w:name w:val="apple-converted-space"/>
    <w:basedOn w:val="DefaultParagraphFont"/>
    <w:rsid w:val="00B70726"/>
  </w:style>
  <w:style w:type="character" w:customStyle="1" w:styleId="wordmark">
    <w:name w:val="wordmark"/>
    <w:basedOn w:val="DefaultParagraphFont"/>
    <w:rsid w:val="00B70726"/>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5"/>
      </w:numPr>
      <w:spacing w:before="60" w:after="60"/>
    </w:pPr>
    <w:rPr>
      <w:sz w:val="18"/>
    </w:rPr>
  </w:style>
  <w:style w:type="paragraph" w:customStyle="1" w:styleId="TabelleListe">
    <w:name w:val="Tabelle Liste"/>
    <w:basedOn w:val="Normal"/>
    <w:rsid w:val="00A147E3"/>
    <w:pPr>
      <w:numPr>
        <w:numId w:val="16"/>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4"/>
      </w:numPr>
      <w:tabs>
        <w:tab w:val="left" w:pos="0"/>
      </w:tabs>
    </w:pPr>
  </w:style>
  <w:style w:type="paragraph" w:customStyle="1" w:styleId="ListeFolgeabsatzStufe1">
    <w:name w:val="Liste Folgeabsatz (Stufe 1)"/>
    <w:basedOn w:val="Normal"/>
    <w:rsid w:val="00A147E3"/>
    <w:pPr>
      <w:numPr>
        <w:ilvl w:val="1"/>
        <w:numId w:val="14"/>
      </w:numPr>
    </w:pPr>
  </w:style>
  <w:style w:type="paragraph" w:customStyle="1" w:styleId="ListeStufe2">
    <w:name w:val="Liste (Stufe 2)"/>
    <w:basedOn w:val="Normal"/>
    <w:rsid w:val="00A147E3"/>
    <w:pPr>
      <w:numPr>
        <w:ilvl w:val="2"/>
        <w:numId w:val="14"/>
      </w:numPr>
    </w:pPr>
  </w:style>
  <w:style w:type="paragraph" w:customStyle="1" w:styleId="ListeFolgeabsatzStufe2">
    <w:name w:val="Liste Folgeabsatz (Stufe 2)"/>
    <w:basedOn w:val="Normal"/>
    <w:rsid w:val="00A147E3"/>
    <w:pPr>
      <w:numPr>
        <w:ilvl w:val="3"/>
        <w:numId w:val="14"/>
      </w:numPr>
    </w:pPr>
  </w:style>
  <w:style w:type="paragraph" w:customStyle="1" w:styleId="ListeStufe3">
    <w:name w:val="Liste (Stufe 3)"/>
    <w:basedOn w:val="Normal"/>
    <w:rsid w:val="00A147E3"/>
    <w:pPr>
      <w:numPr>
        <w:ilvl w:val="4"/>
        <w:numId w:val="14"/>
      </w:numPr>
    </w:pPr>
  </w:style>
  <w:style w:type="paragraph" w:customStyle="1" w:styleId="ListeFolgeabsatzStufe3">
    <w:name w:val="Liste Folgeabsatz (Stufe 3)"/>
    <w:basedOn w:val="Normal"/>
    <w:rsid w:val="00A147E3"/>
    <w:pPr>
      <w:numPr>
        <w:ilvl w:val="5"/>
        <w:numId w:val="14"/>
      </w:numPr>
    </w:pPr>
  </w:style>
  <w:style w:type="paragraph" w:customStyle="1" w:styleId="ListeStufe4">
    <w:name w:val="Liste (Stufe 4)"/>
    <w:basedOn w:val="Normal"/>
    <w:rsid w:val="00A147E3"/>
    <w:pPr>
      <w:numPr>
        <w:ilvl w:val="6"/>
        <w:numId w:val="14"/>
      </w:numPr>
    </w:pPr>
  </w:style>
  <w:style w:type="paragraph" w:customStyle="1" w:styleId="ListeFolgeabsatzStufe4">
    <w:name w:val="Liste Folgeabsatz (Stufe 4)"/>
    <w:basedOn w:val="Normal"/>
    <w:rsid w:val="00A147E3"/>
    <w:pPr>
      <w:numPr>
        <w:ilvl w:val="7"/>
        <w:numId w:val="14"/>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9"/>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10"/>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11"/>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12"/>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3"/>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9"/>
      </w:numPr>
      <w:outlineLvl w:val="5"/>
    </w:pPr>
  </w:style>
  <w:style w:type="paragraph" w:customStyle="1" w:styleId="NummerierungStufe2">
    <w:name w:val="Nummerierung (Stufe 2)"/>
    <w:basedOn w:val="Normal"/>
    <w:rsid w:val="00A147E3"/>
    <w:pPr>
      <w:numPr>
        <w:ilvl w:val="4"/>
        <w:numId w:val="29"/>
      </w:numPr>
    </w:pPr>
  </w:style>
  <w:style w:type="paragraph" w:customStyle="1" w:styleId="NummerierungStufe3">
    <w:name w:val="Nummerierung (Stufe 3)"/>
    <w:basedOn w:val="Normal"/>
    <w:rsid w:val="00A147E3"/>
    <w:pPr>
      <w:numPr>
        <w:ilvl w:val="5"/>
        <w:numId w:val="29"/>
      </w:numPr>
    </w:pPr>
  </w:style>
  <w:style w:type="paragraph" w:customStyle="1" w:styleId="NummerierungStufe4">
    <w:name w:val="Nummerierung (Stufe 4)"/>
    <w:basedOn w:val="Normal"/>
    <w:rsid w:val="00A147E3"/>
    <w:pPr>
      <w:numPr>
        <w:ilvl w:val="6"/>
        <w:numId w:val="29"/>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7"/>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8"/>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30"/>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9"/>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9"/>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31"/>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32"/>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31"/>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32"/>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31"/>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32"/>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31"/>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32"/>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31"/>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32"/>
      </w:numPr>
      <w:spacing w:after="240"/>
      <w:jc w:val="center"/>
      <w:outlineLvl w:val="2"/>
    </w:pPr>
  </w:style>
  <w:style w:type="paragraph" w:customStyle="1" w:styleId="TitelBezeichner">
    <w:name w:val="Titel Bezeichner"/>
    <w:basedOn w:val="Normal"/>
    <w:next w:val="Titelberschrift"/>
    <w:rsid w:val="00A147E3"/>
    <w:pPr>
      <w:keepNext/>
      <w:numPr>
        <w:ilvl w:val="5"/>
        <w:numId w:val="31"/>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32"/>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31"/>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32"/>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33"/>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33"/>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20"/>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20"/>
      </w:numPr>
    </w:pPr>
    <w:rPr>
      <w:color w:val="800000"/>
    </w:rPr>
  </w:style>
  <w:style w:type="paragraph" w:customStyle="1" w:styleId="RevisionNummerierungStufe2">
    <w:name w:val="Revision Nummerierung (Stufe 2)"/>
    <w:basedOn w:val="Normal"/>
    <w:rsid w:val="00A147E3"/>
    <w:pPr>
      <w:numPr>
        <w:ilvl w:val="4"/>
        <w:numId w:val="20"/>
      </w:numPr>
    </w:pPr>
    <w:rPr>
      <w:color w:val="800000"/>
    </w:rPr>
  </w:style>
  <w:style w:type="paragraph" w:customStyle="1" w:styleId="RevisionNummerierungStufe3">
    <w:name w:val="Revision Nummerierung (Stufe 3)"/>
    <w:basedOn w:val="Normal"/>
    <w:rsid w:val="00A147E3"/>
    <w:pPr>
      <w:numPr>
        <w:ilvl w:val="5"/>
        <w:numId w:val="20"/>
      </w:numPr>
    </w:pPr>
    <w:rPr>
      <w:color w:val="800000"/>
    </w:rPr>
  </w:style>
  <w:style w:type="paragraph" w:customStyle="1" w:styleId="RevisionNummerierungStufe4">
    <w:name w:val="Revision Nummerierung (Stufe 4)"/>
    <w:basedOn w:val="Normal"/>
    <w:rsid w:val="00A147E3"/>
    <w:pPr>
      <w:numPr>
        <w:ilvl w:val="6"/>
        <w:numId w:val="20"/>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20"/>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20"/>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7"/>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21"/>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21"/>
      </w:numPr>
    </w:pPr>
    <w:rPr>
      <w:color w:val="800000"/>
    </w:rPr>
  </w:style>
  <w:style w:type="paragraph" w:customStyle="1" w:styleId="RevisionListeStufe2">
    <w:name w:val="Revision Liste (Stufe 2)"/>
    <w:basedOn w:val="Normal"/>
    <w:rsid w:val="00A147E3"/>
    <w:pPr>
      <w:numPr>
        <w:ilvl w:val="2"/>
        <w:numId w:val="21"/>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21"/>
      </w:numPr>
    </w:pPr>
    <w:rPr>
      <w:color w:val="800000"/>
    </w:rPr>
  </w:style>
  <w:style w:type="paragraph" w:customStyle="1" w:styleId="RevisionListeStufe3">
    <w:name w:val="Revision Liste (Stufe 3)"/>
    <w:basedOn w:val="Normal"/>
    <w:rsid w:val="00A147E3"/>
    <w:pPr>
      <w:numPr>
        <w:ilvl w:val="4"/>
        <w:numId w:val="21"/>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21"/>
      </w:numPr>
    </w:pPr>
    <w:rPr>
      <w:color w:val="800000"/>
    </w:rPr>
  </w:style>
  <w:style w:type="paragraph" w:customStyle="1" w:styleId="RevisionListeStufe4">
    <w:name w:val="Revision Liste (Stufe 4)"/>
    <w:basedOn w:val="Normal"/>
    <w:rsid w:val="00A147E3"/>
    <w:pPr>
      <w:numPr>
        <w:ilvl w:val="6"/>
        <w:numId w:val="21"/>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21"/>
      </w:numPr>
    </w:pPr>
    <w:rPr>
      <w:color w:val="800000"/>
    </w:rPr>
  </w:style>
  <w:style w:type="paragraph" w:customStyle="1" w:styleId="RevisionAufzhlungStufe1">
    <w:name w:val="Revision Aufzählung (Stufe 1)"/>
    <w:basedOn w:val="Normal"/>
    <w:rsid w:val="00A147E3"/>
    <w:pPr>
      <w:numPr>
        <w:numId w:val="22"/>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3"/>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4"/>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5"/>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6"/>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8"/>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9"/>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07083">
      <w:bodyDiv w:val="1"/>
      <w:marLeft w:val="0"/>
      <w:marRight w:val="0"/>
      <w:marTop w:val="0"/>
      <w:marBottom w:val="0"/>
      <w:divBdr>
        <w:top w:val="none" w:sz="0" w:space="0" w:color="auto"/>
        <w:left w:val="none" w:sz="0" w:space="0" w:color="auto"/>
        <w:bottom w:val="none" w:sz="0" w:space="0" w:color="auto"/>
        <w:right w:val="none" w:sz="0" w:space="0" w:color="auto"/>
      </w:divBdr>
    </w:div>
    <w:div w:id="427625987">
      <w:bodyDiv w:val="1"/>
      <w:marLeft w:val="0"/>
      <w:marRight w:val="0"/>
      <w:marTop w:val="0"/>
      <w:marBottom w:val="0"/>
      <w:divBdr>
        <w:top w:val="none" w:sz="0" w:space="0" w:color="auto"/>
        <w:left w:val="none" w:sz="0" w:space="0" w:color="auto"/>
        <w:bottom w:val="none" w:sz="0" w:space="0" w:color="auto"/>
        <w:right w:val="none" w:sz="0" w:space="0" w:color="auto"/>
      </w:divBdr>
    </w:div>
    <w:div w:id="535854703">
      <w:bodyDiv w:val="1"/>
      <w:marLeft w:val="0"/>
      <w:marRight w:val="0"/>
      <w:marTop w:val="0"/>
      <w:marBottom w:val="0"/>
      <w:divBdr>
        <w:top w:val="none" w:sz="0" w:space="0" w:color="auto"/>
        <w:left w:val="none" w:sz="0" w:space="0" w:color="auto"/>
        <w:bottom w:val="none" w:sz="0" w:space="0" w:color="auto"/>
        <w:right w:val="none" w:sz="0" w:space="0" w:color="auto"/>
      </w:divBdr>
      <w:divsChild>
        <w:div w:id="2079745499">
          <w:marLeft w:val="0"/>
          <w:marRight w:val="0"/>
          <w:marTop w:val="0"/>
          <w:marBottom w:val="0"/>
          <w:divBdr>
            <w:top w:val="none" w:sz="0" w:space="0" w:color="auto"/>
            <w:left w:val="none" w:sz="0" w:space="0" w:color="auto"/>
            <w:bottom w:val="none" w:sz="0" w:space="0" w:color="auto"/>
            <w:right w:val="none" w:sz="0" w:space="0" w:color="auto"/>
          </w:divBdr>
          <w:divsChild>
            <w:div w:id="1737849462">
              <w:marLeft w:val="0"/>
              <w:marRight w:val="0"/>
              <w:marTop w:val="0"/>
              <w:marBottom w:val="0"/>
              <w:divBdr>
                <w:top w:val="none" w:sz="0" w:space="0" w:color="auto"/>
                <w:left w:val="none" w:sz="0" w:space="0" w:color="auto"/>
                <w:bottom w:val="none" w:sz="0" w:space="0" w:color="auto"/>
                <w:right w:val="none" w:sz="0" w:space="0" w:color="auto"/>
              </w:divBdr>
              <w:divsChild>
                <w:div w:id="1960069827">
                  <w:marLeft w:val="405"/>
                  <w:marRight w:val="75"/>
                  <w:marTop w:val="0"/>
                  <w:marBottom w:val="0"/>
                  <w:divBdr>
                    <w:top w:val="none" w:sz="0" w:space="0" w:color="auto"/>
                    <w:left w:val="none" w:sz="0" w:space="0" w:color="auto"/>
                    <w:bottom w:val="none" w:sz="0" w:space="0" w:color="auto"/>
                    <w:right w:val="none" w:sz="0" w:space="0" w:color="auto"/>
                  </w:divBdr>
                  <w:divsChild>
                    <w:div w:id="1732070215">
                      <w:marLeft w:val="0"/>
                      <w:marRight w:val="0"/>
                      <w:marTop w:val="120"/>
                      <w:marBottom w:val="0"/>
                      <w:divBdr>
                        <w:top w:val="none" w:sz="0" w:space="0" w:color="auto"/>
                        <w:left w:val="none" w:sz="0" w:space="0" w:color="auto"/>
                        <w:bottom w:val="none" w:sz="0" w:space="0" w:color="auto"/>
                        <w:right w:val="none" w:sz="0" w:space="0" w:color="auto"/>
                      </w:divBdr>
                      <w:divsChild>
                        <w:div w:id="1796558889">
                          <w:marLeft w:val="0"/>
                          <w:marRight w:val="0"/>
                          <w:marTop w:val="120"/>
                          <w:marBottom w:val="0"/>
                          <w:divBdr>
                            <w:top w:val="none" w:sz="0" w:space="0" w:color="auto"/>
                            <w:left w:val="none" w:sz="0" w:space="0" w:color="auto"/>
                            <w:bottom w:val="none" w:sz="0" w:space="0" w:color="auto"/>
                            <w:right w:val="none" w:sz="0" w:space="0" w:color="auto"/>
                          </w:divBdr>
                          <w:divsChild>
                            <w:div w:id="37434247">
                              <w:marLeft w:val="0"/>
                              <w:marRight w:val="0"/>
                              <w:marTop w:val="120"/>
                              <w:marBottom w:val="0"/>
                              <w:divBdr>
                                <w:top w:val="none" w:sz="0" w:space="0" w:color="auto"/>
                                <w:left w:val="none" w:sz="0" w:space="0" w:color="auto"/>
                                <w:bottom w:val="none" w:sz="0" w:space="0" w:color="auto"/>
                                <w:right w:val="none" w:sz="0" w:space="0" w:color="auto"/>
                              </w:divBdr>
                              <w:divsChild>
                                <w:div w:id="876233226">
                                  <w:marLeft w:val="150"/>
                                  <w:marRight w:val="0"/>
                                  <w:marTop w:val="240"/>
                                  <w:marBottom w:val="240"/>
                                  <w:divBdr>
                                    <w:top w:val="none" w:sz="0" w:space="0" w:color="auto"/>
                                    <w:left w:val="none" w:sz="0" w:space="0" w:color="auto"/>
                                    <w:bottom w:val="none" w:sz="0" w:space="0" w:color="auto"/>
                                    <w:right w:val="none" w:sz="0" w:space="0" w:color="auto"/>
                                  </w:divBdr>
                                </w:div>
                                <w:div w:id="1301687252">
                                  <w:marLeft w:val="0"/>
                                  <w:marRight w:val="0"/>
                                  <w:marTop w:val="120"/>
                                  <w:marBottom w:val="0"/>
                                  <w:divBdr>
                                    <w:top w:val="none" w:sz="0" w:space="0" w:color="auto"/>
                                    <w:left w:val="none" w:sz="0" w:space="0" w:color="auto"/>
                                    <w:bottom w:val="none" w:sz="0" w:space="0" w:color="auto"/>
                                    <w:right w:val="none" w:sz="0" w:space="0" w:color="auto"/>
                                  </w:divBdr>
                                  <w:divsChild>
                                    <w:div w:id="988168305">
                                      <w:marLeft w:val="0"/>
                                      <w:marRight w:val="0"/>
                                      <w:marTop w:val="0"/>
                                      <w:marBottom w:val="0"/>
                                      <w:divBdr>
                                        <w:top w:val="none" w:sz="0" w:space="0" w:color="auto"/>
                                        <w:left w:val="none" w:sz="0" w:space="0" w:color="auto"/>
                                        <w:bottom w:val="none" w:sz="0" w:space="0" w:color="auto"/>
                                        <w:right w:val="none" w:sz="0" w:space="0" w:color="auto"/>
                                      </w:divBdr>
                                      <w:divsChild>
                                        <w:div w:id="733117977">
                                          <w:marLeft w:val="0"/>
                                          <w:marRight w:val="0"/>
                                          <w:marTop w:val="0"/>
                                          <w:marBottom w:val="0"/>
                                          <w:divBdr>
                                            <w:top w:val="none" w:sz="0" w:space="0" w:color="auto"/>
                                            <w:left w:val="none" w:sz="0" w:space="0" w:color="auto"/>
                                            <w:bottom w:val="none" w:sz="0" w:space="0" w:color="auto"/>
                                            <w:right w:val="none" w:sz="0" w:space="0" w:color="auto"/>
                                          </w:divBdr>
                                          <w:divsChild>
                                            <w:div w:id="1797990294">
                                              <w:marLeft w:val="0"/>
                                              <w:marRight w:val="0"/>
                                              <w:marTop w:val="0"/>
                                              <w:marBottom w:val="0"/>
                                              <w:divBdr>
                                                <w:top w:val="none" w:sz="0" w:space="0" w:color="auto"/>
                                                <w:left w:val="none" w:sz="0" w:space="0" w:color="auto"/>
                                                <w:bottom w:val="none" w:sz="0" w:space="0" w:color="auto"/>
                                                <w:right w:val="none" w:sz="0" w:space="0" w:color="auto"/>
                                              </w:divBdr>
                                              <w:divsChild>
                                                <w:div w:id="662315423">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837269">
      <w:bodyDiv w:val="1"/>
      <w:marLeft w:val="0"/>
      <w:marRight w:val="0"/>
      <w:marTop w:val="0"/>
      <w:marBottom w:val="0"/>
      <w:divBdr>
        <w:top w:val="none" w:sz="0" w:space="0" w:color="auto"/>
        <w:left w:val="none" w:sz="0" w:space="0" w:color="auto"/>
        <w:bottom w:val="none" w:sz="0" w:space="0" w:color="auto"/>
        <w:right w:val="none" w:sz="0" w:space="0" w:color="auto"/>
      </w:divBdr>
    </w:div>
    <w:div w:id="982734847">
      <w:bodyDiv w:val="1"/>
      <w:marLeft w:val="0"/>
      <w:marRight w:val="0"/>
      <w:marTop w:val="0"/>
      <w:marBottom w:val="0"/>
      <w:divBdr>
        <w:top w:val="none" w:sz="0" w:space="0" w:color="auto"/>
        <w:left w:val="none" w:sz="0" w:space="0" w:color="auto"/>
        <w:bottom w:val="none" w:sz="0" w:space="0" w:color="auto"/>
        <w:right w:val="none" w:sz="0" w:space="0" w:color="auto"/>
      </w:divBdr>
    </w:div>
    <w:div w:id="1266503457">
      <w:bodyDiv w:val="1"/>
      <w:marLeft w:val="0"/>
      <w:marRight w:val="0"/>
      <w:marTop w:val="0"/>
      <w:marBottom w:val="0"/>
      <w:divBdr>
        <w:top w:val="none" w:sz="0" w:space="0" w:color="auto"/>
        <w:left w:val="none" w:sz="0" w:space="0" w:color="auto"/>
        <w:bottom w:val="none" w:sz="0" w:space="0" w:color="auto"/>
        <w:right w:val="none" w:sz="0" w:space="0" w:color="auto"/>
      </w:divBdr>
    </w:div>
    <w:div w:id="1506628327">
      <w:bodyDiv w:val="1"/>
      <w:marLeft w:val="0"/>
      <w:marRight w:val="0"/>
      <w:marTop w:val="0"/>
      <w:marBottom w:val="0"/>
      <w:divBdr>
        <w:top w:val="none" w:sz="0" w:space="0" w:color="auto"/>
        <w:left w:val="none" w:sz="0" w:space="0" w:color="auto"/>
        <w:bottom w:val="none" w:sz="0" w:space="0" w:color="auto"/>
        <w:right w:val="none" w:sz="0" w:space="0" w:color="auto"/>
      </w:divBdr>
      <w:divsChild>
        <w:div w:id="1907453108">
          <w:marLeft w:val="0"/>
          <w:marRight w:val="0"/>
          <w:marTop w:val="0"/>
          <w:marBottom w:val="0"/>
          <w:divBdr>
            <w:top w:val="none" w:sz="0" w:space="0" w:color="auto"/>
            <w:left w:val="none" w:sz="0" w:space="0" w:color="auto"/>
            <w:bottom w:val="none" w:sz="0" w:space="0" w:color="auto"/>
            <w:right w:val="none" w:sz="0" w:space="0" w:color="auto"/>
          </w:divBdr>
          <w:divsChild>
            <w:div w:id="66273619">
              <w:marLeft w:val="0"/>
              <w:marRight w:val="0"/>
              <w:marTop w:val="0"/>
              <w:marBottom w:val="0"/>
              <w:divBdr>
                <w:top w:val="none" w:sz="0" w:space="0" w:color="auto"/>
                <w:left w:val="none" w:sz="0" w:space="0" w:color="auto"/>
                <w:bottom w:val="none" w:sz="0" w:space="0" w:color="auto"/>
                <w:right w:val="none" w:sz="0" w:space="0" w:color="auto"/>
              </w:divBdr>
              <w:divsChild>
                <w:div w:id="138769159">
                  <w:marLeft w:val="405"/>
                  <w:marRight w:val="75"/>
                  <w:marTop w:val="0"/>
                  <w:marBottom w:val="0"/>
                  <w:divBdr>
                    <w:top w:val="none" w:sz="0" w:space="0" w:color="auto"/>
                    <w:left w:val="none" w:sz="0" w:space="0" w:color="auto"/>
                    <w:bottom w:val="none" w:sz="0" w:space="0" w:color="auto"/>
                    <w:right w:val="none" w:sz="0" w:space="0" w:color="auto"/>
                  </w:divBdr>
                  <w:divsChild>
                    <w:div w:id="752505842">
                      <w:marLeft w:val="0"/>
                      <w:marRight w:val="0"/>
                      <w:marTop w:val="120"/>
                      <w:marBottom w:val="0"/>
                      <w:divBdr>
                        <w:top w:val="none" w:sz="0" w:space="0" w:color="auto"/>
                        <w:left w:val="none" w:sz="0" w:space="0" w:color="auto"/>
                        <w:bottom w:val="none" w:sz="0" w:space="0" w:color="auto"/>
                        <w:right w:val="none" w:sz="0" w:space="0" w:color="auto"/>
                      </w:divBdr>
                      <w:divsChild>
                        <w:div w:id="926500079">
                          <w:marLeft w:val="0"/>
                          <w:marRight w:val="0"/>
                          <w:marTop w:val="120"/>
                          <w:marBottom w:val="0"/>
                          <w:divBdr>
                            <w:top w:val="none" w:sz="0" w:space="0" w:color="auto"/>
                            <w:left w:val="none" w:sz="0" w:space="0" w:color="auto"/>
                            <w:bottom w:val="none" w:sz="0" w:space="0" w:color="auto"/>
                            <w:right w:val="none" w:sz="0" w:space="0" w:color="auto"/>
                          </w:divBdr>
                          <w:divsChild>
                            <w:div w:id="515509904">
                              <w:marLeft w:val="0"/>
                              <w:marRight w:val="0"/>
                              <w:marTop w:val="120"/>
                              <w:marBottom w:val="0"/>
                              <w:divBdr>
                                <w:top w:val="none" w:sz="0" w:space="0" w:color="auto"/>
                                <w:left w:val="none" w:sz="0" w:space="0" w:color="auto"/>
                                <w:bottom w:val="none" w:sz="0" w:space="0" w:color="auto"/>
                                <w:right w:val="none" w:sz="0" w:space="0" w:color="auto"/>
                              </w:divBdr>
                              <w:divsChild>
                                <w:div w:id="202639034">
                                  <w:marLeft w:val="150"/>
                                  <w:marRight w:val="0"/>
                                  <w:marTop w:val="240"/>
                                  <w:marBottom w:val="240"/>
                                  <w:divBdr>
                                    <w:top w:val="none" w:sz="0" w:space="0" w:color="auto"/>
                                    <w:left w:val="none" w:sz="0" w:space="0" w:color="auto"/>
                                    <w:bottom w:val="none" w:sz="0" w:space="0" w:color="auto"/>
                                    <w:right w:val="none" w:sz="0" w:space="0" w:color="auto"/>
                                  </w:divBdr>
                                </w:div>
                                <w:div w:id="1948346549">
                                  <w:marLeft w:val="0"/>
                                  <w:marRight w:val="0"/>
                                  <w:marTop w:val="120"/>
                                  <w:marBottom w:val="0"/>
                                  <w:divBdr>
                                    <w:top w:val="none" w:sz="0" w:space="0" w:color="auto"/>
                                    <w:left w:val="none" w:sz="0" w:space="0" w:color="auto"/>
                                    <w:bottom w:val="none" w:sz="0" w:space="0" w:color="auto"/>
                                    <w:right w:val="none" w:sz="0" w:space="0" w:color="auto"/>
                                  </w:divBdr>
                                  <w:divsChild>
                                    <w:div w:id="118571736">
                                      <w:marLeft w:val="0"/>
                                      <w:marRight w:val="0"/>
                                      <w:marTop w:val="0"/>
                                      <w:marBottom w:val="0"/>
                                      <w:divBdr>
                                        <w:top w:val="none" w:sz="0" w:space="0" w:color="auto"/>
                                        <w:left w:val="none" w:sz="0" w:space="0" w:color="auto"/>
                                        <w:bottom w:val="none" w:sz="0" w:space="0" w:color="auto"/>
                                        <w:right w:val="none" w:sz="0" w:space="0" w:color="auto"/>
                                      </w:divBdr>
                                      <w:divsChild>
                                        <w:div w:id="1003508732">
                                          <w:marLeft w:val="0"/>
                                          <w:marRight w:val="0"/>
                                          <w:marTop w:val="0"/>
                                          <w:marBottom w:val="0"/>
                                          <w:divBdr>
                                            <w:top w:val="none" w:sz="0" w:space="0" w:color="auto"/>
                                            <w:left w:val="none" w:sz="0" w:space="0" w:color="auto"/>
                                            <w:bottom w:val="none" w:sz="0" w:space="0" w:color="auto"/>
                                            <w:right w:val="none" w:sz="0" w:space="0" w:color="auto"/>
                                          </w:divBdr>
                                          <w:divsChild>
                                            <w:div w:id="1593930208">
                                              <w:marLeft w:val="0"/>
                                              <w:marRight w:val="0"/>
                                              <w:marTop w:val="0"/>
                                              <w:marBottom w:val="0"/>
                                              <w:divBdr>
                                                <w:top w:val="none" w:sz="0" w:space="0" w:color="auto"/>
                                                <w:left w:val="none" w:sz="0" w:space="0" w:color="auto"/>
                                                <w:bottom w:val="none" w:sz="0" w:space="0" w:color="auto"/>
                                                <w:right w:val="none" w:sz="0" w:space="0" w:color="auto"/>
                                              </w:divBdr>
                                              <w:divsChild>
                                                <w:div w:id="448135547">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8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r.bund.de/cm/343/bestimmung-von-kohlenwasserstoffen-aus-mineraloel-oder-kunststoff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fr.bund.de/cm/343/messung-von-mineraloel-kohlenwasserstoffen-in-lebensmitteln-und-verpackungsmaterialien.pdf" TargetMode="External"/><Relationship Id="rId4" Type="http://schemas.openxmlformats.org/officeDocument/2006/relationships/settings" Target="settings.xml"/><Relationship Id="rId9" Type="http://schemas.openxmlformats.org/officeDocument/2006/relationships/hyperlink" Target="http://www.bfr.bund.de/cm/343/bestimmung-von-kohlenwasserstoffen-aus-mineraloel-oder-kunststoffen.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D3360-26AC-41BF-A951-70BF46A4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4</TotalTime>
  <Pages>18</Pages>
  <Words>6784</Words>
  <Characters>38672</Characters>
  <Application>Microsoft Office Word</Application>
  <DocSecurity>0</DocSecurity>
  <Lines>322</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Bundesministerium der Justiz</Company>
  <LinksUpToDate>false</LinksUpToDate>
  <CharactersWithSpaces>45366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Katharina</dc:creator>
  <cp:lastModifiedBy>Diana STOICA</cp:lastModifiedBy>
  <cp:revision>5</cp:revision>
  <cp:lastPrinted>2020-07-29T12:01:00Z</cp:lastPrinted>
  <dcterms:created xsi:type="dcterms:W3CDTF">2020-08-28T07:01:00Z</dcterms:created>
  <dcterms:modified xsi:type="dcterms:W3CDTF">2020-08-31T13:22:00Z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14.08.2020  15:07 Uhr</vt:lpwstr>
  </property>
  <property fmtid="{D5CDD505-2E9C-101B-9397-08002B2CF9AE}" pid="3" name="Meta_Initiant">
    <vt:lpwstr>Bundesministerium der Justiz und fuer Verbraucherschutz</vt:lpwstr>
  </property>
  <property fmtid="{D5CDD505-2E9C-101B-9397-08002B2CF9AE}" pid="4" name="Version">
    <vt:lpwstr>3.12.2.0</vt:lpwstr>
  </property>
  <property fmtid="{D5CDD505-2E9C-101B-9397-08002B2CF9AE}" pid="5" name="Last edited using">
    <vt:lpwstr>LW 5.4, Build 20200526</vt:lpwstr>
  </property>
  <property fmtid="{D5CDD505-2E9C-101B-9397-08002B2CF9AE}" pid="6" name="Kategorie">
    <vt:lpwstr>AENDER/NOVVER</vt:lpwstr>
  </property>
  <property fmtid="{D5CDD505-2E9C-101B-9397-08002B2CF9AE}" pid="7" name="eNorm-Version vorherige Bearbeitung">
    <vt:lpwstr>4.1.5 Bundesregierung [20200526]</vt:lpwstr>
  </property>
  <property fmtid="{D5CDD505-2E9C-101B-9397-08002B2CF9AE}" pid="8" name="eNorm-Version Erstellung">
    <vt:lpwstr>3.12.4, Bundesregierung</vt:lpwstr>
  </property>
  <property fmtid="{D5CDD505-2E9C-101B-9397-08002B2CF9AE}" pid="9" name="Created using">
    <vt:lpwstr>LW 5.4, Build 20151231</vt:lpwstr>
  </property>
  <property fmtid="{D5CDD505-2E9C-101B-9397-08002B2CF9AE}" pid="10" name="Classification">
    <vt:lpwstr> </vt:lpwstr>
  </property>
  <property fmtid="{D5CDD505-2E9C-101B-9397-08002B2CF9AE}" pid="11" name="eNorm-Version letzte Bearbeitung">
    <vt:lpwstr>4.1.5 Bundesregierung [20200526]</vt:lpwstr>
  </property>
  <property fmtid="{D5CDD505-2E9C-101B-9397-08002B2CF9AE}" pid="12" name="DQP-Ergebnis für Version 4">
    <vt:lpwstr>130 Fehler</vt:lpwstr>
  </property>
  <property fmtid="{D5CDD505-2E9C-101B-9397-08002B2CF9AE}" pid="13" name="eNorm-Version letzte DQP">
    <vt:lpwstr>4.1.5, Bundesregierung, [20200526]</vt:lpwstr>
  </property>
  <property fmtid="{D5CDD505-2E9C-101B-9397-08002B2CF9AE}" pid="14" name="Meta_Bezeichnung">
    <vt:lpwstr>Zweiundzwanzigste Verordnung zur Änderung der Bedarfsgegenständeverordnung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Einzelnovelle einer Verordnung</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vt:lpwstr>
  </property>
  <property fmtid="{D5CDD505-2E9C-101B-9397-08002B2CF9AE}" pid="20" name="Meta_Anlagen">
    <vt:lpwstr/>
  </property>
</Properties>
</file>