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b w:val="0"/>
          <w:bCs w:val="0"/>
          <w:sz w:val="23"/>
          <w:szCs w:val="22"/>
          <w:rFonts w:cstheme="minorBidi"/>
        </w:rPr>
      </w:pPr>
      <w:r>
        <w:rPr>
          <w:b w:val="0"/>
          <w:sz w:val="23"/>
        </w:rPr>
        <w:t xml:space="preserve">PROJEKTAS</w:t>
      </w:r>
    </w:p>
    <w:p w14:paraId="7A97F98B" w14:textId="77777777" w:rsidR="005468F3" w:rsidRPr="00B10BD4" w:rsidRDefault="005468F3" w:rsidP="005F75D2">
      <w:pPr>
        <w:pStyle w:val="Brdtext"/>
        <w:pBdr>
          <w:top w:val="single" w:sz="6" w:space="1" w:color="auto"/>
        </w:pBdr>
        <w:ind w:right="-2411"/>
        <w:rPr>
          <w:sz w:val="4"/>
          <w:szCs w:val="4"/>
        </w:rPr>
      </w:pPr>
      <w: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t xml:space="preserve">Potvarkis dėl vienkartinių gaminių</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t xml:space="preserve">Švedijos Vyriausybė nustato</w:t>
      </w:r>
      <w:r w:rsidRPr="00B10BD4">
        <w:rPr>
          <w:rStyle w:val="Fotnotsreferens"/>
        </w:rPr>
        <w:footnoteReference w:id="2"/>
      </w:r>
      <w:r>
        <w:t xml:space="preserve"> tai, kas nurodyta toliau.</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Pr>
          <w:b/>
        </w:rPr>
        <w:t xml:space="preserve">1 straipsnis.</w:t>
      </w:r>
      <w:r>
        <w:tab/>
      </w:r>
      <w:r>
        <w:t xml:space="preserve">Šis potvarkis priimtas remiantis</w:t>
      </w:r>
      <w:r>
        <w:t xml:space="preserve"> </w:t>
      </w:r>
    </w:p>
    <w:p w14:paraId="60B3B3FE" w14:textId="6DC83533" w:rsidR="005468F3" w:rsidRPr="00B10BD4" w:rsidRDefault="005468F3" w:rsidP="005468F3">
      <w:pPr>
        <w:pStyle w:val="Brdtextmedindrag"/>
      </w:pPr>
      <w:r>
        <w:t xml:space="preserve">– Aplinkos kodekso 15 skyriaus 40 straipsniu, atsižvelgiant į 13–30 straipsnius,</w:t>
      </w:r>
    </w:p>
    <w:p w14:paraId="690CFD40" w14:textId="0EAC24C0" w:rsidR="005468F3" w:rsidRPr="00B10BD4" w:rsidRDefault="005468F3" w:rsidP="005468F3">
      <w:pPr>
        <w:pStyle w:val="Brdtextmedindrag"/>
      </w:pPr>
      <w:r>
        <w:t xml:space="preserve">– Vyriausybės priemonės 8 skyriaus 11 straipsnius, atsižvelgiant į 35 straipsnį, ir</w:t>
      </w:r>
    </w:p>
    <w:p w14:paraId="325C6242" w14:textId="77777777" w:rsidR="005468F3" w:rsidRPr="00B10BD4" w:rsidRDefault="005468F3" w:rsidP="005468F3">
      <w:pPr>
        <w:pStyle w:val="Brdtextmedindrag"/>
      </w:pPr>
      <w:r>
        <w:t xml:space="preserve">– Vyriausybės priemonės 8 skyriaus 7 straipsniu, atsižvelgiant į kitas nuostatas.</w:t>
      </w:r>
    </w:p>
    <w:p w14:paraId="1D3247EF" w14:textId="77777777" w:rsidR="005468F3" w:rsidRPr="00B10BD4" w:rsidRDefault="005468F3" w:rsidP="000918F8">
      <w:pPr>
        <w:pStyle w:val="Rubrik4"/>
      </w:pPr>
      <w:r>
        <w:t xml:space="preserve">Potvarkio tikslas</w:t>
      </w:r>
    </w:p>
    <w:p w14:paraId="32463151" w14:textId="0D7E8DA6" w:rsidR="0015788B" w:rsidRPr="00B10BD4" w:rsidRDefault="005468F3" w:rsidP="005468F3">
      <w:pPr>
        <w:pStyle w:val="Brdtextmedindrag"/>
        <w:ind w:firstLine="0"/>
      </w:pPr>
      <w:r>
        <w:rPr>
          <w:b/>
        </w:rPr>
        <w:t xml:space="preserve">2 straipsnis.</w:t>
      </w:r>
      <w:r>
        <w:tab/>
      </w:r>
      <w:r>
        <w:t xml:space="preserve">Šio potvarkio tikslas – sumažinti šiukšlių kiekį ir skatinti žiedinę ekonomiką.</w:t>
      </w:r>
      <w:r>
        <w:t xml:space="preserve"> </w:t>
      </w:r>
    </w:p>
    <w:p w14:paraId="3E594C62" w14:textId="34ADAC2F" w:rsidR="005468F3" w:rsidRPr="00B10BD4" w:rsidRDefault="005468F3" w:rsidP="00C073DB">
      <w:pPr>
        <w:pStyle w:val="Rubrik4"/>
      </w:pPr>
      <w:r>
        <w:t xml:space="preserve">Apibrėžtys</w:t>
      </w:r>
    </w:p>
    <w:p w14:paraId="02D41004" w14:textId="4FB7FD12" w:rsidR="005468F3" w:rsidRPr="00B10BD4" w:rsidRDefault="003469C8" w:rsidP="005468F3">
      <w:pPr>
        <w:pStyle w:val="Brdtext"/>
        <w:keepNext/>
      </w:pPr>
      <w:r>
        <w:rPr>
          <w:b/>
        </w:rPr>
        <w:t xml:space="preserve">3 straipsnis.</w:t>
      </w:r>
      <w:r>
        <w:tab/>
      </w:r>
      <w:r>
        <w:t xml:space="preserve">Šiame potvarkyje sąvoka </w:t>
      </w:r>
      <w:r>
        <w:rPr>
          <w:i/>
        </w:rPr>
        <w:t xml:space="preserve">polimeras</w:t>
      </w:r>
      <w:r>
        <w:t xml:space="preserve"> vartojama reikšme, kuri apibrėžta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3 straipsnio 5 punkte.</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Pr>
          <w:b/>
        </w:rPr>
        <w:t xml:space="preserve">4 straipsnis.</w:t>
      </w:r>
      <w:r>
        <w:tab/>
      </w:r>
      <w:r>
        <w:t xml:space="preserve">Šiame potvarkyje </w:t>
      </w:r>
      <w:r>
        <w:rPr>
          <w:i/>
        </w:rPr>
        <w:t xml:space="preserve">plastikas</w:t>
      </w:r>
      <w:r>
        <w:t xml:space="preserve"> reiškia polimerą, kuris gali veikti kaip pagrindinis galutinių produktų struktūrinis komponentas, </w:t>
      </w:r>
      <w:bookmarkStart w:id="1" w:name="_Hlk49851962"/>
      <w:r>
        <w:t xml:space="preserve">neatsižvelgiant į tai, ar į polimerą buvo pridėta priedų ar kitų medžiagų.</w:t>
      </w:r>
    </w:p>
    <w:bookmarkEnd w:id="1"/>
    <w:p w14:paraId="1A73BBD2" w14:textId="77777777" w:rsidR="005468F3" w:rsidRPr="00B10BD4" w:rsidRDefault="005468F3" w:rsidP="005468F3">
      <w:pPr>
        <w:pStyle w:val="Brdtextmedindrag"/>
      </w:pPr>
      <w:r>
        <w:t xml:space="preserve">Plastikas nėra natūraliai aplinkoje esantis polimeras, kuris nebuvo chemiškai modifikuotas.</w:t>
      </w:r>
      <w:r>
        <w:t xml:space="preserve">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Pr>
          <w:b/>
        </w:rPr>
        <w:t xml:space="preserve">5 straipsnis.</w:t>
      </w:r>
      <w:r>
        <w:tab/>
      </w:r>
      <w:r>
        <w:t xml:space="preserve">Šiame potvarkyje</w:t>
      </w:r>
    </w:p>
    <w:p w14:paraId="4401025B" w14:textId="77777777" w:rsidR="005468F3" w:rsidRPr="00B10BD4" w:rsidRDefault="005468F3" w:rsidP="005468F3">
      <w:pPr>
        <w:pStyle w:val="Brdtextmedindrag"/>
        <w:rPr>
          <w:iCs/>
        </w:rPr>
      </w:pPr>
      <w:r>
        <w:rPr>
          <w:i/>
        </w:rPr>
        <w:t xml:space="preserve">tiekti Švedijos rinkoje</w:t>
      </w:r>
      <w:r>
        <w:t xml:space="preserve"> reiškia profesionaliai tiekti gaminį Švedijos rinkoje platinti, vartoti ar naudoti už atlygį arba nemokamai, ir</w:t>
      </w:r>
    </w:p>
    <w:p w14:paraId="75C434F2" w14:textId="77777777" w:rsidR="005468F3" w:rsidRPr="00B10BD4" w:rsidRDefault="005468F3" w:rsidP="005468F3">
      <w:pPr>
        <w:pStyle w:val="Brdtextmedindrag"/>
        <w:rPr>
          <w:iCs/>
        </w:rPr>
      </w:pPr>
      <w:r>
        <w:rPr>
          <w:i/>
        </w:rPr>
        <w:t xml:space="preserve">pateikti Švedijos rinkai</w:t>
      </w:r>
      <w:r>
        <w:t xml:space="preserve"> reiškia pirmą kartą pateikti gaminį Švedijos rinkai.</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Pr>
          <w:b/>
        </w:rPr>
        <w:t xml:space="preserve">6 straipsnis.</w:t>
      </w:r>
      <w:r>
        <w:tab/>
      </w:r>
      <w:r>
        <w:t xml:space="preserve">Šiame potvarkyje</w:t>
      </w:r>
      <w:r>
        <w:rPr>
          <w:i/>
        </w:rPr>
        <w:t xml:space="preserve"> </w:t>
      </w:r>
    </w:p>
    <w:p w14:paraId="1FB7D8D3" w14:textId="77777777" w:rsidR="005468F3" w:rsidRPr="00B10BD4" w:rsidRDefault="005468F3" w:rsidP="005468F3">
      <w:pPr>
        <w:pStyle w:val="Brdtextmedindrag"/>
      </w:pPr>
      <w:r>
        <w:rPr>
          <w:i/>
        </w:rPr>
        <w:t xml:space="preserve">vienkartinis gaminys</w:t>
      </w:r>
      <w:r>
        <w:t xml:space="preserve"> – gaminys, kuris nėra sumanytas, suprojektuotas ar pateiktas Švedijos rinkai taip, kad per jo gyvavimo laikotarpį būtų galima atlikti kelis reisus ar rotacijas pakartotinai naudojant pagal tą pačią paskirtį, kuriai jis buvo sukurtas, arba grąžinamas gamintojui papildyti, ir</w:t>
      </w:r>
    </w:p>
    <w:p w14:paraId="6B05E1E1" w14:textId="77777777" w:rsidR="005468F3" w:rsidRPr="00B10BD4" w:rsidRDefault="005468F3" w:rsidP="005468F3">
      <w:pPr>
        <w:pStyle w:val="Brdtextmedindrag"/>
      </w:pPr>
      <w:r>
        <w:rPr>
          <w:i/>
        </w:rPr>
        <w:t xml:space="preserve">vienkartinis plastikinis gaminys</w:t>
      </w:r>
      <w:r>
        <w:t xml:space="preserve"> – vienkartinis gaminys, visiškai arba iš dalies pagamintas iš plastiko.</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Pr>
          <w:b/>
        </w:rPr>
        <w:t xml:space="preserve">7 straipsnis.</w:t>
      </w:r>
      <w:r>
        <w:tab/>
      </w:r>
      <w:r>
        <w:t xml:space="preserve">Šiame potvarkyje</w:t>
      </w:r>
      <w:r>
        <w:t xml:space="preserve"> </w:t>
      </w:r>
    </w:p>
    <w:p w14:paraId="2DE92665" w14:textId="62C0AC9A" w:rsidR="005468F3" w:rsidRPr="00B10BD4" w:rsidRDefault="005468F3" w:rsidP="005468F3">
      <w:pPr>
        <w:pStyle w:val="Brdtextmedindrag"/>
      </w:pPr>
      <w:r>
        <w:rPr>
          <w:i/>
        </w:rPr>
        <w:t xml:space="preserve">puodelis</w:t>
      </w:r>
      <w:r>
        <w:t xml:space="preserve"> – stiklinė, taurė ar puodelis su dangčiu arba be jo, skirtas šaltiems arba karštiems gėrimams, kurie paprastai geriami tiesiai iš puodelio,</w:t>
      </w:r>
      <w:r>
        <w:t xml:space="preserve"> </w:t>
      </w:r>
    </w:p>
    <w:p w14:paraId="6472B480" w14:textId="77777777" w:rsidR="005468F3" w:rsidRPr="00B10BD4" w:rsidRDefault="005468F3" w:rsidP="005468F3">
      <w:pPr>
        <w:pStyle w:val="Brdtextmedindrag"/>
      </w:pPr>
      <w:r>
        <w:rPr>
          <w:i/>
        </w:rPr>
        <w:t xml:space="preserve">vienkartinis puodelis</w:t>
      </w:r>
      <w:r>
        <w:t xml:space="preserve"> – puodelis, kuris yra vienkartinis gaminys, ir</w:t>
      </w:r>
    </w:p>
    <w:p w14:paraId="1F837B1A" w14:textId="77777777" w:rsidR="005468F3" w:rsidRPr="00B10BD4" w:rsidRDefault="005468F3" w:rsidP="005468F3">
      <w:pPr>
        <w:pStyle w:val="Brdtextmedindrag"/>
      </w:pPr>
      <w:r>
        <w:rPr>
          <w:i/>
        </w:rPr>
        <w:t xml:space="preserve">gėrimų tara</w:t>
      </w:r>
      <w:r>
        <w:t xml:space="preserve"> – plastikinis butelis, sudėtinė pakuotė ar kita talpykla, kuri</w:t>
      </w:r>
      <w:r>
        <w:t xml:space="preserve"> </w:t>
      </w:r>
    </w:p>
    <w:p w14:paraId="12165DCE" w14:textId="77777777" w:rsidR="005468F3" w:rsidRPr="00B10BD4" w:rsidRDefault="005468F3" w:rsidP="005468F3">
      <w:pPr>
        <w:pStyle w:val="Brdtextmedindrag"/>
      </w:pPr>
      <w:r>
        <w:t xml:space="preserve">1. yra vienkartinis plastikinis gaminys,</w:t>
      </w:r>
    </w:p>
    <w:p w14:paraId="7F1954A4" w14:textId="77777777" w:rsidR="005468F3" w:rsidRPr="00B10BD4" w:rsidRDefault="005468F3" w:rsidP="005468F3">
      <w:pPr>
        <w:pStyle w:val="Brdtextmedindrag"/>
      </w:pPr>
      <w:r>
        <w:t xml:space="preserve">2. yra iki trijų litrų talpos,</w:t>
      </w:r>
      <w:r>
        <w:t xml:space="preserve"> </w:t>
      </w:r>
    </w:p>
    <w:p w14:paraId="09D1093F" w14:textId="77777777" w:rsidR="005468F3" w:rsidRPr="00B10BD4" w:rsidRDefault="005468F3" w:rsidP="005468F3">
      <w:pPr>
        <w:pStyle w:val="Brdtextmedindrag"/>
      </w:pPr>
      <w:r>
        <w:t xml:space="preserve">3. yra skirta gėrimams ir</w:t>
      </w:r>
    </w:p>
    <w:p w14:paraId="47AE724B" w14:textId="61386166" w:rsidR="00D5396B" w:rsidRPr="00B10BD4" w:rsidRDefault="005468F3" w:rsidP="00A95177">
      <w:pPr>
        <w:pStyle w:val="Brdtextmedindrag"/>
      </w:pPr>
      <w:r>
        <w:t xml:space="preserve">4. nėra puodelis.</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Pr>
          <w:b/>
        </w:rPr>
        <w:t xml:space="preserve">8 straipsnis.</w:t>
      </w:r>
      <w:bookmarkStart w:id="2" w:name="_Hlk39491428"/>
      <w:r>
        <w:tab/>
      </w:r>
      <w:r>
        <w:t xml:space="preserve">Šiame potvarkyje</w:t>
      </w:r>
      <w:r>
        <w:rPr>
          <w:i/>
        </w:rPr>
        <w:t xml:space="preserve"> </w:t>
      </w:r>
    </w:p>
    <w:p w14:paraId="2E7F7BAD" w14:textId="095A9ADD" w:rsidR="00613113" w:rsidRPr="00B10BD4" w:rsidRDefault="00613113" w:rsidP="005468F3">
      <w:pPr>
        <w:pStyle w:val="Brdtextmedindrag"/>
        <w:rPr>
          <w:iCs/>
        </w:rPr>
      </w:pPr>
      <w:bookmarkStart w:id="3" w:name="_Hlk37753820"/>
      <w:r>
        <w:rPr>
          <w:i/>
        </w:rPr>
        <w:t xml:space="preserve">maistas</w:t>
      </w:r>
      <w:r>
        <w:t xml:space="preserve"> – maisto produktai, kurie nėra gėrimai,</w:t>
      </w:r>
    </w:p>
    <w:p w14:paraId="5F034BAC" w14:textId="7A8A80E3" w:rsidR="005468F3" w:rsidRPr="00B10BD4" w:rsidRDefault="005468F3" w:rsidP="005468F3">
      <w:pPr>
        <w:pStyle w:val="Brdtextmedindrag"/>
      </w:pPr>
      <w:r>
        <w:rPr>
          <w:i/>
        </w:rPr>
        <w:t xml:space="preserve">greitasis maistas –</w:t>
      </w:r>
      <w:r>
        <w:t xml:space="preserve"> </w:t>
      </w:r>
      <w:bookmarkStart w:id="4" w:name="_Hlk23153179"/>
      <w:r>
        <w:t xml:space="preserve">tai maistas, kuris</w:t>
      </w:r>
      <w:r>
        <w:t xml:space="preserve"> </w:t>
      </w:r>
    </w:p>
    <w:p w14:paraId="1C7ADC8E" w14:textId="77777777" w:rsidR="005468F3" w:rsidRPr="00B10BD4" w:rsidRDefault="005468F3" w:rsidP="005468F3">
      <w:pPr>
        <w:pStyle w:val="Brdtextmedindrag"/>
      </w:pPr>
      <w:r>
        <w:t xml:space="preserve">1. yra skirtas valgyti iškart arba šalia pardavimo vietos,</w:t>
      </w:r>
      <w:r>
        <w:t xml:space="preserve"> </w:t>
      </w:r>
    </w:p>
    <w:p w14:paraId="306BE99C" w14:textId="77777777" w:rsidR="005468F3" w:rsidRPr="00B10BD4" w:rsidRDefault="005468F3" w:rsidP="005468F3">
      <w:pPr>
        <w:pStyle w:val="Brdtextmedindrag"/>
      </w:pPr>
      <w:bookmarkStart w:id="5" w:name="_Hlk38459579"/>
      <w:r>
        <w:t xml:space="preserve">2. valgomas pardavimo vietoje ar kitur</w:t>
      </w:r>
      <w:bookmarkEnd w:id="5"/>
      <w:r>
        <w:t xml:space="preserve">,</w:t>
      </w:r>
      <w:r>
        <w:t xml:space="preserve"> </w:t>
      </w:r>
    </w:p>
    <w:p w14:paraId="36EDDE17" w14:textId="3704FF03" w:rsidR="005468F3" w:rsidRPr="00B10BD4" w:rsidRDefault="005468F3" w:rsidP="005468F3">
      <w:pPr>
        <w:pStyle w:val="Brdtextmedindrag"/>
      </w:pPr>
      <w:r>
        <w:t xml:space="preserve">3. yra skirtas valgyti iš pakuotės ir</w:t>
      </w:r>
      <w:r>
        <w:t xml:space="preserve"> </w:t>
      </w:r>
    </w:p>
    <w:p w14:paraId="5E6DD8B8" w14:textId="77777777" w:rsidR="005468F3" w:rsidRPr="00B10BD4" w:rsidRDefault="005468F3" w:rsidP="005468F3">
      <w:pPr>
        <w:pStyle w:val="Brdtextmedindrag"/>
      </w:pPr>
      <w:r>
        <w:t xml:space="preserve">4. yra paruoštas valgyti be tolesnio virimo, šildymo ar kitokio paruošimo</w:t>
      </w:r>
      <w:bookmarkEnd w:id="4"/>
      <w:r>
        <w:t xml:space="preserve">, kurį atlieka vartotojas,</w:t>
      </w:r>
      <w:r>
        <w:t xml:space="preserve"> </w:t>
      </w:r>
    </w:p>
    <w:p w14:paraId="371FE5CF" w14:textId="77777777" w:rsidR="005468F3" w:rsidRPr="00B10BD4" w:rsidRDefault="005468F3" w:rsidP="005468F3">
      <w:pPr>
        <w:pStyle w:val="Brdtextmedindrag"/>
      </w:pPr>
      <w:r>
        <w:rPr>
          <w:i/>
        </w:rPr>
        <w:t xml:space="preserve">maisto dėžutė</w:t>
      </w:r>
      <w:r>
        <w:t xml:space="preserve"> – pakuotė su dangčiu arba be jo, kuri</w:t>
      </w:r>
      <w:r>
        <w:t xml:space="preserve"> </w:t>
      </w:r>
    </w:p>
    <w:p w14:paraId="5DBFFD4E" w14:textId="77777777" w:rsidR="005468F3" w:rsidRPr="00B10BD4" w:rsidRDefault="005468F3" w:rsidP="005468F3">
      <w:pPr>
        <w:pStyle w:val="Brdtextmedindrag"/>
      </w:pPr>
      <w:r>
        <w:t xml:space="preserve">1. pridėjus arba pašalinus turinį pakeičia formą arba lieka iš esmės nepakitusi ir</w:t>
      </w:r>
      <w:r>
        <w:t xml:space="preserve"> </w:t>
      </w:r>
    </w:p>
    <w:p w14:paraId="296581A3" w14:textId="77777777" w:rsidR="005468F3" w:rsidRPr="00B10BD4" w:rsidRDefault="005468F3" w:rsidP="005468F3">
      <w:pPr>
        <w:pStyle w:val="Brdtextmedindrag"/>
      </w:pPr>
      <w:r>
        <w:t xml:space="preserve">2. yra naudojama greitajam maistui,</w:t>
      </w:r>
    </w:p>
    <w:p w14:paraId="362B1E0F" w14:textId="77777777" w:rsidR="005468F3" w:rsidRPr="00B10BD4" w:rsidRDefault="005468F3" w:rsidP="005468F3">
      <w:pPr>
        <w:pStyle w:val="Brdtextmedindrag"/>
        <w:rPr>
          <w:i/>
        </w:rPr>
      </w:pPr>
      <w:r>
        <w:rPr>
          <w:i/>
        </w:rPr>
        <w:t xml:space="preserve">vienkartinio naudojimo maisto dėžutė</w:t>
      </w:r>
      <w:r>
        <w:t xml:space="preserve"> – maisto dėžutė, kuri yra vienkartinis gaminys</w:t>
      </w:r>
      <w:bookmarkEnd w:id="2"/>
      <w:r>
        <w:t xml:space="preserve">.</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Pr>
          <w:b/>
        </w:rPr>
        <w:t xml:space="preserve">9 straipsnis.</w:t>
      </w:r>
      <w:r>
        <w:tab/>
      </w:r>
      <w:r>
        <w:t xml:space="preserve">Šiame potvarkyje </w:t>
      </w:r>
      <w:r>
        <w:rPr>
          <w:i/>
        </w:rPr>
        <w:t xml:space="preserve">pakartotinio naudojimo ciklas</w:t>
      </w:r>
      <w:r>
        <w:t xml:space="preserve"> reiškia kelią, kai daugkartinis puodelis ar maisto dėžutė tiekiami Švedijos rinkoje kartu su gėrimu ar maistu, kurį ketinama laikyti, apsaugoti, pristatyti ar pateikti, kol patenka į sistemą, skirtą pakartotinai naudoti puodelius ar maisto dėžutes greitajam maistui, kad būtų galima vėl pateikti Švedijos rinkai kartu su tuo gėrimu ar maistu, kuriam jie skirti.</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Pr>
          <w:b/>
        </w:rPr>
        <w:t xml:space="preserve">10 straipsnis.</w:t>
      </w:r>
      <w:r>
        <w:tab/>
      </w:r>
      <w:r>
        <w:t xml:space="preserve">Šiame potvarkyje vartojami žodžiai ir žodžių junginiai turi tokią pat reikšmę kaip Aplinkos kodekso 15 skyriuje.</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Pr>
          <w:b/>
        </w:rPr>
        <w:t xml:space="preserve">11 straipsnis.</w:t>
      </w:r>
      <w:r>
        <w:tab/>
      </w:r>
      <w:r>
        <w:t xml:space="preserve">Švedijos rinkai draudžiama teikti vienkartinius puodelius, kurių sudėtyje yra daugiau kaip 15 proc. plastiko.</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Pr>
          <w:b/>
        </w:rPr>
        <w:t xml:space="preserve">12 straipsnis.</w:t>
      </w:r>
      <w:r>
        <w:tab/>
      </w:r>
      <w:r>
        <w:t xml:space="preserve">Švedijos aplinkos apsaugos agentūra gali priimti nutarimus dėl 15 straipsnyje nurodyto draudimo išimčių, jei yra ypatingų priežasčių Švedijos rinkai teikti vienkartinius puodelius.</w:t>
      </w:r>
      <w:r>
        <w:t xml:space="preserve"> </w:t>
      </w:r>
    </w:p>
    <w:p w14:paraId="50F56AB3" w14:textId="0F9F3676" w:rsidR="003E2867" w:rsidRPr="00C819BD" w:rsidRDefault="003E2867" w:rsidP="003E2867">
      <w:pPr>
        <w:pStyle w:val="Rubrik4"/>
      </w:pPr>
      <w:r>
        <w:t xml:space="preserve">Draudimas naudoti konfeti</w:t>
      </w:r>
      <w:r>
        <w:t xml:space="preserve"> </w:t>
      </w:r>
    </w:p>
    <w:p w14:paraId="720B323C" w14:textId="24EAEE21" w:rsidR="003E2867" w:rsidRPr="00B10BD4" w:rsidRDefault="003E2867" w:rsidP="003E2867">
      <w:pPr>
        <w:pStyle w:val="Brdtext"/>
      </w:pPr>
      <w:r>
        <w:rPr>
          <w:b/>
        </w:rPr>
        <w:t xml:space="preserve">13 straipsnis.</w:t>
      </w:r>
      <w:r>
        <w:tab/>
      </w:r>
      <w:r>
        <w:t xml:space="preserve">Konfeti, kurio sudėtyje yra plastiko, negalima naudoti lauke.</w:t>
      </w:r>
    </w:p>
    <w:p w14:paraId="72A24187" w14:textId="77777777" w:rsidR="005468F3" w:rsidRPr="00B10BD4" w:rsidRDefault="005468F3" w:rsidP="000918F8">
      <w:pPr>
        <w:pStyle w:val="Rubrik4"/>
      </w:pPr>
      <w:r>
        <w:t xml:space="preserve">Reikalavimas pasiūlyti patiekti produktą daugkartiniuose puodeliuose ir maisto dėžutėse</w:t>
      </w:r>
      <w:r>
        <w:t xml:space="preserve"> </w:t>
      </w:r>
    </w:p>
    <w:p w14:paraId="55B8BA93" w14:textId="63BE3311" w:rsidR="005468F3" w:rsidRPr="00B10BD4" w:rsidRDefault="005468F3" w:rsidP="005468F3">
      <w:pPr>
        <w:pStyle w:val="Brdtext"/>
      </w:pPr>
      <w:bookmarkStart w:id="6" w:name="_Hlk57038341"/>
      <w:r>
        <w:rPr>
          <w:b/>
        </w:rPr>
        <w:t xml:space="preserve">14 straipsnis.</w:t>
      </w:r>
      <w:r>
        <w:tab/>
      </w:r>
      <w:r>
        <w:t xml:space="preserve">Visi subjektai, kurie tiekia gėrimus Švedijos rinkoje vienkartiniuose puodeliuose, privalo</w:t>
      </w:r>
      <w:r>
        <w:t xml:space="preserve"> </w:t>
      </w:r>
    </w:p>
    <w:p w14:paraId="2ADA6DD9" w14:textId="77777777" w:rsidR="005468F3" w:rsidRPr="00B10BD4" w:rsidRDefault="005468F3" w:rsidP="005468F3">
      <w:pPr>
        <w:pStyle w:val="Brdtextmedindrag"/>
      </w:pPr>
      <w:r>
        <w:t xml:space="preserve">1. pasiūlyti galimybę patiekti gėrimą daugkartiniame puodelyje ir</w:t>
      </w:r>
    </w:p>
    <w:p w14:paraId="18B4EC82" w14:textId="77777777" w:rsidR="005468F3" w:rsidRPr="00B10BD4" w:rsidRDefault="005468F3" w:rsidP="005468F3">
      <w:pPr>
        <w:pStyle w:val="Brdtextmedindrag"/>
      </w:pPr>
      <w:r>
        <w:t xml:space="preserve">2. imtis veiksmingų priemonių siekiant užtikrinti, kad daugkartiniai puodeliai ir jų dangteliai būtų naudojami kelis pakartotinio naudojimo ciklus.</w:t>
      </w:r>
    </w:p>
    <w:p w14:paraId="6FE2066C" w14:textId="2225E735" w:rsidR="005468F3" w:rsidRPr="00B10BD4" w:rsidRDefault="005468F3" w:rsidP="005468F3">
      <w:pPr>
        <w:pStyle w:val="Brdtextmedindrag"/>
      </w:pPr>
      <w:r>
        <w:t xml:space="preserve">Daugkartinį puodelį turi pateikti gėrimo tiekėjas, neatsižvelgiant į tai, ar gėrimas skirtas išsinešti ar gerti pardavimo vietoje.</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Pr>
          <w:b/>
        </w:rPr>
        <w:t xml:space="preserve">15 straipsnis.</w:t>
      </w:r>
      <w:r>
        <w:tab/>
      </w:r>
      <w:r>
        <w:t xml:space="preserve">Visi subjektai, kurie Švedijos rinkoje tiekia greitąjį maistą vienkartinėse maisto dėžutėse, privalo</w:t>
      </w:r>
      <w:r>
        <w:t xml:space="preserve"> </w:t>
      </w:r>
    </w:p>
    <w:p w14:paraId="2B9B5C24" w14:textId="77777777" w:rsidR="005468F3" w:rsidRPr="00B10BD4" w:rsidRDefault="005468F3" w:rsidP="005468F3">
      <w:pPr>
        <w:pStyle w:val="Brdtextmedindrag"/>
      </w:pPr>
      <w:r>
        <w:t xml:space="preserve">1. pasiūlyti galimybę patiekti greitąjį maistą daugkartinėje maisto dėžutėje ir</w:t>
      </w:r>
    </w:p>
    <w:p w14:paraId="022A9E55" w14:textId="77777777" w:rsidR="005468F3" w:rsidRPr="00B10BD4" w:rsidRDefault="005468F3" w:rsidP="005468F3">
      <w:pPr>
        <w:pStyle w:val="Brdtextmedindrag"/>
      </w:pPr>
      <w:r>
        <w:t xml:space="preserve">2. imtis veiksmingų priemonių siekiant užtikrinti, kad daugkartinės maisto dėžutės ir jų dangteliai būtų naudojami kelis pakartotinio naudojimo ciklus.</w:t>
      </w:r>
      <w:r>
        <w:t xml:space="preserve"> </w:t>
      </w:r>
    </w:p>
    <w:p w14:paraId="64D8035A" w14:textId="0D96B30D" w:rsidR="005A5ADA" w:rsidRPr="00C819BD" w:rsidRDefault="005468F3" w:rsidP="000918F8">
      <w:pPr>
        <w:pStyle w:val="Brdtextmedindrag"/>
      </w:pPr>
      <w:r>
        <w:t xml:space="preserve">Daugkartinę maisto dėžutę turi pateikti maisto produktų tiekėjas, neatsižvelgiant į tai, ar maisto produktas skirtas išsinešti ar valgyti pardavimo vietoje.</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Pr>
          <w:b/>
        </w:rPr>
        <w:t xml:space="preserve">16 straipsnis.</w:t>
      </w:r>
      <w:r>
        <w:tab/>
      </w:r>
      <w:r>
        <w:t xml:space="preserve">Visi subjektai, kurie pateikia daugkartinį puodelį ar maisto dėžutę pagal 14 arba 15 straipsnį, turi pasirinkti puodelį ar maisto dėžutę, kurie daro kuo mažesnį neigiamą poveikį žmonių sveikatai ir aplinkai.</w:t>
      </w:r>
      <w:r>
        <w:t xml:space="preserve">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Pr>
          <w:b/>
        </w:rPr>
        <w:t xml:space="preserve">17 straipsnis.</w:t>
      </w:r>
      <w:bookmarkStart w:id="7" w:name="_Hlk50550710"/>
      <w:r>
        <w:tab/>
      </w:r>
      <w:r>
        <w:t xml:space="preserve">Visi subjektai, kurie Švedijos rinkoje tiekia gėrimus vienkartiniuose puodeliuose arba greitąjį maistą vienkartinėse maisto dėžutėse, turi informuoti vartotojus apie</w:t>
      </w:r>
      <w:bookmarkEnd w:id="7"/>
    </w:p>
    <w:p w14:paraId="14B387DD" w14:textId="77777777" w:rsidR="005468F3" w:rsidRPr="00B10BD4" w:rsidRDefault="005468F3" w:rsidP="005468F3">
      <w:pPr>
        <w:pStyle w:val="Brdtextmedindrag"/>
      </w:pPr>
      <w:r>
        <w:t xml:space="preserve">1. galimybę patiekti gėrimą daugkartiniame puodelyje arba patiekti greitąjį maistą daugkartinėje maisto dėžutėje,</w:t>
      </w:r>
      <w:r>
        <w:t xml:space="preserve"> </w:t>
      </w:r>
    </w:p>
    <w:p w14:paraId="466FD8DD" w14:textId="52641002" w:rsidR="005468F3" w:rsidRPr="00B10BD4" w:rsidRDefault="005468F3" w:rsidP="005468F3">
      <w:pPr>
        <w:pStyle w:val="Brdtextmedindrag"/>
      </w:pPr>
      <w:r>
        <w:t xml:space="preserve">2. poveikį aplinkai, kurį sukelia vienkartiniai puodeliai ir vienkartinės maisto dėžutės, ir</w:t>
      </w:r>
    </w:p>
    <w:p w14:paraId="4BDF7D3C" w14:textId="5B1F148B" w:rsidR="005468F3" w:rsidRPr="00B10BD4" w:rsidRDefault="005468F3" w:rsidP="005468F3">
      <w:pPr>
        <w:pStyle w:val="Brdtextmedindrag"/>
      </w:pPr>
      <w:r>
        <w:t xml:space="preserve">3. mažesnio vienkartinių puodelių ir vienkartinių maisto dėžučių naudojimo privalumus.</w:t>
      </w:r>
    </w:p>
    <w:p w14:paraId="57D456AA" w14:textId="0885871D" w:rsidR="005468F3" w:rsidRPr="00B10BD4" w:rsidRDefault="005468F3" w:rsidP="005468F3">
      <w:pPr>
        <w:pStyle w:val="Brdtextmedindrag"/>
      </w:pPr>
      <w:r>
        <w:t xml:space="preserve">Informacija turi būti matoma pardavimo vietoje ir lengvai prieinama vartotojui.</w:t>
      </w:r>
      <w:r>
        <w:t xml:space="preserve">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Pr>
          <w:b/>
        </w:rPr>
        <w:t xml:space="preserve">18 straipsnis.</w:t>
      </w:r>
      <w:r>
        <w:tab/>
      </w:r>
      <w:r>
        <w:t xml:space="preserve">14–17 straipsniuose nustatyti reikalavimai netaikomi subjektams, kurie Švedijos rinkoje tiekia gėrimus vienkartiniuose puodeliuose arba tiekia greitąjį maistą vienkartinėse maisto dėžutėse, jei puodelis ar maisto dėžutė yra pagaminti vien tik iš popieriaus ar kartono, kuris nebuvo chemiškai modifikuotas taip, kad suirtų vėliau.</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rPr>
        <w:t xml:space="preserve">19 straipsnis.</w:t>
      </w:r>
      <w:r>
        <w:tab/>
      </w:r>
      <w:r>
        <w:t xml:space="preserve">14–17 straipsniuose nustatyti reikalavimai netaikomi subjektams, kurie Švedijos rinkoje tiekia gėrimus arba greitąjį maistą mažiau nei 150-yje vienkartinių puodelių ir vienkartinių maisto dėžučių </w:t>
      </w:r>
      <w:bookmarkStart w:id="8" w:name="_Hlk53479781"/>
      <w:r>
        <w:t xml:space="preserve">per darbo dieną</w:t>
      </w:r>
      <w:bookmarkEnd w:id="8"/>
      <w:r>
        <w:t xml:space="preserve">.</w:t>
      </w:r>
      <w:r>
        <w:t xml:space="preserve"> </w:t>
      </w:r>
    </w:p>
    <w:p w14:paraId="038E5668" w14:textId="78BB7B8E" w:rsidR="005468F3" w:rsidRPr="00B10BD4" w:rsidRDefault="005468F3" w:rsidP="005468F3">
      <w:pPr>
        <w:pStyle w:val="Brdtextmedindrag"/>
      </w:pPr>
      <w:r>
        <w:t xml:space="preserve">Tie, kuriems taikoma išimtis ir kurie netiekia daugkartinio naudojimo puodelių ir maisto dėžučių, privalo taikyti procedūras, kuriomis būtų užtikrinta, kad per dieną vidutiniškai būtų tiekiama ne daugiau kaip 150 vienkartinių puodelių ir vienkartinių maisto dėžučių.</w:t>
      </w:r>
    </w:p>
    <w:p w14:paraId="06957594" w14:textId="77777777" w:rsidR="005468F3" w:rsidRPr="00B10BD4" w:rsidRDefault="005468F3" w:rsidP="005468F3">
      <w:pPr>
        <w:pStyle w:val="Brdtextmedindrag"/>
      </w:pPr>
      <w:r>
        <w:t xml:space="preserve">Pateiktų vienkartinių puodelių ir vienkartinių maisto dėžučių skaičius turi būti apskaičiuojamas kaip vienkartinių puodelių ir vienkartinių maisto dėžučių, pateiktų </w:t>
      </w:r>
      <w:bookmarkStart w:id="9" w:name="_Hlk54008522"/>
      <w:r>
        <w:t xml:space="preserve">darbo dienomis kalendoriniais metais</w:t>
      </w:r>
      <w:bookmarkEnd w:id="9"/>
      <w:r>
        <w:t xml:space="preserve">, vidurkis.</w:t>
      </w:r>
      <w:r>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Pr>
          <w:b/>
        </w:rPr>
        <w:t xml:space="preserve">20 straipsnis.</w:t>
      </w:r>
      <w:r>
        <w:tab/>
      </w:r>
      <w:r>
        <w:t xml:space="preserve">Švedijos aplinkos apsaugos agentūra gali priimti nutarimus dėl 14–17 straipsniuose nustatytų reikalavimų išimčių tais atvejais, kai yra nepagrįsta reikalauti, kad gėrimus vienkartiniuose puodeliuose arba greitąjį maistą vienkartinėse maisto dėžutėse tiekiantis subjektas pateiktų daugkartinio naudojimo alternatyvą.</w:t>
      </w:r>
    </w:p>
    <w:p w14:paraId="15E8DB29" w14:textId="18653FF5" w:rsidR="003469C8" w:rsidRPr="00B10BD4" w:rsidRDefault="005468F3" w:rsidP="005468F3">
      <w:pPr>
        <w:pStyle w:val="Brdtextmedindrag"/>
      </w:pPr>
      <w:bookmarkStart w:id="10" w:name="_Hlk54008598"/>
      <w:r>
        <w:t xml:space="preserve">Taisyklės dėl išimčių negali būti priimtos dėl vienkartinių puodelių ar vienkartinių maisto dėžučių, jei galima daryti prielaidą, kad dėl išimties kyla didelio šiukšlinimo rizika.</w:t>
      </w:r>
      <w:r>
        <w:t xml:space="preserve"> </w:t>
      </w:r>
    </w:p>
    <w:bookmarkEnd w:id="10"/>
    <w:p w14:paraId="7270CDBC" w14:textId="0B678577" w:rsidR="005468F3" w:rsidRPr="00B10BD4" w:rsidRDefault="005468F3" w:rsidP="005468F3">
      <w:pPr>
        <w:pStyle w:val="Slutstreck"/>
      </w:pPr>
      <w:r>
        <w:t xml:space="preserve">                      </w:t>
      </w:r>
    </w:p>
    <w:p w14:paraId="6C91A379" w14:textId="089E346D" w:rsidR="005468F3" w:rsidRPr="00B10BD4" w:rsidRDefault="005468F3" w:rsidP="005468F3">
      <w:pPr>
        <w:pStyle w:val="Brdtextmedindrag"/>
      </w:pPr>
      <w:r>
        <w:t xml:space="preserve">Šio potvarkio 13 straipsnis įsigalioja 2022 m. balandžio 30 d., 11 ir 14–19 straipsniai – 2024 m. sausio 1 d., kiti straipsniai – 2021 m. lapkričio 1 d.</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Plg. su 2019 m. birželio 5 d. Europos Parlamento ir Tarybos direktyva (ES) 2019/904 dėl tam tikrų plastikinių gaminių poveikio aplinkai mažinimo (pradinė redakcija).</w:t>
      </w:r>
      <w:r>
        <w:t xml:space="preserve"> </w:t>
      </w:r>
      <w:r>
        <w:t xml:space="preserve">Taip pat žr. 2015 m. rugsėjo 9 d. Europos Parlamento ir Tarybos direktyvą (ES) 2015/1535, kuria nustatoma informacijos apie techninius reglamentus ir informacinės visuomenės paslaugų taisykles teikimo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BANDOMASIS, NE GALIOJANTIS DOKUMEN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rPr>
                            <w:t xml:space="preserve">ŠĮK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rPr>
                      <w:t xml:space="preserve">ŠĮK</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dirty" w:grammar="dirty"/>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