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D45F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color w:val="000000"/>
          <w:szCs w:val="22"/>
        </w:rPr>
      </w:pPr>
      <w:r>
        <w:rPr>
          <w:color w:val="000000"/>
        </w:rPr>
        <w:object w:dxaOrig="811" w:dyaOrig="961" w14:anchorId="5A1008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7.2pt" o:ole="" fillcolor="window">
            <v:imagedata r:id="rId7" o:title=""/>
          </v:shape>
          <o:OLEObject Type="Embed" ProgID="Word.Picture.8" ShapeID="_x0000_i1025" DrawAspect="Content" ObjectID="_1735122801" r:id="rId8"/>
        </w:object>
      </w:r>
    </w:p>
    <w:p w14:paraId="628D286F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  <w:lang w:eastAsia="lt-LT"/>
        </w:rPr>
      </w:pPr>
    </w:p>
    <w:p w14:paraId="5C55280D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color w:val="000000"/>
          <w:szCs w:val="22"/>
        </w:rPr>
      </w:pPr>
      <w:r>
        <w:rPr>
          <w:b/>
          <w:color w:val="000000"/>
        </w:rPr>
        <w:t>MINISTER ZDROWIA REPUBLIKI LITEWSKIEJ</w:t>
      </w:r>
    </w:p>
    <w:p w14:paraId="49EE72FB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14:paraId="5BBDF57A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</w:rPr>
      </w:pPr>
      <w:r>
        <w:rPr>
          <w:b/>
        </w:rPr>
        <w:t>MINISTER ROLNICTWA REPUBLIKI LITEWSKIEJ</w:t>
      </w:r>
    </w:p>
    <w:p w14:paraId="217F318C" w14:textId="77777777" w:rsidR="000E547F" w:rsidRDefault="000E547F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  <w:lang w:eastAsia="lt-LT"/>
        </w:rPr>
      </w:pPr>
    </w:p>
    <w:p w14:paraId="279C94BD" w14:textId="77777777" w:rsidR="000E547F" w:rsidRDefault="00BB4F29">
      <w:pPr>
        <w:tabs>
          <w:tab w:val="center" w:pos="4819"/>
          <w:tab w:val="right" w:pos="9638"/>
        </w:tabs>
        <w:ind w:right="36" w:firstLine="551"/>
        <w:jc w:val="center"/>
        <w:rPr>
          <w:b/>
          <w:bCs/>
          <w:szCs w:val="24"/>
        </w:rPr>
      </w:pPr>
      <w:r>
        <w:rPr>
          <w:b/>
        </w:rPr>
        <w:t>ROZPORZĄDZENIE</w:t>
      </w:r>
    </w:p>
    <w:p w14:paraId="3D02D813" w14:textId="77777777" w:rsidR="000E547F" w:rsidRDefault="00BB4F29">
      <w:pPr>
        <w:ind w:right="36" w:firstLine="551"/>
        <w:jc w:val="center"/>
        <w:rPr>
          <w:b/>
          <w:szCs w:val="24"/>
          <w:shd w:val="clear" w:color="auto" w:fill="FFFFFF"/>
        </w:rPr>
      </w:pPr>
      <w:r>
        <w:rPr>
          <w:b/>
        </w:rPr>
        <w:t xml:space="preserve">W SPRAWIE ZATWIERDZENIA WYKAZU </w:t>
      </w:r>
      <w:r>
        <w:rPr>
          <w:b/>
          <w:color w:val="000000"/>
        </w:rPr>
        <w:t>NAJWYŻSZYCH DOPUSZCZALNYCH POZIOMÓW TETRAHYDROKANNABINOLU W PRODUKTACH Z KONOPI UPRAWIANYCH NA WŁÓKNO</w:t>
      </w:r>
      <w:r>
        <w:rPr>
          <w:b/>
          <w:color w:val="000000"/>
        </w:rPr>
        <w:br/>
        <w:t xml:space="preserve">LUB ICH KATEGORIACH PRZEZNACZONYCH DO OSTATECZNEGO </w:t>
      </w:r>
      <w:r>
        <w:rPr>
          <w:b/>
        </w:rPr>
        <w:t>SPOŻYCIA</w:t>
      </w:r>
    </w:p>
    <w:p w14:paraId="31281A55" w14:textId="77777777" w:rsidR="000E547F" w:rsidRDefault="000E547F">
      <w:pPr>
        <w:ind w:right="36" w:firstLine="551"/>
        <w:jc w:val="center"/>
        <w:rPr>
          <w:b/>
          <w:szCs w:val="24"/>
          <w:lang w:eastAsia="lt-LT"/>
        </w:rPr>
      </w:pPr>
    </w:p>
    <w:p w14:paraId="6A870904" w14:textId="77777777" w:rsidR="000E547F" w:rsidRDefault="00BB4F29">
      <w:pPr>
        <w:ind w:right="36" w:firstLine="551"/>
        <w:jc w:val="center"/>
        <w:rPr>
          <w:szCs w:val="24"/>
        </w:rPr>
      </w:pPr>
      <w:r>
        <w:t>6 grudnia 2022 r. nr V-1815/3D-771</w:t>
      </w:r>
    </w:p>
    <w:p w14:paraId="5971CBFF" w14:textId="77777777" w:rsidR="000E547F" w:rsidRDefault="00BB4F29">
      <w:pPr>
        <w:ind w:right="36" w:firstLine="551"/>
        <w:jc w:val="center"/>
        <w:rPr>
          <w:szCs w:val="24"/>
        </w:rPr>
      </w:pPr>
      <w:r>
        <w:t>Wilno</w:t>
      </w:r>
    </w:p>
    <w:p w14:paraId="7DABE4E7" w14:textId="77777777" w:rsidR="000E547F" w:rsidRDefault="000E547F">
      <w:pPr>
        <w:ind w:right="36" w:firstLine="551"/>
        <w:jc w:val="both"/>
        <w:rPr>
          <w:szCs w:val="24"/>
          <w:lang w:eastAsia="lt-LT"/>
        </w:rPr>
      </w:pPr>
    </w:p>
    <w:p w14:paraId="46796801" w14:textId="77777777" w:rsidR="000E547F" w:rsidRDefault="00BB4F29">
      <w:pPr>
        <w:spacing w:line="270" w:lineRule="auto"/>
        <w:ind w:right="36" w:firstLine="851"/>
        <w:jc w:val="both"/>
        <w:rPr>
          <w:szCs w:val="22"/>
        </w:rPr>
      </w:pPr>
      <w:r>
        <w:t>Zgodnie z art. 4 ust. 4 ustawy o konopiach uprawianych na włókno Republiki Litewskiej:</w:t>
      </w:r>
    </w:p>
    <w:p w14:paraId="3A97D265" w14:textId="77777777" w:rsidR="000E547F" w:rsidRDefault="00BB4F29">
      <w:pPr>
        <w:spacing w:line="270" w:lineRule="auto"/>
        <w:ind w:right="36" w:firstLine="851"/>
        <w:jc w:val="both"/>
        <w:rPr>
          <w:szCs w:val="22"/>
        </w:rPr>
      </w:pPr>
      <w:r>
        <w:t>1.</w:t>
      </w:r>
      <w:r>
        <w:tab/>
        <w:t xml:space="preserve">Przyjmujemy wykaz </w:t>
      </w:r>
      <w:r>
        <w:rPr>
          <w:color w:val="000000"/>
        </w:rPr>
        <w:t xml:space="preserve">najwyższych dopuszczalnych poziomów tetrahydrokannabinolu w produktach z konopi uprawianych na włókno lub kategoriach produktów przeznaczonych do ostatecznego spożycia </w:t>
      </w:r>
      <w:r>
        <w:t>(w załączeniu).</w:t>
      </w:r>
    </w:p>
    <w:p w14:paraId="6D6F32F9" w14:textId="77777777" w:rsidR="000E547F" w:rsidRDefault="00BB4F29" w:rsidP="00BB4F29">
      <w:pPr>
        <w:spacing w:line="270" w:lineRule="auto"/>
        <w:ind w:right="36" w:firstLine="851"/>
        <w:jc w:val="both"/>
      </w:pPr>
      <w:r>
        <w:t>2.</w:t>
      </w:r>
      <w:r>
        <w:tab/>
        <w:t xml:space="preserve">Niniejsze rozporządzenie </w:t>
      </w:r>
      <w:r>
        <w:rPr>
          <w:color w:val="000000"/>
        </w:rPr>
        <w:t>wchodzi w życie z dniem 1 kwietnia 2023 r.</w:t>
      </w:r>
    </w:p>
    <w:p w14:paraId="5E0362D5" w14:textId="77777777" w:rsidR="00BB4F29" w:rsidRDefault="00BB4F29">
      <w:pPr>
        <w:tabs>
          <w:tab w:val="left" w:pos="8647"/>
        </w:tabs>
        <w:ind w:right="14"/>
        <w:jc w:val="both"/>
      </w:pPr>
    </w:p>
    <w:p w14:paraId="42F36044" w14:textId="77777777" w:rsidR="00BB4F29" w:rsidRDefault="00BB4F29">
      <w:pPr>
        <w:tabs>
          <w:tab w:val="left" w:pos="8647"/>
        </w:tabs>
        <w:ind w:right="14"/>
        <w:jc w:val="both"/>
      </w:pPr>
    </w:p>
    <w:p w14:paraId="0DC0F735" w14:textId="390FFD40" w:rsidR="000E547F" w:rsidRDefault="00BB4F29" w:rsidP="00BB4F29">
      <w:pPr>
        <w:ind w:right="14"/>
        <w:jc w:val="both"/>
        <w:rPr>
          <w:szCs w:val="24"/>
        </w:rPr>
      </w:pPr>
      <w:r>
        <w:t>Minister Zdrowia</w:t>
      </w:r>
      <w:r>
        <w:tab/>
      </w:r>
      <w:r w:rsidR="00A80EBB">
        <w:tab/>
      </w:r>
      <w:r w:rsidR="00A80EBB">
        <w:tab/>
      </w:r>
      <w:r w:rsidR="00A80EBB">
        <w:tab/>
      </w:r>
      <w:r w:rsidR="00A80EBB">
        <w:tab/>
      </w:r>
      <w:r>
        <w:t xml:space="preserve">Arūnas Dulkys </w:t>
      </w:r>
    </w:p>
    <w:p w14:paraId="3ED87250" w14:textId="77777777" w:rsidR="000E547F" w:rsidRDefault="000E547F">
      <w:pPr>
        <w:ind w:right="14"/>
        <w:jc w:val="both"/>
        <w:rPr>
          <w:szCs w:val="24"/>
          <w:lang w:eastAsia="lt-LT"/>
        </w:rPr>
      </w:pPr>
    </w:p>
    <w:p w14:paraId="10A63A89" w14:textId="77777777" w:rsidR="000E547F" w:rsidRDefault="000E547F">
      <w:pPr>
        <w:ind w:right="14"/>
        <w:jc w:val="both"/>
        <w:rPr>
          <w:szCs w:val="24"/>
          <w:lang w:eastAsia="lt-LT"/>
        </w:rPr>
      </w:pPr>
    </w:p>
    <w:p w14:paraId="54205A95" w14:textId="77777777" w:rsidR="000E547F" w:rsidRDefault="00BB4F29" w:rsidP="00BB4F29">
      <w:pPr>
        <w:ind w:right="14"/>
        <w:jc w:val="both"/>
        <w:rPr>
          <w:sz w:val="22"/>
          <w:szCs w:val="22"/>
        </w:rPr>
      </w:pPr>
      <w:r>
        <w:t xml:space="preserve">Minister Rolnictwa </w:t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Kęstutis Navickas</w:t>
      </w:r>
    </w:p>
    <w:p w14:paraId="783FE489" w14:textId="77777777" w:rsidR="00BB4F29" w:rsidRDefault="00BB4F29">
      <w:pPr>
        <w:tabs>
          <w:tab w:val="left" w:pos="7655"/>
        </w:tabs>
        <w:ind w:firstLine="4820"/>
        <w:jc w:val="both"/>
        <w:sectPr w:rsidR="00BB4F29" w:rsidSect="00BB4F2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849" w:bottom="1134" w:left="1276" w:header="567" w:footer="567" w:gutter="0"/>
          <w:cols w:space="1296"/>
          <w:titlePg/>
          <w:docGrid w:linePitch="360"/>
        </w:sectPr>
      </w:pPr>
    </w:p>
    <w:p w14:paraId="462F56E0" w14:textId="77777777" w:rsidR="000E547F" w:rsidRDefault="00BB4F29">
      <w:pPr>
        <w:tabs>
          <w:tab w:val="left" w:pos="7655"/>
        </w:tabs>
        <w:ind w:firstLine="4820"/>
        <w:jc w:val="both"/>
        <w:rPr>
          <w:szCs w:val="24"/>
        </w:rPr>
      </w:pPr>
      <w:r>
        <w:lastRenderedPageBreak/>
        <w:t>ZATWIERDZONO</w:t>
      </w:r>
    </w:p>
    <w:p w14:paraId="2124BA00" w14:textId="77777777" w:rsidR="00BB4F29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 xml:space="preserve">Minister Zdrowia Republiki Litewskiej i Minister Rolnictwa Republiki Litewskiej </w:t>
      </w:r>
    </w:p>
    <w:p w14:paraId="190057B0" w14:textId="77777777"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 xml:space="preserve"> </w:t>
      </w:r>
    </w:p>
    <w:p w14:paraId="3D30AB91" w14:textId="77777777" w:rsidR="000E547F" w:rsidRDefault="00BB4F29">
      <w:pPr>
        <w:tabs>
          <w:tab w:val="left" w:pos="4820"/>
        </w:tabs>
        <w:ind w:left="4820"/>
        <w:jc w:val="both"/>
        <w:rPr>
          <w:szCs w:val="24"/>
        </w:rPr>
      </w:pPr>
      <w:r>
        <w:t>Rozporządzenie nr V-1815/3D-771 z dnia 6 grudnia 2022 r.</w:t>
      </w:r>
    </w:p>
    <w:p w14:paraId="0F32AF19" w14:textId="77777777" w:rsidR="000E547F" w:rsidRDefault="000E547F">
      <w:pPr>
        <w:tabs>
          <w:tab w:val="left" w:pos="4820"/>
        </w:tabs>
        <w:ind w:left="4820"/>
        <w:jc w:val="both"/>
        <w:rPr>
          <w:szCs w:val="24"/>
        </w:rPr>
      </w:pPr>
    </w:p>
    <w:p w14:paraId="26740842" w14:textId="77777777"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p w14:paraId="4C6D8BF7" w14:textId="77777777" w:rsidR="000E547F" w:rsidRDefault="00BB4F29">
      <w:pPr>
        <w:jc w:val="center"/>
        <w:rPr>
          <w:b/>
          <w:bCs/>
          <w:szCs w:val="24"/>
        </w:rPr>
      </w:pPr>
      <w:r>
        <w:rPr>
          <w:b/>
        </w:rPr>
        <w:t>WYKAZ NAJWYŻSZYCH DOPUSZCZALNYCH POZIOMÓW TETRAHYDROKANNABINOLU W PRODUKTACH Z KONOPI UPRAWIANYCH NA WŁÓKNO LUB ICH KATEGORIACH PRZEZNACZONYCH DO OSTATECZNEGO SPOŻYCIA</w:t>
      </w:r>
    </w:p>
    <w:p w14:paraId="219F6138" w14:textId="77777777" w:rsidR="000E547F" w:rsidRDefault="000E547F">
      <w:pPr>
        <w:jc w:val="center"/>
        <w:rPr>
          <w:rFonts w:eastAsia="Calibri"/>
          <w:b/>
          <w:bCs/>
          <w:color w:val="000000"/>
          <w:szCs w:val="2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6240"/>
        <w:gridCol w:w="121"/>
        <w:gridCol w:w="2360"/>
        <w:gridCol w:w="62"/>
      </w:tblGrid>
      <w:tr w:rsidR="000E547F" w14:paraId="7A269555" w14:textId="77777777" w:rsidTr="00BB4F29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56B1" w14:textId="77777777"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</w:rPr>
              <w:t xml:space="preserve">Nr porz. 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AABB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Kategoria produktów z konopi uprawianych na włókno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8718" w14:textId="77777777" w:rsidR="000E547F" w:rsidRDefault="00BB4F29">
            <w:pPr>
              <w:rPr>
                <w:szCs w:val="24"/>
              </w:rPr>
            </w:pPr>
            <w:r>
              <w:rPr>
                <w:b/>
              </w:rPr>
              <w:t>Najwyższy dopuszczalny</w:t>
            </w:r>
          </w:p>
          <w:p w14:paraId="57E4A8A5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ilość</w:t>
            </w:r>
            <w:r>
              <w:rPr>
                <w:vertAlign w:val="superscript"/>
              </w:rPr>
              <w:t>1</w:t>
            </w:r>
          </w:p>
        </w:tc>
      </w:tr>
      <w:tr w:rsidR="000E547F" w14:paraId="457E9B3F" w14:textId="77777777" w:rsidTr="00BB4F29">
        <w:trPr>
          <w:trHeight w:val="49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E473" w14:textId="77777777" w:rsidR="000E547F" w:rsidRDefault="00BB4F29">
            <w:pPr>
              <w:rPr>
                <w:b/>
                <w:bCs/>
                <w:szCs w:val="24"/>
              </w:rPr>
            </w:pPr>
            <w:r>
              <w:rPr>
                <w:b/>
              </w:rPr>
              <w:t xml:space="preserve">1.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F24F" w14:textId="77777777" w:rsidR="000E547F" w:rsidRDefault="00BB4F29">
            <w:pPr>
              <w:jc w:val="center"/>
              <w:rPr>
                <w:rFonts w:eastAsia="Calibri"/>
                <w:b/>
                <w:bCs/>
                <w:szCs w:val="24"/>
              </w:rPr>
            </w:pPr>
            <w:r>
              <w:rPr>
                <w:b/>
              </w:rPr>
              <w:t>Produkty spożywcze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9512" w14:textId="77777777" w:rsidR="000E547F" w:rsidRDefault="000E547F">
            <w:pPr>
              <w:jc w:val="both"/>
              <w:rPr>
                <w:rFonts w:eastAsia="Calibri"/>
                <w:b/>
                <w:bCs/>
                <w:szCs w:val="24"/>
              </w:rPr>
            </w:pPr>
          </w:p>
        </w:tc>
      </w:tr>
      <w:tr w:rsidR="000E547F" w14:paraId="05164ABF" w14:textId="77777777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9335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1.1.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317E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Suplementy diety (z wyłączeniem suplementów diety przeznaczonych do stosowania dla niemowląt, dzieci poniżej 18 roku życia, kobiet ciężarnych i karmiących)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956C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 mg/kg</w:t>
            </w:r>
          </w:p>
        </w:tc>
      </w:tr>
      <w:tr w:rsidR="000E547F" w14:paraId="13756A4C" w14:textId="77777777" w:rsidTr="00BB4F29">
        <w:trPr>
          <w:trHeight w:val="56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3443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1.2.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D4FE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Suplementy diety dla niemowląt, dzieci poniżej 18 roku życia, kobiet ciężarnych i karmiących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E844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>0 mg/kg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0B5D4F27" w14:textId="77777777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A72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1.3.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1A5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Napoje alkoholowe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C099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>0 mg/kg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0B7D0F0D" w14:textId="77777777" w:rsidTr="00BB4F29">
        <w:trPr>
          <w:trHeight w:val="198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4D09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1.4.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0FC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Napoje bezalkoholowe zgodne z definicją napojów bezalkoholowych zawartą w </w:t>
            </w:r>
            <w:r>
              <w:rPr>
                <w:color w:val="000000"/>
              </w:rPr>
              <w:t>Przepisie technicznym dotyczącym opisu, produkcji i wprowadzenia do obrotu napojów bezalkoholowych i kwasu chlebowego zatwierdzonym zarządzeniem Ministra Rolnictwa Republiki Litewskiej nr 3D-13 z dnia 12 stycznia 2009 r. w sprawie zatwierdzenia przepisów technicznych dotyczących opisu, produkcji i wprowadzenia do obrotu napojów bezalkoholowych i kwasu chlebowego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14C2" w14:textId="77777777" w:rsidR="000E547F" w:rsidRDefault="00BB4F29">
            <w:pPr>
              <w:jc w:val="center"/>
              <w:rPr>
                <w:szCs w:val="24"/>
              </w:rPr>
            </w:pPr>
            <w:r>
              <w:t>0,02 mg/kg</w:t>
            </w:r>
            <w:r>
              <w:rPr>
                <w:vertAlign w:val="superscript"/>
              </w:rPr>
              <w:t xml:space="preserve"> 2</w:t>
            </w:r>
            <w:r>
              <w:t xml:space="preserve"> </w:t>
            </w:r>
          </w:p>
        </w:tc>
      </w:tr>
      <w:tr w:rsidR="000E547F" w14:paraId="466F2188" w14:textId="77777777" w:rsidTr="00BB4F29">
        <w:trPr>
          <w:trHeight w:val="255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1E84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1.5.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A205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Żywność przeznaczona dla niemowląt i małych dzieci objęta rozporządzeniem Parlamentu Europejskiego i Rady (UE) nr 609/2013 z dnia 12 czerwca 2013 r. </w:t>
            </w:r>
            <w:r>
              <w:rPr>
                <w:sz w:val="22"/>
              </w:rPr>
              <w:t>w</w:t>
            </w:r>
            <w:r>
              <w:t xml:space="preserve"> sprawie żywności przeznaczonej dla niemowląt i małych dzieci oraz żywności specjalnego przeznaczenia medycznego i środków spożywczych zastępujących całodzienną dietę, do kontroli masy ciała oraz uchylającym dyrektywę Rady 92/52/EWG, dyrektywy Komisji 96/8/WE, 1999/21/WE, 2006/125/WE i 2006/141/WE, dyrektywę Parlamentu Europejskiego i Rady 2009/39/WE oraz rozporządzenia Komisji (WE) nr 41/2009 i (WE) nr 953/2009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B27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  <w:p w14:paraId="2BA3CFFF" w14:textId="77777777" w:rsidR="000E547F" w:rsidRDefault="00BB4F29">
            <w:pPr>
              <w:jc w:val="center"/>
              <w:rPr>
                <w:rFonts w:eastAsia="Calibri"/>
                <w:szCs w:val="24"/>
                <w:vertAlign w:val="superscript"/>
              </w:rPr>
            </w:pPr>
            <w:r>
              <w:t>0 mg/kg</w:t>
            </w:r>
            <w:r>
              <w:rPr>
                <w:vertAlign w:val="superscript"/>
              </w:rPr>
              <w:t xml:space="preserve"> 2</w:t>
            </w:r>
          </w:p>
        </w:tc>
      </w:tr>
      <w:tr w:rsidR="000E547F" w14:paraId="46F36125" w14:textId="77777777" w:rsidTr="00BB4F29">
        <w:trPr>
          <w:trHeight w:val="3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4B94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1.6.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E3931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 xml:space="preserve">Pozostałe przetwory spożywcze, z wyłączeniem herbaty z konopi uprawianych na włókno (suszonej)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F122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0,15 mg/kg</w:t>
            </w:r>
          </w:p>
        </w:tc>
      </w:tr>
      <w:tr w:rsidR="000E547F" w14:paraId="39FA98BD" w14:textId="77777777" w:rsidTr="00BB4F29">
        <w:trPr>
          <w:trHeight w:val="4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A05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B93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>Materiały paszowe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5E3F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14:paraId="7432BBCB" w14:textId="77777777" w:rsidTr="00BB4F29">
        <w:trPr>
          <w:trHeight w:val="41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5C41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2.1.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2267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Nasiona konopi uprawianych na włókno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7567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3 mg/kg</w:t>
            </w:r>
          </w:p>
        </w:tc>
      </w:tr>
      <w:tr w:rsidR="000E547F" w14:paraId="75700841" w14:textId="77777777" w:rsidTr="00BB4F29">
        <w:trPr>
          <w:trHeight w:val="40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509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lastRenderedPageBreak/>
              <w:t>2.2.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3FE0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Olej z nasion konopi uprawianych na włókno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27A1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7,5 mg/kg</w:t>
            </w:r>
          </w:p>
        </w:tc>
      </w:tr>
      <w:tr w:rsidR="000E547F" w14:paraId="252DFCE4" w14:textId="77777777" w:rsidTr="00BB4F29">
        <w:trPr>
          <w:trHeight w:val="4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8B5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2,3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6267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Pulpa z konopi uprawianych na włókno</w:t>
            </w:r>
            <w:r>
              <w:rPr>
                <w:vertAlign w:val="superscript"/>
              </w:rPr>
              <w:t xml:space="preserve"> 3</w:t>
            </w:r>
            <w:r>
              <w:t xml:space="preserve"> 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C74E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3 mg/kg</w:t>
            </w:r>
          </w:p>
        </w:tc>
      </w:tr>
      <w:tr w:rsidR="000E547F" w14:paraId="1BEEA536" w14:textId="77777777" w:rsidTr="00BB4F29">
        <w:trPr>
          <w:trHeight w:val="41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6C8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2.4.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4021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Mąka z konopi uprawianych na włókno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02D5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20 mg/kg</w:t>
            </w:r>
          </w:p>
        </w:tc>
      </w:tr>
      <w:tr w:rsidR="000E547F" w14:paraId="4D5CDBE7" w14:textId="77777777" w:rsidTr="00BB4F29">
        <w:trPr>
          <w:trHeight w:val="4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B799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2.5.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3E27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Celuloza z konopii uprawianych na włókno</w:t>
            </w:r>
            <w:r>
              <w:rPr>
                <w:vertAlign w:val="superscript"/>
              </w:rPr>
              <w:t xml:space="preserve"> 3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2248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20 mg/kg</w:t>
            </w:r>
          </w:p>
        </w:tc>
      </w:tr>
      <w:tr w:rsidR="000E547F" w14:paraId="12F83BBC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0C2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br w:type="page"/>
            </w:r>
            <w:r>
              <w:rPr>
                <w:b/>
              </w:rPr>
              <w:t>3.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08D6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rPr>
                <w:b/>
              </w:rPr>
              <w:t xml:space="preserve">Wyroby tytoniowe i produkty pokrewne wyrobom tytoniowymi zgodne z definicjami tych wyrobów określonymi w ustawie Republiki Litewskiej o ograniczeniu użycia tytoniu, wyrobów tytoniowych i innych produktów pokrewnych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D78" w14:textId="77777777" w:rsidR="000E547F" w:rsidRDefault="000E547F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E547F" w14:paraId="04C56201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4794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3.1.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E005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Wyroby tytoniowe, w tym innowacyjne wyroby tytoniowe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DED5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 mg/g</w:t>
            </w:r>
            <w:r>
              <w:rPr>
                <w:vertAlign w:val="superscript"/>
              </w:rPr>
              <w:t>4</w:t>
            </w:r>
          </w:p>
        </w:tc>
      </w:tr>
      <w:tr w:rsidR="000E547F" w14:paraId="075CE51C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84ED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3.2.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334A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Papierosy elektroniczne i wkłady do e-papierosów (z nikotyną lub bez)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AC2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 mg/ml</w:t>
            </w:r>
            <w:r>
              <w:rPr>
                <w:vertAlign w:val="superscript"/>
              </w:rPr>
              <w:t>5</w:t>
            </w:r>
          </w:p>
        </w:tc>
      </w:tr>
      <w:tr w:rsidR="000E547F" w14:paraId="6120E0E1" w14:textId="77777777" w:rsidTr="00BB4F29">
        <w:trPr>
          <w:gridAfter w:val="1"/>
          <w:wAfter w:w="57" w:type="dxa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123B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3.3.</w:t>
            </w:r>
          </w:p>
        </w:tc>
        <w:tc>
          <w:tcPr>
            <w:tcW w:w="6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179C" w14:textId="77777777" w:rsidR="000E547F" w:rsidRDefault="00BB4F29">
            <w:pPr>
              <w:jc w:val="both"/>
              <w:rPr>
                <w:rFonts w:eastAsia="Calibri"/>
                <w:szCs w:val="24"/>
              </w:rPr>
            </w:pPr>
            <w:r>
              <w:t>Wyroby ziołowe do palenia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7BA9" w14:textId="77777777" w:rsidR="000E547F" w:rsidRDefault="00BB4F29">
            <w:pPr>
              <w:jc w:val="center"/>
              <w:rPr>
                <w:rFonts w:eastAsia="Calibri"/>
                <w:szCs w:val="24"/>
              </w:rPr>
            </w:pPr>
            <w:r>
              <w:t>0 mg/g</w:t>
            </w:r>
            <w:r>
              <w:rPr>
                <w:vertAlign w:val="superscript"/>
              </w:rPr>
              <w:t>4</w:t>
            </w:r>
          </w:p>
        </w:tc>
      </w:tr>
    </w:tbl>
    <w:p w14:paraId="455FF373" w14:textId="77777777" w:rsidR="000E547F" w:rsidRDefault="000E547F">
      <w:pPr>
        <w:rPr>
          <w:rFonts w:eastAsia="Calibri"/>
          <w:szCs w:val="24"/>
        </w:rPr>
      </w:pPr>
    </w:p>
    <w:p w14:paraId="0D0B6935" w14:textId="77777777" w:rsidR="000E547F" w:rsidRDefault="000E547F">
      <w:pPr>
        <w:rPr>
          <w:rFonts w:eastAsia="Calibri"/>
          <w:szCs w:val="24"/>
        </w:rPr>
      </w:pPr>
    </w:p>
    <w:p w14:paraId="09CFD559" w14:textId="77777777" w:rsidR="000E547F" w:rsidRDefault="00BB4F29">
      <w:pPr>
        <w:rPr>
          <w:rFonts w:eastAsia="Calibri"/>
          <w:szCs w:val="24"/>
        </w:rPr>
      </w:pPr>
      <w:r>
        <w:rPr>
          <w:vertAlign w:val="superscript"/>
        </w:rPr>
        <w:t>1</w:t>
      </w:r>
      <w:r>
        <w:t xml:space="preserve"> Maksymalna zawartość powinna stanowić sumę delta-9-tetrahydrokannabinolu (Δ</w:t>
      </w:r>
      <w:r>
        <w:rPr>
          <w:vertAlign w:val="superscript"/>
        </w:rPr>
        <w:t>9</w:t>
      </w:r>
      <w:r>
        <w:t>-THC) i kwasu delta-9-tetrahydrokannabinolowego (Δ</w:t>
      </w:r>
      <w:r>
        <w:rPr>
          <w:vertAlign w:val="superscript"/>
        </w:rPr>
        <w:t>9</w:t>
      </w:r>
      <w:r>
        <w:t>-THCA), wyrażoną jako Δ</w:t>
      </w:r>
      <w:r>
        <w:rPr>
          <w:vertAlign w:val="superscript"/>
        </w:rPr>
        <w:t>9</w:t>
      </w:r>
      <w:r>
        <w:t>-THC.  Δ</w:t>
      </w:r>
      <w:r>
        <w:rPr>
          <w:vertAlign w:val="superscript"/>
        </w:rPr>
        <w:t>9</w:t>
      </w:r>
      <w:r>
        <w:t>-THCA stanowi współczynnik 0,877, a maksymalny dozwolony poziom to Δ</w:t>
      </w:r>
      <w:r>
        <w:rPr>
          <w:vertAlign w:val="superscript"/>
        </w:rPr>
        <w:t>9</w:t>
      </w:r>
      <w:r>
        <w:t>-THC + 0,877 x Δ</w:t>
      </w:r>
      <w:r>
        <w:rPr>
          <w:vertAlign w:val="superscript"/>
        </w:rPr>
        <w:t>9</w:t>
      </w:r>
      <w:r>
        <w:t>,-THCA (jeśli Δ</w:t>
      </w:r>
      <w:r>
        <w:rPr>
          <w:vertAlign w:val="superscript"/>
        </w:rPr>
        <w:t>9</w:t>
      </w:r>
      <w:r>
        <w:t>-THC i Δ</w:t>
      </w:r>
      <w:r>
        <w:rPr>
          <w:vertAlign w:val="superscript"/>
        </w:rPr>
        <w:t>9</w:t>
      </w:r>
      <w:r>
        <w:t>-THCA są oddzielnie ustalane i określane ilościowo).</w:t>
      </w:r>
    </w:p>
    <w:p w14:paraId="05386890" w14:textId="77777777" w:rsidR="000E547F" w:rsidRDefault="000E547F">
      <w:pPr>
        <w:rPr>
          <w:szCs w:val="24"/>
        </w:rPr>
      </w:pPr>
    </w:p>
    <w:p w14:paraId="60101CC0" w14:textId="77777777" w:rsidR="000E547F" w:rsidRDefault="00BB4F29">
      <w:pPr>
        <w:rPr>
          <w:szCs w:val="24"/>
        </w:rPr>
      </w:pPr>
      <w:r>
        <w:rPr>
          <w:vertAlign w:val="superscript"/>
        </w:rPr>
        <w:t>2</w:t>
      </w:r>
      <w:r>
        <w:t xml:space="preserve"> Zawartość THC w danym produkcie poniżej granicy oznaczalności ilościowej (lub jakościowej w przypadku metodyki przeglądu) jest przyjmowana jako zero. Granica oznaczalności ilościowej lub jakościowej wynosi 0,015 mg/kg.</w:t>
      </w:r>
    </w:p>
    <w:p w14:paraId="652BD3AE" w14:textId="77777777" w:rsidR="000E547F" w:rsidRDefault="000E547F">
      <w:pPr>
        <w:rPr>
          <w:szCs w:val="24"/>
          <w:lang w:eastAsia="lt-LT"/>
        </w:rPr>
      </w:pPr>
    </w:p>
    <w:p w14:paraId="5D64A38F" w14:textId="77777777" w:rsidR="000E547F" w:rsidRDefault="00BB4F29">
      <w:pPr>
        <w:rPr>
          <w:szCs w:val="24"/>
        </w:rPr>
      </w:pPr>
      <w:r>
        <w:rPr>
          <w:vertAlign w:val="superscript"/>
        </w:rPr>
        <w:t>3</w:t>
      </w:r>
      <w:r>
        <w:t xml:space="preserve"> 12 % zawartości wilgoci w paszy.</w:t>
      </w:r>
    </w:p>
    <w:p w14:paraId="78E38D9F" w14:textId="77777777" w:rsidR="000E547F" w:rsidRDefault="000E547F">
      <w:pPr>
        <w:rPr>
          <w:szCs w:val="24"/>
          <w:lang w:eastAsia="lt-LT"/>
        </w:rPr>
      </w:pPr>
    </w:p>
    <w:p w14:paraId="4CBD0373" w14:textId="77777777" w:rsidR="000E547F" w:rsidRDefault="00BB4F29">
      <w:pPr>
        <w:rPr>
          <w:szCs w:val="24"/>
        </w:rPr>
      </w:pPr>
      <w:r>
        <w:rPr>
          <w:vertAlign w:val="superscript"/>
        </w:rPr>
        <w:t xml:space="preserve">4 </w:t>
      </w:r>
      <w:r>
        <w:t>Zawartość THC w danym produkcie poniżej granicy oznaczalności ilościowej (lub jakościowej w przypadku metodyki przeglądu) jest przyjmowana jako zero. Granica oznaczalności ilościowej lub jakościowej wynosi 0,000015 mg/g.</w:t>
      </w:r>
    </w:p>
    <w:p w14:paraId="0A3A21D5" w14:textId="77777777" w:rsidR="000E547F" w:rsidRDefault="000E547F">
      <w:pPr>
        <w:rPr>
          <w:szCs w:val="24"/>
          <w:lang w:eastAsia="lt-LT"/>
        </w:rPr>
      </w:pPr>
    </w:p>
    <w:p w14:paraId="73308DB1" w14:textId="77777777" w:rsidR="000E547F" w:rsidRDefault="00BB4F29">
      <w:pPr>
        <w:rPr>
          <w:szCs w:val="24"/>
        </w:rPr>
      </w:pPr>
      <w:r>
        <w:rPr>
          <w:vertAlign w:val="superscript"/>
        </w:rPr>
        <w:t>5</w:t>
      </w:r>
      <w:r>
        <w:t xml:space="preserve"> Zawartość THC w danym produkcie poniżej granicy oznaczalności ilościowej (lub jakościowej w przypadku metodyki przeglądu) jest przyjmowana jako zero. Granica oznaczalności ilościowej lub jakościowej wynosi 0,000015 mg/ml.</w:t>
      </w:r>
    </w:p>
    <w:p w14:paraId="28B8AAAD" w14:textId="77777777" w:rsidR="000E547F" w:rsidRDefault="000E547F">
      <w:pPr>
        <w:rPr>
          <w:szCs w:val="24"/>
        </w:rPr>
      </w:pPr>
    </w:p>
    <w:p w14:paraId="4F786D90" w14:textId="77777777" w:rsidR="000E547F" w:rsidRDefault="00BB4F29" w:rsidP="00BB4F29">
      <w:pPr>
        <w:jc w:val="center"/>
      </w:pPr>
      <w:r>
        <w:t>___________________</w:t>
      </w:r>
    </w:p>
    <w:sectPr w:rsidR="000E547F" w:rsidSect="00BB4F29">
      <w:pgSz w:w="11906" w:h="16838"/>
      <w:pgMar w:top="1701" w:right="1133" w:bottom="1134" w:left="1418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5ED4" w14:textId="77777777" w:rsidR="007A2C11" w:rsidRDefault="007A2C11" w:rsidP="00BB4F29">
      <w:r>
        <w:separator/>
      </w:r>
    </w:p>
  </w:endnote>
  <w:endnote w:type="continuationSeparator" w:id="0">
    <w:p w14:paraId="127A2D38" w14:textId="77777777" w:rsidR="007A2C11" w:rsidRDefault="007A2C11" w:rsidP="00BB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6885" w14:textId="77777777" w:rsidR="00BB4F29" w:rsidRDefault="00BB4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2A8C" w14:textId="77777777" w:rsidR="00BB4F29" w:rsidRDefault="00BB4F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E185" w14:textId="77777777" w:rsidR="00BB4F29" w:rsidRDefault="00BB4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2032" w14:textId="77777777" w:rsidR="007A2C11" w:rsidRDefault="007A2C11" w:rsidP="00BB4F29">
      <w:r>
        <w:separator/>
      </w:r>
    </w:p>
  </w:footnote>
  <w:footnote w:type="continuationSeparator" w:id="0">
    <w:p w14:paraId="1D51E267" w14:textId="77777777" w:rsidR="007A2C11" w:rsidRDefault="007A2C11" w:rsidP="00BB4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71C6" w14:textId="77777777" w:rsidR="00BB4F29" w:rsidRDefault="00BB4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827875"/>
      <w:docPartObj>
        <w:docPartGallery w:val="Page Numbers (Top of Page)"/>
        <w:docPartUnique/>
      </w:docPartObj>
    </w:sdtPr>
    <w:sdtEndPr/>
    <w:sdtContent>
      <w:p w14:paraId="1513C3B3" w14:textId="77777777" w:rsidR="00BB4F29" w:rsidRDefault="00BB4F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475EA1" w14:textId="77777777" w:rsidR="00BB4F29" w:rsidRDefault="00BB4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3C29" w14:textId="77777777" w:rsidR="00BB4F29" w:rsidRDefault="00BB4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BB"/>
    <w:rsid w:val="000E547F"/>
    <w:rsid w:val="007A2C11"/>
    <w:rsid w:val="009945BB"/>
    <w:rsid w:val="00A80EBB"/>
    <w:rsid w:val="00BB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922E"/>
  <w15:chartTrackingRefBased/>
  <w15:docId w15:val="{657D3947-4525-4EAD-8C0E-1D7E453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F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F29"/>
  </w:style>
  <w:style w:type="paragraph" w:styleId="Footer">
    <w:name w:val="footer"/>
    <w:basedOn w:val="Normal"/>
    <w:link w:val="FooterChar"/>
    <w:unhideWhenUsed/>
    <w:rsid w:val="00BB4F2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B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1822F-99D9-40A7-AAB6-D46E5A04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3892</Characters>
  <Application>Microsoft Office Word</Application>
  <DocSecurity>0</DocSecurity>
  <Lines>155</Lines>
  <Paragraphs>84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Talačkienė</dc:creator>
  <cp:keywords>class='Internal'</cp:keywords>
  <cp:lastModifiedBy>Ragnhild Efraimsson</cp:lastModifiedBy>
  <cp:revision>2</cp:revision>
  <dcterms:created xsi:type="dcterms:W3CDTF">2023-01-13T12:46:00Z</dcterms:created>
  <dcterms:modified xsi:type="dcterms:W3CDTF">2023-01-13T12:46:00Z</dcterms:modified>
</cp:coreProperties>
</file>