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599F6317" w:rsidR="00E30B60" w:rsidRDefault="00CB547F">
      <w:pPr>
        <w:spacing w:before="6"/>
        <w:ind w:left="105" w:right="225"/>
        <w:jc w:val="center"/>
        <w:rPr>
          <w:sz w:val="46"/>
        </w:rPr>
      </w:pPr>
      <w:r>
        <w:rPr>
          <w:sz w:val="46"/>
        </w:rPr>
        <w:t>REPUBLIKEN</w:t>
      </w:r>
      <w:r w:rsidR="00ED1191">
        <w:rPr>
          <w:sz w:val="46"/>
        </w:rPr>
        <w:t xml:space="preserve">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sz w:val="46"/>
        </w:rPr>
        <w:t>SLOVAKIENS</w:t>
      </w:r>
    </w:p>
    <w:p w14:paraId="350B1BBF" w14:textId="77777777" w:rsidR="00E30B60" w:rsidRDefault="00CB547F">
      <w:pPr>
        <w:spacing w:before="66"/>
        <w:ind w:left="105" w:right="105"/>
        <w:jc w:val="center"/>
        <w:rPr>
          <w:sz w:val="34"/>
        </w:rPr>
      </w:pPr>
      <w:r>
        <w:rPr>
          <w:sz w:val="34"/>
        </w:rPr>
        <w:t>LAGSAMLING</w:t>
      </w:r>
    </w:p>
    <w:p w14:paraId="06343233" w14:textId="77777777" w:rsidR="00E30B60" w:rsidRDefault="0071043D">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Volym 2021</w:t>
      </w:r>
    </w:p>
    <w:p w14:paraId="0B8D25E3" w14:textId="6A902F7A" w:rsidR="00D0358C" w:rsidRDefault="00CB547F">
      <w:pPr>
        <w:tabs>
          <w:tab w:val="left" w:pos="4781"/>
        </w:tabs>
        <w:spacing w:before="38" w:line="403" w:lineRule="auto"/>
        <w:ind w:left="105" w:right="103"/>
        <w:jc w:val="center"/>
      </w:pPr>
      <w:r>
        <w:t>Kungörs:26.11.2021</w:t>
      </w:r>
      <w:r w:rsidR="00ED1191">
        <w:t xml:space="preserve">                          </w:t>
      </w:r>
      <w:r>
        <w:t>Tidsversion av lagstiftningen i kraft fr.o.m.:1.1.2030</w:t>
      </w:r>
    </w:p>
    <w:p w14:paraId="1B7690C4" w14:textId="22EA24A9" w:rsidR="00E30B60" w:rsidRDefault="00CB547F">
      <w:pPr>
        <w:tabs>
          <w:tab w:val="left" w:pos="4781"/>
        </w:tabs>
        <w:spacing w:before="38" w:line="403" w:lineRule="auto"/>
        <w:ind w:left="105" w:right="103"/>
        <w:jc w:val="center"/>
      </w:pPr>
      <w:r>
        <w:t xml:space="preserve"> Handlingens innehåll är rättsligt bindande.</w:t>
      </w:r>
    </w:p>
    <w:p w14:paraId="2E9C788F" w14:textId="77777777" w:rsidR="00E30B60" w:rsidRPr="00ED1191" w:rsidRDefault="00CB547F">
      <w:pPr>
        <w:pStyle w:val="BodyText"/>
        <w:spacing w:before="171"/>
        <w:ind w:left="105" w:right="105"/>
        <w:jc w:val="center"/>
        <w:rPr>
          <w:b/>
          <w:lang w:val="nb-NO"/>
        </w:rPr>
      </w:pPr>
      <w:r w:rsidRPr="00ED1191">
        <w:rPr>
          <w:b/>
          <w:lang w:val="nb-NO"/>
        </w:rPr>
        <w:t>430</w:t>
      </w:r>
    </w:p>
    <w:p w14:paraId="43C9D91F" w14:textId="77777777" w:rsidR="00E30B60" w:rsidRPr="00ED1191" w:rsidRDefault="00CB547F">
      <w:pPr>
        <w:pStyle w:val="BodyText"/>
        <w:spacing w:before="129"/>
        <w:ind w:left="105" w:right="15"/>
        <w:jc w:val="center"/>
        <w:rPr>
          <w:b/>
          <w:lang w:val="nb-NO"/>
        </w:rPr>
      </w:pPr>
      <w:r w:rsidRPr="00ED1191">
        <w:rPr>
          <w:b/>
          <w:lang w:val="nb-NO"/>
        </w:rPr>
        <w:t>L A G</w:t>
      </w:r>
    </w:p>
    <w:p w14:paraId="319B4591" w14:textId="77777777" w:rsidR="00E30B60" w:rsidRPr="00ED1191" w:rsidRDefault="00CB547F">
      <w:pPr>
        <w:pStyle w:val="BodyText"/>
        <w:spacing w:before="60"/>
        <w:ind w:left="105" w:right="105"/>
        <w:jc w:val="center"/>
        <w:rPr>
          <w:lang w:val="nb-NO"/>
        </w:rPr>
      </w:pPr>
      <w:r w:rsidRPr="00ED1191">
        <w:rPr>
          <w:lang w:val="nb-NO"/>
        </w:rPr>
        <w:t>av den 2 november 2021</w:t>
      </w:r>
    </w:p>
    <w:p w14:paraId="2CC89435" w14:textId="77777777" w:rsidR="00E30B60" w:rsidRDefault="00CB547F">
      <w:pPr>
        <w:pStyle w:val="BodyText"/>
        <w:spacing w:before="93" w:line="244" w:lineRule="auto"/>
        <w:ind w:left="1230" w:right="1228"/>
        <w:jc w:val="center"/>
        <w:rPr>
          <w:b/>
        </w:rPr>
      </w:pPr>
      <w:r>
        <w:rPr>
          <w:b/>
        </w:rPr>
        <w:t>om ändring av lag nr 79/2015 om avfall och om ändring av vissa rättsakter i dess ändrade lydelse och om ändring av lag nr 302/2019 om ett system för återsändande av depositioner för behållare för engångsdrycker och om ändring av vissa rättsakter i dess ändrade lydelse</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Republiken Slovakiens nationella råd har antagit följande lag:</w:t>
      </w:r>
    </w:p>
    <w:p w14:paraId="5C1BC0D2" w14:textId="77777777" w:rsidR="00E30B60" w:rsidRDefault="00CB547F">
      <w:pPr>
        <w:pStyle w:val="BodyText"/>
        <w:spacing w:before="208"/>
        <w:ind w:left="105" w:right="105"/>
        <w:jc w:val="center"/>
        <w:rPr>
          <w:b/>
        </w:rPr>
      </w:pPr>
      <w:r>
        <w:rPr>
          <w:b/>
        </w:rPr>
        <w:t>Artikel I</w:t>
      </w:r>
    </w:p>
    <w:p w14:paraId="2FC10E75" w14:textId="4EC5C8BF" w:rsidR="00E30B60" w:rsidRDefault="00CB547F">
      <w:pPr>
        <w:pStyle w:val="BodyText"/>
        <w:spacing w:before="217" w:line="276" w:lineRule="auto"/>
        <w:ind w:left="105" w:right="103" w:firstLine="226"/>
        <w:jc w:val="both"/>
      </w:pPr>
      <w:r>
        <w:t>Lag nr 79/2015 om avfall och om ändringar av vissa rättsakter, ändrad genom lag nr 91/2016, lag nr 313/2016, lag nr 90/2017, lag nr 292/2017, lag nr 106/2018, lag nr 177/2018, lag nr 208/2018, lag nr 312/2018, lag nr 302/2019, lag nr 364/2019, lag nr 460/2019, l</w:t>
      </w:r>
      <w:r>
        <w:tab/>
        <w:t>ag nr 74/2020, lag nr 218/2020, lag nr 285/2020, lag nr 9/2021,</w:t>
      </w:r>
    </w:p>
    <w:p w14:paraId="1C547400" w14:textId="235D3DB4" w:rsidR="00E30B60" w:rsidRDefault="00CB547F">
      <w:pPr>
        <w:pStyle w:val="BodyText"/>
        <w:spacing w:line="276" w:lineRule="auto"/>
        <w:ind w:left="105" w:right="193"/>
      </w:pPr>
      <w:r>
        <w:t>46/2021, Lag nr 128/2021, lag nr 216/2021 och lag nr 372/2021 ska ändras på följande sätt:</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I § 27(1), ska ordet ‘sjunde’ ersättas med ‘åttonde’.</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I § 52, ska paragraferna 29 och 30 utgå.</w:t>
      </w:r>
    </w:p>
    <w:p w14:paraId="731629A1" w14:textId="77777777" w:rsidR="00E30B60" w:rsidRDefault="00CB547F">
      <w:pPr>
        <w:pStyle w:val="BodyText"/>
        <w:spacing w:before="105"/>
        <w:ind w:left="729"/>
      </w:pPr>
      <w:r>
        <w:t>Paragraferna 31 till 35 blir paragraferna 29 till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Efter § 53 ska § 53aa införas med följande lydelse:</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53aa</w:t>
      </w:r>
    </w:p>
    <w:p w14:paraId="78A7988B" w14:textId="0782E007" w:rsidR="00E30B60" w:rsidRDefault="00CB547F">
      <w:pPr>
        <w:pStyle w:val="BodyText"/>
        <w:spacing w:before="217" w:line="276" w:lineRule="auto"/>
        <w:ind w:left="502" w:right="193" w:firstLine="226"/>
      </w:pPr>
      <w:r>
        <w:t>Statliga förvaltningsorgan får inte anordna inköp av drycker i engångsförpackningar för sin verksamhet.”</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53a ska utgå.</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 73a ska utgå.</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Efter § 75, ska ett nytt avsnitt åtta läggas till med följande rubrik:</w:t>
      </w:r>
    </w:p>
    <w:p w14:paraId="2697A68C" w14:textId="77777777" w:rsidR="00E30B60" w:rsidRDefault="00CB547F">
      <w:pPr>
        <w:pStyle w:val="BodyText"/>
        <w:spacing w:before="208" w:line="302" w:lineRule="auto"/>
        <w:ind w:left="3793" w:right="3380" w:firstLine="657"/>
        <w:rPr>
          <w:b/>
        </w:rPr>
      </w:pPr>
      <w:r>
        <w:rPr>
          <w:b/>
        </w:rPr>
        <w:t>“Avsnitt åtta</w:t>
      </w:r>
      <w:r>
        <w:rPr>
          <w:b/>
        </w:rPr>
        <w:br/>
        <w:t>Speciella plastprodukter</w:t>
      </w:r>
    </w:p>
    <w:p w14:paraId="22DCFF1C" w14:textId="77777777" w:rsidR="00E30B60" w:rsidRDefault="00CB547F" w:rsidP="00ED1191">
      <w:pPr>
        <w:pStyle w:val="BodyText"/>
        <w:spacing w:before="245" w:line="281" w:lineRule="auto"/>
        <w:ind w:left="4014" w:right="1701" w:firstLine="851"/>
        <w:rPr>
          <w:b/>
        </w:rPr>
      </w:pPr>
      <w:r>
        <w:rPr>
          <w:b/>
        </w:rPr>
        <w:t>§ 75a</w:t>
      </w:r>
      <w:r>
        <w:rPr>
          <w:b/>
        </w:rPr>
        <w:br/>
        <w:t>Allmänna bestämmelser</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I detta avsnitt regleras krav och åtgärder för att förhindra miljöpåverkan av vissa plastprodukter för engångsbruk, särskilt på vattenmiljön,</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på människors hälsa, för att minska denna påverkan och för att stödja övergången till en cirkulär ekonomi med innovativa och hållbara affärsmodeller, produkter och material.</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Bestämmelserna i detta avsnitt ska tillämpas på plastprodukter för engångsbruk som förtecknas i bilaga 7a, </w:t>
      </w:r>
      <w:proofErr w:type="spellStart"/>
      <w:r>
        <w:rPr>
          <w:sz w:val="20"/>
        </w:rPr>
        <w:t>oxonedbrytbara</w:t>
      </w:r>
      <w:proofErr w:type="spellEnd"/>
      <w:r>
        <w:rPr>
          <w:sz w:val="20"/>
        </w:rPr>
        <w:t xml:space="preserve"> plastprodukter och fiskeredskap som innehåller plast.</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Om inte annat föreskrivs i detta avsnitt ska de allmänna bestämmelserna i denna akt tillämpas på alla plastprodukter för engångsbruk och fiskeredskap som innehåller plast som släpps ut på marknaden eller för distribution i Slovakien och på hanteringen av avfall från dem.</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I detta avsnitt avses med plast ett material som består av polymer,</w:t>
      </w:r>
      <w:r>
        <w:t xml:space="preserve"> </w:t>
      </w:r>
      <w:r>
        <w:rPr>
          <w:sz w:val="10"/>
        </w:rPr>
        <w:t>72(a)</w:t>
      </w:r>
      <w:r>
        <w:rPr>
          <w:sz w:val="20"/>
        </w:rPr>
        <w:t xml:space="preserve"> till vilket tillsatser eller andra ämnen kan ha tillsatts och som kan fungera som huvudbeståndsdel i de färdiga produkterna, med undantag för naturliga polymerer som inte har modifierats kemiskt.</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Engångsplastprodukt: en produkt som helt eller delvis är tillverkad av plast och som inte är konstruerad, tillverkad eller släppt ut på marknaden för att under sin livstid uppnå flera cykler eller rotationer genom att returneras till en producent för påfyllning eller återanvänds för samma ändamål som den tillverkades.</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proofErr w:type="spellStart"/>
      <w:r>
        <w:rPr>
          <w:sz w:val="20"/>
        </w:rPr>
        <w:t>Oxonedbrytbar</w:t>
      </w:r>
      <w:proofErr w:type="spellEnd"/>
      <w:r>
        <w:rPr>
          <w:sz w:val="20"/>
        </w:rPr>
        <w:t xml:space="preserve"> plast är ett plastmaterial som innehåller tillsatser som genom oxidation bryter ner plastmaterialet i mikrofragment eller kemiskt sönderdelar det.</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Fiskeredskap: alla artiklar eller delar av utrustning som används i fiske eller vattenbruk för att måla, fånga eller öka marina biologiska resurser eller som flyter på havsytan och som används i syfte att locka till sig och fånga upp eller öka sådana marina biologiska resurser.</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Med avfallsfiskeredskap avses alla fiskeredskap som har blivit avfall, inklusive alla separata komponenter, ämnen eller material som ingick i eller fästes i sådana fiskeredskap när de kasserades, även när de övergavs eller förlorades.</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Lansering på marknaden är det första tillhandahållandet på marknaden av en plastprodukt för engångsbruk eller fiskeredskap som innehåller plast i Slovakien.</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Tillhandahållande på marknaden: varje leverans av en plastprodukt för engångsbruk eller fiskeredskap som innehåller plast som är avsedd att distribueras, konsumeras eller användas på marknaden i Slovakien som en del av affärsverksamheten, mot betalning eller kostnadsfritt.</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En harmoniserad standard är en europeisk standard som antagits på grundval av kommissionens krav för tillämpning av harmoniserad EU-lagstiftning.</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Tillverkaren av en plastprodukt för engångsbruk eller fiskeredskap som innehåller plast är en enda näringsidkare eller företagsenhet som, oberoende av vilken försäljningsteknik som används, inklusive postorder och internetförsäljning, </w:t>
      </w:r>
      <w:r>
        <w:rPr>
          <w:sz w:val="10"/>
        </w:rPr>
        <w:t>96b</w:t>
      </w:r>
      <w:r>
        <w:t>)</w:t>
      </w:r>
      <w:r>
        <w:rPr>
          <w:sz w:val="20"/>
        </w:rPr>
        <w:t xml:space="preserve"> med undantag för en enhet som bedriver fiskeverksamhet enligt särskild lagstiftning,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har sitt verksamhetsställe eller sitt säte i Slovakien och tillverkar plastprodukter för engångsbruk och fiskeredskap, eller har tillverkat engångsplastprodukter och fiskeredskap för engångsbruk, och släpper ut dem på marknaden;</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har sitt verksamhetsställe eller sitt säte i Slovakien och säljer engångsplastprodukter och fiskeredskap i Slovakien;</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har sitt verksamhetsställe eller säte i Slovakien och fyller plastprodukter för engångsbruk eller har fyllt plastprodukter för engångsbruk och släpper ut dem på marknaden;</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har sitt verksamhetsställe eller sitt säte i Slovakien och som en del av sin affärsverksamhet släpper ut plastprodukter och fiskeredskap för engångsbruk från en annan medlemsstat eller från tredje land på marknaden i Slovakien;</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säljer plastprodukter och fiskeredskap för engångsbruk i Slovakien genom distanskommunikation direkt till hushåll eller andra användare och har sitt säte eller verksamhetsställe i en annan medlemsstat eller i en annan icke-medlemsstat;</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har sitt verksamhetsställe eller sitt säte i Slovakien och som en del av sin affärsverksamhet säljer plastprodukter för engångsbruk och fiskeredskap direkt till en användare i en annan medlemsstat på grundval av ett distansavtal.</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Biologiskt nedbrytbar plast, innebär plast som kan sönderdelas fysiskt och biologiskt, så att den slutligen sönderdelas till koldioxid (CO</w:t>
      </w:r>
      <w:r>
        <w:rPr>
          <w:sz w:val="14"/>
        </w:rPr>
        <w:t>2</w:t>
      </w:r>
      <w:r>
        <w:rPr>
          <w:sz w:val="20"/>
        </w:rPr>
        <w:t>), biomassa och vatten och kan, i enlighet med europeiska standarder för förpackning, återvinnas genom kompostering och anaerob rötning.</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Mottagningsanordningar i hamn är mottagningsanordningar i hamn i enlighet med särskild lagstiftning.</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Tobaksprodukter är tobaksvaror som definieras enligt särskild lagstiftning.</w:t>
      </w:r>
      <w:r>
        <w:rPr>
          <w:sz w:val="10"/>
        </w:rPr>
        <w:t>96e</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 75b</w:t>
      </w:r>
      <w:r>
        <w:rPr>
          <w:b/>
        </w:rPr>
        <w:br/>
        <w:t>Minskad konsumtion</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En tillverkare av plastprodukter för engångsbruk som tillhandahåller de plastprodukter för engångsbruk som förtecknas i bilaga nr. 7a av del A till slutkonsumenten för konsumtion av livsmedel och drycker på en annan plats än försäljningsstället är skyldiga att</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tillhandahålla dem mot betalning; den ska informera slutkonsumenten om detta;</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erbjuda ett återanvändbart alternativ till slutkonsumenten; eller</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erbjuda ett biologiskt nedbrytbart alternativ.</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Följande får inte lämnas till konsumenterna för konsumtion av livsmedel och drycker på försäljningsstället:</w:t>
      </w:r>
    </w:p>
    <w:p w14:paraId="4734A695" w14:textId="77777777" w:rsidR="00E30B60" w:rsidRDefault="00CB547F">
      <w:pPr>
        <w:pStyle w:val="ListParagraph"/>
        <w:numPr>
          <w:ilvl w:val="0"/>
          <w:numId w:val="18"/>
        </w:numPr>
        <w:tabs>
          <w:tab w:val="left" w:pos="786"/>
        </w:tabs>
        <w:spacing w:before="100"/>
        <w:ind w:right="0"/>
        <w:rPr>
          <w:sz w:val="20"/>
        </w:rPr>
      </w:pPr>
      <w:r>
        <w:rPr>
          <w:sz w:val="20"/>
        </w:rPr>
        <w:t>engångsplastprodukter i permanenta anläggningar för offentlig mat eller tillhandahållande av snabbmat;</w:t>
      </w:r>
    </w:p>
    <w:p w14:paraId="49E77A18" w14:textId="77777777" w:rsidR="00E30B60" w:rsidRDefault="00CB547F">
      <w:pPr>
        <w:pStyle w:val="ListParagraph"/>
        <w:numPr>
          <w:ilvl w:val="0"/>
          <w:numId w:val="18"/>
        </w:numPr>
        <w:tabs>
          <w:tab w:val="left" w:pos="786"/>
        </w:tabs>
        <w:spacing w:before="135"/>
        <w:ind w:right="0"/>
        <w:rPr>
          <w:sz w:val="20"/>
        </w:rPr>
      </w:pPr>
      <w:r>
        <w:rPr>
          <w:sz w:val="20"/>
        </w:rPr>
        <w:t>engångsartiklar av plast vid offentliga evenemang.</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Utöver förbudet i paragraf 2(b) är organisatören av ett offentligt evenemang skyldig att tillhandahålla biologiskt nedbrytbara produkter för att säkerställa att de samlas in separat.</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Den tillverkare av plastprodukter för engångsbruk som förtecknas i bilaga 7a, del A ska föra och upprätthålla ett register över enskilda produkter som släppts ut på marknaden i Slovakien och rapportera uppgifter från detta till ministeriet i angiven omfattning samt bevara de rapporterade uppgifterna.</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Tillverkaren av en plastprodukt för engångsbruk som förtecknas i bilaga 7a, del A, ska utarbeta en rapport om de åtgärder som vidtagits för att minska förbrukningen och underrätta ministeriet senast den 30 april om de framsteg som gjorts när det gäller att minska förbrukningen.</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8A6FDAC" w14:textId="77777777" w:rsidR="00E30B60" w:rsidRDefault="00CB547F">
      <w:pPr>
        <w:pStyle w:val="BodyText"/>
        <w:spacing w:before="218" w:line="276" w:lineRule="auto"/>
        <w:ind w:left="502" w:right="110" w:firstLine="226"/>
      </w:pPr>
      <w:r>
        <w:t xml:space="preserve">Det är förbjudet att släppa ut de plastprodukter för engångsbruk som förtecknas i bilaga 7a, del B och </w:t>
      </w:r>
      <w:proofErr w:type="spellStart"/>
      <w:r>
        <w:t>oxonedbrytbar</w:t>
      </w:r>
      <w:proofErr w:type="spellEnd"/>
      <w:r>
        <w:t xml:space="preserve"> plast på marknaden i Slovakien.</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Krav för plastprodukter för engångsbruk</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Tillverkaren av en plastprodukt för engångsbruk är skyldig att släppa ut på marknaden de dryckesbehållare i Slovakien som förtecknas i bilaga 7a, del C, förutsatt att locken av plast förblir fastsatta på dryckesbehållaren under den avsedda användningen av produkten.</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Dryckesbehållare som förtecknas i bilaga 7a, del C och som tillverkats i enlighet med harmoniserade standarder, till vilka hänvisningen har offentliggjorts i Europeiska unionens officiella tidning, ska betraktas som dryckesbehållare i enlighet med kravet i paragraf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Kapsyler eller lock av metall med plastförsegling anses inte vara gjorda av plast.</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Tillverkaren av en plastprodukt för engångsbruk som förtecknas i bilaga 7a, del F, är skyldig att släppa ut dryckesflaskor på marknaden i Slovakien</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 xml:space="preserve">tillverkad av </w:t>
      </w:r>
      <w:proofErr w:type="spellStart"/>
      <w:r>
        <w:rPr>
          <w:sz w:val="20"/>
        </w:rPr>
        <w:t>polyetentereftalat</w:t>
      </w:r>
      <w:proofErr w:type="spellEnd"/>
      <w:r>
        <w:rPr>
          <w:sz w:val="20"/>
        </w:rPr>
        <w:t xml:space="preserve"> (nedan kallade PET-flaskor) som innehåller minst 25 % återvunnen plast av den totala mängden PET-flaskor som den släpper ut på marknaden i Slovakien;</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med en minimihalt på 30 % återvunnen plast från den totala mängden plastflaskor som den släpper ut på marknaden i Slovakien.</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Tillverkaren av en plastprodukt för engångsbruk ska lämna en rapport om innehållet i återvunnen plast enligt paragraf 4 till ministeriet senast den 30 april för det föregående kalenderåret. Denna skyldighet ska uppfyllas av en enhet enligt särskild lagstiftning när det gäller en förpackningstillverkare som släpper ut drycker på marknaden i returförpackningar för engångsbruk.</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Krav för produktmärkning</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Tillverkaren av en plastprodukt för engångsbruk som förtecknas i bilaga 7a, del D, är innan den släpps ut på marknaden i Slovakien, skyldig att märka produkten med information till konsumenterna om</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de lämpligaste sätten att bortskaffa produkten eller sätten att bortskaffa avfall, vilket är nödvändigt att undvika när det gäller den givna produkten, när det blir avfall i enlighet med avfallshanteringshierarkin;</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förekomsten av plast i produkten och dess negativa miljöpåverkan när produkten blir avfall.</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Den märkning som avses i paragraf 1 ska anbringas på produktens förpackning, produktens enhetsförpackningar eller på själva produkten på ett sådant sätt att den är framträdande, läsbar och outplånlig.</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Tillverkaren av en plastprodukt för engångsbruk som förtecknas i bilaga 7a, del D, är skyldig att säkerställa märkningen av förpackningen i enlighet med paragraf 1 i enlighet med specifikationerna enligt särskild lagstiftning.</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Den märkning av tobaksvaror som avses i paragraf 1 ska komplettera märkningen enligt särskild lagstiftning.</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Utökat ansvar för tillverkaren av en särskild plastprodukt</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Utöver skyldigheterna enligt punkterna 27 och 52, ska tillverkaren av en plastprodukt för engångsbruk som förtecknas i bilaga 7a, del E, avsnitt I, bära kostnaderna</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åtgärder för att öka medvetenheten om dess produkter som släpps ut på marknaden i Slovakien;</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i samband med insamling, transport, återvinning, materialåtervinning, behandling och bortskaffande av avfallsprodukter;</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i samband med rengöring av skräp från dessa produkter i områden där de inte har kastats ut i lokala avfallsinsamlingssystem.</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Tillverkaren av tobaksvaror får vid tillämpningen av skyldigheten enligt paragraf 1(b) upprätta en särskild infrastruktur för insamling av avfall från dessa produkter.</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Tillverkaren av en plastprodukt för engångsbruk som förtecknas i bilaga 7a, del E, avsnitten II och III, ska vara skyldig att</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bära kostnaderna för åtgärder för att öka medvetenheten om deras produkter som släpps ut på marknaden i Slovakien;</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bära kostnaderna för rengöring av skräp från dessa produkter i områden där de inte har kastats ut i lokala avfallsinsamlingssystem;</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föra och upprätthålla ett register över produkter som släppts ut på marknaden i Slovakien och rapportera uppgifter från dem till ministeriet i angiven omfattning samt bevara de rapporterade uppgifterna.</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Tillverkaren av en plastprodukt för engångsbruk som förtecknas i bilaga 7a, del E och fiskeredskap som innehåller plast, som har sitt verksamhetsställe eller sitt säte i Slovakien och säljer dessa produkter i en annan medlemsstat, ska utse en auktoriserad representant i den medlemsstaten för att fullgöra sina skyldigheter i fråga om dessa produkter.</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Tillverkaren av fiskeredskap som innehåller plast ska föra och upprätthålla ett register över de fiskeredskap som släppts ut på marknaden i Slovakien och rapportera uppgifter från detta till ministeriet och bevara de rapporterade uppgifterna.</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En tillverkare av fiskeredskap som innehåller plast ska vara skyldig att täcka kostnaderna för separat insamling, transport, materialåtervinning, återvinning eller bortskaffande av fiskeredskap som innehåller plast och som har hamnat i de berörda mottagningsanordningarna i hamn eller i andra likvärdiga mottagningssystem.</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75g</w:t>
      </w:r>
      <w:r>
        <w:rPr>
          <w:b/>
        </w:rPr>
        <w:br/>
        <w:t>Ökad medvetenhet</w:t>
      </w:r>
    </w:p>
    <w:p w14:paraId="20D90145" w14:textId="1BEFC6E3" w:rsidR="00E30B60" w:rsidRDefault="00CB547F">
      <w:pPr>
        <w:pStyle w:val="BodyText"/>
        <w:spacing w:before="193" w:line="276" w:lineRule="auto"/>
        <w:ind w:left="502" w:right="103" w:firstLine="226"/>
        <w:jc w:val="both"/>
      </w:pPr>
      <w:r>
        <w:t xml:space="preserve">Tillverkaren av en plastprodukt för engångsbruk som förtecknas i </w:t>
      </w:r>
      <w:proofErr w:type="spellStart"/>
      <w:r>
        <w:t>blaga</w:t>
      </w:r>
      <w:proofErr w:type="spellEnd"/>
      <w:r>
        <w:t xml:space="preserve"> 7a, del G och av fiskeredskap som innehåller plast ska informera och motivera slutanvändarna av plastprodukten för engångsbruk att uppträda ansvarsfullt för att minska miljöföroreningen från avfall från dessa produkter;</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att använda tillgängliga återanvändningsbara alternativ;</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ett korrekt sätt att bortskaffa produkter när de blir avfall;</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om konsekvenserna av olämpligt bortskaffande av avfall från engångsplastprodukter och fiskeredskap som innehåller plast på miljön;</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om konsekvenserna för avloppsvatten av olämpligt bortskaffande av dessa produkter när de blir avfall.</w:t>
      </w:r>
    </w:p>
    <w:p w14:paraId="5D2E916C" w14:textId="77777777" w:rsidR="00E30B60" w:rsidRDefault="00CB547F">
      <w:pPr>
        <w:pStyle w:val="BodyText"/>
        <w:spacing w:before="85"/>
        <w:ind w:left="729"/>
        <w:jc w:val="both"/>
      </w:pPr>
      <w:r>
        <w:t>Fotnoterna 96a till 96h har följande lydelse:</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w:t>
      </w:r>
      <w:r>
        <w:t xml:space="preserve"> Artikel 2(1)(c) av förordning (EU) nr 1025/2012 av den 25 oktober 2012 om europeisk standardisering, om ändring av rådets direktiv 89/686/EEG och 93/15/EEG och direktiv 94/9/EG, 94/25/EG, 95/16/EG, 97/23/EG, 98/34/EG, 2004/22/EG, 2007/23/EG, 2009/23/EG och 2009/105/EG av Europaparlamentets och rådets och upphäva rådets beslut 87/95/EEG och beslut nr No 1673/2006/EG av Europaparlamentets och rådet, i dess ändrade lydelse.</w:t>
      </w:r>
    </w:p>
    <w:p w14:paraId="7D526B49" w14:textId="77777777" w:rsidR="00E30B60" w:rsidRDefault="00CB547F">
      <w:pPr>
        <w:spacing w:before="103" w:line="244" w:lineRule="auto"/>
        <w:ind w:left="729" w:right="103"/>
        <w:jc w:val="both"/>
        <w:rPr>
          <w:sz w:val="18"/>
        </w:rPr>
      </w:pPr>
      <w:r>
        <w:rPr>
          <w:sz w:val="10"/>
        </w:rPr>
        <w:t>96b</w:t>
      </w:r>
      <w:r>
        <w:rPr>
          <w:sz w:val="18"/>
        </w:rPr>
        <w:t>) Lag nr 102/2014 om konsumentskydd vid försäljning av varor eller tillhandahållande av tjänster på grundval av ett distansavtal eller ett avtal utanför fasta affärslokaler som ingåtts av säljaren och om ändring av vissa rättsakter, i dess ändrade lydelse.</w:t>
      </w:r>
    </w:p>
    <w:p w14:paraId="5DEAD916" w14:textId="69DCB80D" w:rsidR="00E30B60" w:rsidRDefault="00CB547F">
      <w:pPr>
        <w:spacing w:before="102" w:line="244" w:lineRule="auto"/>
        <w:ind w:left="729" w:right="103"/>
        <w:jc w:val="both"/>
        <w:rPr>
          <w:sz w:val="18"/>
        </w:rPr>
      </w:pPr>
      <w:r>
        <w:rPr>
          <w:sz w:val="10"/>
        </w:rPr>
        <w:t>96c</w:t>
      </w:r>
      <w:r>
        <w:rPr>
          <w:sz w:val="18"/>
        </w:rPr>
        <w:t>)</w:t>
      </w:r>
      <w:r>
        <w:t xml:space="preserve"> Artikel 4(1)(28) i Europaparlamentets och rådets förordning (EU) nr 1380/2013 av den 11 december 2013 om den gemensamma fiskeripolitiken, om ändring av rådets förordningar (EG) nr 1954/2003 och (EG) nr 1224/2009 och om upphävande av rådets förordningar (EG) nr 2371/2002 och (EG) nr 639/2004 samt rådets beslut 2004/585/EG (EUT L 354, 28.12.2013), i dess ändrade lydelse.</w:t>
      </w:r>
    </w:p>
    <w:p w14:paraId="15970DB7" w14:textId="77777777" w:rsidR="00E30B60" w:rsidRDefault="00CB547F">
      <w:pPr>
        <w:spacing w:before="102"/>
        <w:ind w:left="729"/>
        <w:jc w:val="both"/>
        <w:rPr>
          <w:sz w:val="18"/>
        </w:rPr>
      </w:pPr>
      <w:r>
        <w:rPr>
          <w:sz w:val="10"/>
        </w:rPr>
        <w:t>96d</w:t>
      </w:r>
      <w:r>
        <w:rPr>
          <w:sz w:val="18"/>
        </w:rPr>
        <w:t>) Sjöfartslag nr 435/2000, i dess ändrade lydelse.</w:t>
      </w:r>
    </w:p>
    <w:p w14:paraId="5EF5EE76" w14:textId="58A6960E" w:rsidR="00E30B60" w:rsidRDefault="00CB547F">
      <w:pPr>
        <w:spacing w:before="105" w:line="244" w:lineRule="auto"/>
        <w:ind w:left="729" w:right="103"/>
        <w:jc w:val="both"/>
        <w:rPr>
          <w:sz w:val="18"/>
        </w:rPr>
      </w:pPr>
      <w:r>
        <w:rPr>
          <w:sz w:val="10"/>
        </w:rPr>
        <w:t>96e</w:t>
      </w:r>
      <w:r>
        <w:rPr>
          <w:sz w:val="18"/>
        </w:rPr>
        <w:t>)</w:t>
      </w:r>
      <w:r>
        <w:t xml:space="preserve"> § 2(3) i lag nr 89/2016 om produktion, märkning och försäljning av tobaksvaror och tobaksvaror samt om ändring av vissa lagar, ändrad genom lag nr 92/2019</w:t>
      </w:r>
    </w:p>
    <w:p w14:paraId="1BC9FB90" w14:textId="28B52A0A" w:rsidR="00E30B60" w:rsidRDefault="00CB547F">
      <w:pPr>
        <w:spacing w:before="101" w:line="244" w:lineRule="auto"/>
        <w:ind w:left="729" w:right="103"/>
        <w:jc w:val="both"/>
        <w:rPr>
          <w:sz w:val="18"/>
        </w:rPr>
      </w:pPr>
      <w:r>
        <w:rPr>
          <w:sz w:val="10"/>
        </w:rPr>
        <w:t>96f</w:t>
      </w:r>
      <w:r>
        <w:rPr>
          <w:sz w:val="18"/>
        </w:rPr>
        <w:t>)</w:t>
      </w:r>
      <w:r>
        <w:t xml:space="preserve"> § 7(1)(v) i lag nr 302/2019 om ett system för retur av engångsdrycker och om ändring av vissa rättsakter, i dess ändrade lydelse.</w:t>
      </w:r>
    </w:p>
    <w:p w14:paraId="2EC47CDC" w14:textId="1A1C418A" w:rsidR="00E30B60" w:rsidRDefault="00CB547F">
      <w:pPr>
        <w:spacing w:before="101" w:line="244" w:lineRule="auto"/>
        <w:ind w:left="729" w:right="103"/>
        <w:jc w:val="both"/>
        <w:rPr>
          <w:sz w:val="18"/>
        </w:rPr>
      </w:pPr>
      <w:r>
        <w:rPr>
          <w:sz w:val="10"/>
        </w:rPr>
        <w:t>96g</w:t>
      </w:r>
      <w:r>
        <w:rPr>
          <w:sz w:val="18"/>
        </w:rPr>
        <w:t>) Kommissionens genomförandeförordning (EU) 2020/2151 av den 17 december 2020 om fastställande av bestämmelser för harmoniserade märkningsspecifikationer för engångsplastprodukter som förtecknas i del D i bilagan till Europaparlamentets och rådets direktiv (EU) 2019/904 om minskning av vissa plastprodukters miljöpåverkan (EUT L 428, 18.12.2020).</w:t>
      </w:r>
    </w:p>
    <w:p w14:paraId="42F6CA94" w14:textId="77777777" w:rsidR="00E30B60" w:rsidRDefault="00CB547F">
      <w:pPr>
        <w:spacing w:before="102"/>
        <w:ind w:left="729"/>
        <w:jc w:val="both"/>
        <w:rPr>
          <w:sz w:val="18"/>
        </w:rPr>
      </w:pPr>
      <w:r>
        <w:rPr>
          <w:sz w:val="10"/>
        </w:rPr>
        <w:t>96h</w:t>
      </w:r>
      <w:r>
        <w:rPr>
          <w:sz w:val="18"/>
        </w:rPr>
        <w:t>) Lag nr 89/2016, ändrad genom lag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I § 105(3) ska följande punkt ad) läggas till:</w:t>
      </w:r>
    </w:p>
    <w:p w14:paraId="2874BDF9" w14:textId="77777777" w:rsidR="00E30B60" w:rsidRDefault="00CB547F">
      <w:pPr>
        <w:pStyle w:val="BodyText"/>
        <w:spacing w:before="106"/>
        <w:ind w:left="502"/>
        <w:jc w:val="both"/>
      </w:pPr>
      <w:r>
        <w:t>‘ad) De märkningsspecifikationer som avses i §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 § 106(h), ska texten ”§ 53a, § 73a” ersättas med ”§ 75b, § 75c, § 75d, §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 § 110(1)(a) ska texten ”53a §” utgå och texten ”§ 73a och §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I § 111(6), ska texten ”§ 53a och § 73a” ersättas med ”§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I § 117(1), efter texten ”53(7), (8</w:t>
      </w:r>
      <w:proofErr w:type="gramStart"/>
      <w:r>
        <w:rPr>
          <w:sz w:val="20"/>
        </w:rPr>
        <w:t>);§</w:t>
      </w:r>
      <w:proofErr w:type="gramEnd"/>
      <w:r>
        <w:rPr>
          <w:sz w:val="20"/>
        </w:rPr>
        <w:t xml:space="preserve"> 54(1)(f), (5);” ska ”§ 53aa” införas.</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 117(6) har följande lydelse:</w:t>
      </w:r>
    </w:p>
    <w:p w14:paraId="2F50D7B0" w14:textId="77777777" w:rsidR="00E30B60" w:rsidRDefault="00CB547F">
      <w:pPr>
        <w:pStyle w:val="BodyText"/>
        <w:spacing w:before="220" w:line="276" w:lineRule="auto"/>
        <w:ind w:left="502" w:right="103" w:firstLine="226"/>
        <w:jc w:val="both"/>
      </w:pPr>
      <w:r>
        <w:t xml:space="preserve">‘(6) Ett bötesbelopp på mellan 4 000 EUR och 350 000 EUR ska åläggas den berörda statliga myndigheten för avfallshantering av ett företag eller en enda näringsidkare som bryter mot skyldigheten enligt § </w:t>
      </w:r>
      <w:proofErr w:type="gramStart"/>
      <w:r>
        <w:t>13;§</w:t>
      </w:r>
      <w:proofErr w:type="gramEnd"/>
      <w:r>
        <w:t xml:space="preserve"> 16(5), (10);§ 19(1)(f);§ 21(2);§ 21(3)(f);(g);§ 25(1),(7);</w:t>
      </w:r>
    </w:p>
    <w:p w14:paraId="4B6F5513" w14:textId="77777777" w:rsidR="00E30B60" w:rsidRPr="00ED1191" w:rsidRDefault="00CB547F">
      <w:pPr>
        <w:pStyle w:val="BodyText"/>
        <w:ind w:left="502"/>
        <w:rPr>
          <w:lang w:val="en-US"/>
        </w:rPr>
      </w:pPr>
      <w:r w:rsidRPr="00ED1191">
        <w:rPr>
          <w:lang w:val="en-US"/>
        </w:rPr>
        <w:t>§ 27(25</w:t>
      </w:r>
      <w:proofErr w:type="gramStart"/>
      <w:r w:rsidRPr="00ED1191">
        <w:rPr>
          <w:lang w:val="en-US"/>
        </w:rPr>
        <w:t>);§</w:t>
      </w:r>
      <w:proofErr w:type="gramEnd"/>
      <w:r w:rsidRPr="00ED1191">
        <w:rPr>
          <w:lang w:val="en-US"/>
        </w:rPr>
        <w:t xml:space="preserve"> 28(9)(e);§ 31a(2), (6), (8);§ 33;§ 43;§ 53(3);§ 62(6);</w:t>
      </w:r>
    </w:p>
    <w:p w14:paraId="091FA774" w14:textId="77777777" w:rsidR="00E30B60" w:rsidRPr="00ED1191" w:rsidRDefault="00CB547F">
      <w:pPr>
        <w:pStyle w:val="BodyText"/>
        <w:spacing w:before="35"/>
        <w:ind w:left="502"/>
        <w:rPr>
          <w:lang w:val="en-US"/>
        </w:rPr>
      </w:pPr>
      <w:r w:rsidRPr="00ED1191">
        <w:rPr>
          <w:lang w:val="en-US"/>
        </w:rPr>
        <w:t>§ 75</w:t>
      </w:r>
      <w:proofErr w:type="gramStart"/>
      <w:r w:rsidRPr="00ED1191">
        <w:rPr>
          <w:lang w:val="en-US"/>
        </w:rPr>
        <w:t>b;§</w:t>
      </w:r>
      <w:proofErr w:type="gramEnd"/>
      <w:r w:rsidRPr="00ED1191">
        <w:rPr>
          <w:lang w:val="en-US"/>
        </w:rPr>
        <w:t xml:space="preserve"> 75c;§ 75d;§ 75e;§ 75f;§ 75g;§ 76(4);§ 79(16), (24);§ 84(3), (5);</w:t>
      </w:r>
    </w:p>
    <w:p w14:paraId="1E67AFAF" w14:textId="77777777" w:rsidR="00E30B60" w:rsidRPr="00ED1191" w:rsidRDefault="00CB547F">
      <w:pPr>
        <w:pStyle w:val="BodyText"/>
        <w:spacing w:before="35"/>
        <w:ind w:left="502"/>
        <w:rPr>
          <w:lang w:val="en-US"/>
        </w:rPr>
      </w:pPr>
      <w:r w:rsidRPr="00ED1191">
        <w:rPr>
          <w:lang w:val="en-US"/>
        </w:rPr>
        <w:t>§ 135</w:t>
      </w:r>
      <w:proofErr w:type="gramStart"/>
      <w:r w:rsidRPr="00ED1191">
        <w:rPr>
          <w:lang w:val="en-US"/>
        </w:rPr>
        <w:t>e(</w:t>
      </w:r>
      <w:proofErr w:type="gramEnd"/>
      <w:r w:rsidRPr="00ED1191">
        <w:rPr>
          <w:lang w:val="en-US"/>
        </w:rPr>
        <w:t>1), (2), (3), (4); §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I § 135 g, ska texten ”del B” införas efter ”7a”.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Bilaga 7a, inklusive rubriken, ska ha följande lydelse:</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‘Bilaga 7a</w:t>
      </w:r>
      <w:r>
        <w:rPr>
          <w:b/>
        </w:rPr>
        <w:br/>
        <w:t>till lag nr 79/2015</w:t>
      </w:r>
    </w:p>
    <w:p w14:paraId="53FA3E6C" w14:textId="77777777" w:rsidR="00E30B60" w:rsidRDefault="00CB547F">
      <w:pPr>
        <w:pStyle w:val="BodyText"/>
        <w:spacing w:before="201"/>
        <w:ind w:left="1230" w:right="834"/>
        <w:jc w:val="center"/>
        <w:rPr>
          <w:b/>
        </w:rPr>
      </w:pPr>
      <w:r>
        <w:rPr>
          <w:b/>
        </w:rPr>
        <w:t>DEL A</w:t>
      </w:r>
    </w:p>
    <w:p w14:paraId="423994C5" w14:textId="77777777" w:rsidR="00E30B60" w:rsidRDefault="00CB547F">
      <w:pPr>
        <w:pStyle w:val="BodyText"/>
        <w:spacing w:before="231"/>
        <w:ind w:left="729"/>
        <w:rPr>
          <w:b/>
        </w:rPr>
      </w:pPr>
      <w:r>
        <w:rPr>
          <w:b/>
        </w:rPr>
        <w:t>Plastprodukter för engångsbruk vars förbrukning ska minskas</w:t>
      </w:r>
    </w:p>
    <w:p w14:paraId="360D13BF" w14:textId="77777777" w:rsidR="00E30B60" w:rsidRDefault="00CB547F">
      <w:pPr>
        <w:pStyle w:val="ListParagraph"/>
        <w:numPr>
          <w:ilvl w:val="0"/>
          <w:numId w:val="9"/>
        </w:numPr>
        <w:tabs>
          <w:tab w:val="left" w:pos="786"/>
        </w:tabs>
        <w:spacing w:before="128"/>
        <w:ind w:right="0"/>
        <w:rPr>
          <w:sz w:val="20"/>
        </w:rPr>
      </w:pPr>
      <w:r>
        <w:rPr>
          <w:sz w:val="20"/>
        </w:rPr>
        <w:t>Dryckeskoppar, inklusive deras lock;</w:t>
      </w:r>
    </w:p>
    <w:p w14:paraId="2EBB597C" w14:textId="77777777" w:rsidR="00E30B60" w:rsidRDefault="00CB547F">
      <w:pPr>
        <w:pStyle w:val="ListParagraph"/>
        <w:numPr>
          <w:ilvl w:val="0"/>
          <w:numId w:val="9"/>
        </w:numPr>
        <w:tabs>
          <w:tab w:val="left" w:pos="786"/>
        </w:tabs>
        <w:spacing w:before="105" w:line="244" w:lineRule="auto"/>
        <w:rPr>
          <w:sz w:val="20"/>
        </w:rPr>
      </w:pPr>
      <w:r>
        <w:rPr>
          <w:sz w:val="20"/>
        </w:rPr>
        <w:t>livsmedelsbehållare, dvs. askar, med eller utan lock, för livsmedel som är</w:t>
      </w:r>
    </w:p>
    <w:p w14:paraId="6464AE61" w14:textId="77777777" w:rsidR="00E30B60" w:rsidRDefault="00E30B60">
      <w:pPr>
        <w:spacing w:line="244" w:lineRule="auto"/>
        <w:rPr>
          <w:sz w:val="20"/>
        </w:rPr>
        <w:sectPr w:rsidR="00E30B60">
          <w:pgSz w:w="11910" w:h="16840"/>
          <w:pgMar w:top="1160" w:right="1000" w:bottom="280" w:left="1000" w:header="796" w:footer="0" w:gutter="0"/>
          <w:cols w:space="720"/>
        </w:sectPr>
      </w:pPr>
    </w:p>
    <w:p w14:paraId="0582B242" w14:textId="77777777" w:rsidR="00E30B60" w:rsidRDefault="00E30B60">
      <w:pPr>
        <w:pStyle w:val="BodyText"/>
        <w:spacing w:before="11"/>
        <w:rPr>
          <w:sz w:val="17"/>
        </w:rPr>
      </w:pP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avsedda för omedelbar konsumtion antingen på försäljningsstället eller på ett annat ställe än försäljningsstället;</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vanligtvis konsumeras från denna behållare; och</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är redo att konsumeras utan någon ytterligare beredning, såsom tillagning, kokning eller uppvärmning;</w:t>
      </w:r>
    </w:p>
    <w:p w14:paraId="6B251702" w14:textId="77777777" w:rsidR="00E30B60" w:rsidRDefault="00CB547F">
      <w:pPr>
        <w:pStyle w:val="BodyText"/>
        <w:spacing w:before="216" w:line="276" w:lineRule="auto"/>
        <w:ind w:left="785" w:right="103" w:firstLine="226"/>
        <w:jc w:val="both"/>
      </w:pPr>
      <w:r>
        <w:t>inklusive livsmedelsbehållare som används för snabbmat eller andra måltider som är avsedda att konsumeras direkt, utom dryckesbehållare, tallrikar och paket och omslag som innehåller livsmedel.</w:t>
      </w:r>
    </w:p>
    <w:p w14:paraId="08F0A563" w14:textId="77777777" w:rsidR="00E30B60" w:rsidRDefault="00CB547F">
      <w:pPr>
        <w:pStyle w:val="BodyText"/>
        <w:spacing w:before="187"/>
        <w:ind w:left="1230" w:right="834"/>
        <w:jc w:val="center"/>
        <w:rPr>
          <w:b/>
        </w:rPr>
      </w:pPr>
      <w:r>
        <w:rPr>
          <w:b/>
        </w:rPr>
        <w:t>DEL B</w:t>
      </w:r>
    </w:p>
    <w:p w14:paraId="13056B9C" w14:textId="77777777" w:rsidR="00E30B60" w:rsidRDefault="00CB547F">
      <w:pPr>
        <w:pStyle w:val="BodyText"/>
        <w:spacing w:before="231"/>
        <w:ind w:left="729"/>
        <w:rPr>
          <w:b/>
        </w:rPr>
      </w:pPr>
      <w:r>
        <w:rPr>
          <w:b/>
        </w:rPr>
        <w:t>Det är förbjudet att släppa ut dessa plastprodukter för engångsbruk på marknaden i Slovakien</w:t>
      </w:r>
    </w:p>
    <w:p w14:paraId="51FDEC54" w14:textId="77777777" w:rsidR="00E30B60" w:rsidRDefault="00CB547F">
      <w:pPr>
        <w:pStyle w:val="ListParagraph"/>
        <w:numPr>
          <w:ilvl w:val="0"/>
          <w:numId w:val="8"/>
        </w:numPr>
        <w:tabs>
          <w:tab w:val="left" w:pos="786"/>
        </w:tabs>
        <w:spacing w:before="128"/>
        <w:ind w:right="0"/>
        <w:rPr>
          <w:sz w:val="20"/>
        </w:rPr>
      </w:pPr>
      <w:r>
        <w:rPr>
          <w:sz w:val="20"/>
        </w:rPr>
        <w:t>bomullspinnar som inte omfattas av särskild lagstiftning;</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bestick (gafflar, knivar, skedar, ätpinnar);</w:t>
      </w:r>
    </w:p>
    <w:p w14:paraId="270DDFA9" w14:textId="77777777" w:rsidR="00E30B60" w:rsidRDefault="00CB547F">
      <w:pPr>
        <w:pStyle w:val="ListParagraph"/>
        <w:numPr>
          <w:ilvl w:val="0"/>
          <w:numId w:val="8"/>
        </w:numPr>
        <w:tabs>
          <w:tab w:val="left" w:pos="786"/>
        </w:tabs>
        <w:spacing w:before="105"/>
        <w:ind w:right="0"/>
        <w:rPr>
          <w:sz w:val="20"/>
        </w:rPr>
      </w:pPr>
      <w:r>
        <w:rPr>
          <w:sz w:val="20"/>
        </w:rPr>
        <w:t>tallrikar;</w:t>
      </w:r>
    </w:p>
    <w:p w14:paraId="5A4A28E4" w14:textId="77777777" w:rsidR="00E30B60" w:rsidRDefault="00CB547F">
      <w:pPr>
        <w:pStyle w:val="ListParagraph"/>
        <w:numPr>
          <w:ilvl w:val="0"/>
          <w:numId w:val="8"/>
        </w:numPr>
        <w:tabs>
          <w:tab w:val="left" w:pos="786"/>
        </w:tabs>
        <w:spacing w:before="105"/>
        <w:ind w:right="0"/>
        <w:rPr>
          <w:sz w:val="20"/>
        </w:rPr>
      </w:pPr>
      <w:r>
        <w:rPr>
          <w:sz w:val="20"/>
        </w:rPr>
        <w:t>sugrör som inte omfattas av särskild lagstiftning;</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omrörare för drycker;</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pinnar som ska fästas vid och bära upp ballonger, utom ballonger för industriella eller andra yrkesmässiga användningar och tillämpningar som inte distribueras till konsumenter, inklusive mekanismerna i sådana pinnar;</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livsmedelsbehållare gjorda av expanderad polystyren, det vill säga behållare såsom lådor, med eller utan lock, för livsmedel som används för livsmedel</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avsedda för omedelbar konsumtion antingen på försäljningsstället eller på ett annat ställe än försäljningsstället;</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vanligtvis konsumeras från denna behållare; och</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är redo att konsumeras utan någon ytterligare beredning, såsom tillagning, kokning eller uppvärmning;</w:t>
      </w:r>
    </w:p>
    <w:p w14:paraId="2B86D403" w14:textId="77777777" w:rsidR="00E30B60" w:rsidRDefault="00CB547F">
      <w:pPr>
        <w:pStyle w:val="BodyText"/>
        <w:spacing w:before="216" w:line="276" w:lineRule="auto"/>
        <w:ind w:left="785" w:right="103" w:firstLine="226"/>
        <w:jc w:val="both"/>
      </w:pPr>
      <w:r>
        <w:t>inklusive livsmedelsbehållare som används för snabbmat eller andra måltider som är avsedda att konsumeras direkt, utom dryckesbehållare, tallrikar och paket och omslag som innehåller livsmedel;</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dryckesbehållare av expanderad polystyren, inklusive lock;</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koppar för dryck av expanderad polystyren, inklusive lock.</w:t>
      </w:r>
    </w:p>
    <w:p w14:paraId="5A3D23E4" w14:textId="77777777" w:rsidR="00E30B60" w:rsidRDefault="00CB547F">
      <w:pPr>
        <w:pStyle w:val="BodyText"/>
        <w:spacing w:before="208"/>
        <w:ind w:left="1230" w:right="834"/>
        <w:jc w:val="center"/>
        <w:rPr>
          <w:b/>
        </w:rPr>
      </w:pPr>
      <w:r>
        <w:rPr>
          <w:b/>
        </w:rPr>
        <w:t>DEL C</w:t>
      </w:r>
    </w:p>
    <w:p w14:paraId="7696BE96" w14:textId="77777777" w:rsidR="00E30B60" w:rsidRDefault="00CB547F">
      <w:pPr>
        <w:pStyle w:val="BodyText"/>
        <w:spacing w:before="231" w:line="297" w:lineRule="auto"/>
        <w:ind w:left="502" w:right="103" w:firstLine="226"/>
        <w:jc w:val="both"/>
        <w:rPr>
          <w:b/>
        </w:rPr>
      </w:pPr>
      <w:r>
        <w:rPr>
          <w:b/>
        </w:rPr>
        <w:t>Engångsplastprodukter som får släppas ut på marknaden i enlighet med kraven i lagen § 75</w:t>
      </w:r>
      <w:proofErr w:type="gramStart"/>
      <w:r>
        <w:rPr>
          <w:b/>
        </w:rPr>
        <w:t>d(</w:t>
      </w:r>
      <w:proofErr w:type="gramEnd"/>
      <w:r>
        <w:rPr>
          <w:b/>
        </w:rPr>
        <w:t>1)</w:t>
      </w:r>
    </w:p>
    <w:p w14:paraId="101A7BC1" w14:textId="77777777" w:rsidR="00E30B60" w:rsidRDefault="00CB547F">
      <w:pPr>
        <w:pStyle w:val="BodyText"/>
        <w:spacing w:before="185" w:line="276" w:lineRule="auto"/>
        <w:ind w:left="502" w:right="103" w:firstLine="226"/>
        <w:jc w:val="both"/>
      </w:pPr>
      <w:r>
        <w:t>Behållare för drycker på högst tre liter, dvs. behållare för vätskor såsom dryckesflaskor, inklusive lock, samt behållare för sammansatta drycker, inklusive lock, förutom</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behållare av glas eller metall med lock av plast;</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dryckesbehållare som är avsedda och används som livsmedel för särskilda medicinska ändamål i flytande form, med förbehåll för särskild lagstiftning.</w:t>
      </w:r>
      <w:r>
        <w:rPr>
          <w:sz w:val="10"/>
        </w:rPr>
        <w:t>163</w:t>
      </w:r>
      <w:r>
        <w:rPr>
          <w:sz w:val="20"/>
        </w:rPr>
        <w:t>)</w:t>
      </w:r>
    </w:p>
    <w:p w14:paraId="5A8C8B95" w14:textId="77777777" w:rsidR="00E30B60" w:rsidRDefault="00CB547F">
      <w:pPr>
        <w:pStyle w:val="BodyText"/>
        <w:spacing w:before="203"/>
        <w:ind w:left="1230" w:right="834"/>
        <w:jc w:val="center"/>
        <w:rPr>
          <w:b/>
        </w:rPr>
      </w:pPr>
      <w:r>
        <w:rPr>
          <w:b/>
        </w:rPr>
        <w:t>DEL D</w:t>
      </w:r>
    </w:p>
    <w:p w14:paraId="43A76956" w14:textId="288C4191" w:rsidR="00E30B60" w:rsidRDefault="00CB547F" w:rsidP="00D0358C">
      <w:pPr>
        <w:pStyle w:val="BodyText"/>
        <w:spacing w:before="231"/>
        <w:ind w:left="729"/>
        <w:rPr>
          <w:b/>
        </w:rPr>
      </w:pPr>
      <w:r>
        <w:rPr>
          <w:b/>
        </w:rPr>
        <w:t>Plastprodukter för engångsbruk som måste uppfylla märkningskravet enligt § 75e i lagen</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Bindor, tamponger och tampongapplikatorer;</w:t>
      </w:r>
    </w:p>
    <w:p w14:paraId="50510A03" w14:textId="77777777" w:rsidR="00E30B60" w:rsidRDefault="00CB547F">
      <w:pPr>
        <w:pStyle w:val="ListParagraph"/>
        <w:numPr>
          <w:ilvl w:val="0"/>
          <w:numId w:val="6"/>
        </w:numPr>
        <w:tabs>
          <w:tab w:val="left" w:pos="786"/>
        </w:tabs>
        <w:spacing w:before="106"/>
        <w:ind w:right="0"/>
        <w:rPr>
          <w:sz w:val="20"/>
        </w:rPr>
      </w:pPr>
      <w:r>
        <w:rPr>
          <w:sz w:val="20"/>
        </w:rPr>
        <w:t xml:space="preserve">Våtservetter, dvs. </w:t>
      </w:r>
      <w:proofErr w:type="spellStart"/>
      <w:r>
        <w:rPr>
          <w:sz w:val="20"/>
        </w:rPr>
        <w:t>förfuktade</w:t>
      </w:r>
      <w:proofErr w:type="spellEnd"/>
      <w:r>
        <w:rPr>
          <w:sz w:val="20"/>
        </w:rPr>
        <w:t xml:space="preserve"> personliga hygienservetter och hushållsservetter;</w:t>
      </w:r>
    </w:p>
    <w:p w14:paraId="4FF9E3EA" w14:textId="77777777" w:rsidR="00E30B60" w:rsidRDefault="00CB547F">
      <w:pPr>
        <w:pStyle w:val="ListParagraph"/>
        <w:numPr>
          <w:ilvl w:val="0"/>
          <w:numId w:val="6"/>
        </w:numPr>
        <w:tabs>
          <w:tab w:val="left" w:pos="786"/>
        </w:tabs>
        <w:spacing w:before="105" w:line="244" w:lineRule="auto"/>
        <w:rPr>
          <w:sz w:val="20"/>
        </w:rPr>
      </w:pPr>
      <w:proofErr w:type="gramStart"/>
      <w:r>
        <w:rPr>
          <w:sz w:val="20"/>
        </w:rPr>
        <w:t>}tobaksvaror</w:t>
      </w:r>
      <w:proofErr w:type="gramEnd"/>
      <w:r>
        <w:rPr>
          <w:sz w:val="20"/>
        </w:rPr>
        <w:t xml:space="preserve"> som innehåller filter och filter som säljs för användning i kombination med tobaksvaror;</w:t>
      </w:r>
    </w:p>
    <w:p w14:paraId="40A96525" w14:textId="77777777" w:rsidR="00E30B60" w:rsidRDefault="00CB547F">
      <w:pPr>
        <w:pStyle w:val="ListParagraph"/>
        <w:numPr>
          <w:ilvl w:val="0"/>
          <w:numId w:val="6"/>
        </w:numPr>
        <w:tabs>
          <w:tab w:val="left" w:pos="786"/>
        </w:tabs>
        <w:spacing w:before="101"/>
        <w:ind w:right="0"/>
        <w:rPr>
          <w:sz w:val="20"/>
        </w:rPr>
      </w:pPr>
      <w:r>
        <w:rPr>
          <w:sz w:val="20"/>
        </w:rPr>
        <w:t>dryckeskoppar.</w:t>
      </w:r>
    </w:p>
    <w:p w14:paraId="3D9A0DD0" w14:textId="77777777" w:rsidR="00E30B60" w:rsidRDefault="00CB547F">
      <w:pPr>
        <w:pStyle w:val="BodyText"/>
        <w:spacing w:before="208"/>
        <w:ind w:left="1230" w:right="834"/>
        <w:jc w:val="center"/>
        <w:rPr>
          <w:b/>
        </w:rPr>
      </w:pPr>
      <w:r>
        <w:rPr>
          <w:b/>
        </w:rPr>
        <w:t>DEL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Plastprodukter för engångsbruk som omfattas av § 75</w:t>
      </w:r>
      <w:proofErr w:type="gramStart"/>
      <w:r>
        <w:rPr>
          <w:b/>
          <w:sz w:val="20"/>
        </w:rPr>
        <w:t>f(</w:t>
      </w:r>
      <w:proofErr w:type="gramEnd"/>
      <w:r>
        <w:rPr>
          <w:b/>
          <w:sz w:val="20"/>
        </w:rPr>
        <w:t>1) och (4) i lagen</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livsmedelsbehållare, dvs. askar, med eller utan lock, för livsmedel som är</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avsedda för omedelbar konsumtion antingen på försäljningsstället eller på ett annat ställe än försäljningsstället;</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vanligtvis konsumeras från denna behållare; och</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är redo att konsumeras utan någon ytterligare beredning, såsom tillagning, kokning eller uppvärmning;</w:t>
      </w:r>
    </w:p>
    <w:p w14:paraId="0138E3D4" w14:textId="77777777" w:rsidR="00E30B60" w:rsidRDefault="00CB547F">
      <w:pPr>
        <w:pStyle w:val="BodyText"/>
        <w:spacing w:before="200" w:line="276" w:lineRule="auto"/>
        <w:ind w:left="785" w:right="103" w:firstLine="226"/>
        <w:jc w:val="both"/>
      </w:pPr>
      <w:r>
        <w:t>inklusive livsmedelsbehållare som används för snabbmat eller andra måltider som är avsedda att konsumeras direkt, utom dryckesbehållare, tallrikar och paket och omslag som innehåller livsmedel;</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förpackningar och omslag tillverkade av flexibelt material som innehåller livsmedel som är avsedda för omedelbar konsumtion från förpackningen eller omslaget utan vidare beredning;</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 xml:space="preserve">dryckesbehållare med en volym på upp till tre liter, dvs. behållare som innehåller vätska, </w:t>
      </w:r>
      <w:proofErr w:type="gramStart"/>
      <w:r>
        <w:rPr>
          <w:sz w:val="20"/>
        </w:rPr>
        <w:t>t.ex.</w:t>
      </w:r>
      <w:proofErr w:type="gramEnd"/>
      <w:r>
        <w:rPr>
          <w:sz w:val="20"/>
        </w:rPr>
        <w:t xml:space="preserve"> dryckesflaskor inklusive kapsyler och lock till dessa, samt sammansatta dryckesförpackningar inklusive kapsyler och lock till sådana drycker, förutom behållare av glas eller metall som har plastkapslar och plastlock;</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Dryckeskoppar, inklusive deras lock;</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lätta plastbärkassar.</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Plastprodukter för engångsbruk som omfattas av § 75</w:t>
      </w:r>
      <w:proofErr w:type="gramStart"/>
      <w:r>
        <w:rPr>
          <w:b/>
          <w:sz w:val="20"/>
        </w:rPr>
        <w:t>f(</w:t>
      </w:r>
      <w:proofErr w:type="gramEnd"/>
      <w:r>
        <w:rPr>
          <w:b/>
          <w:sz w:val="20"/>
        </w:rPr>
        <w:t>1), (3) och (4) i lagen</w:t>
      </w:r>
    </w:p>
    <w:p w14:paraId="4BA744C0" w14:textId="77777777" w:rsidR="00E30B60" w:rsidRDefault="00CB547F">
      <w:pPr>
        <w:pStyle w:val="ListParagraph"/>
        <w:numPr>
          <w:ilvl w:val="0"/>
          <w:numId w:val="4"/>
        </w:numPr>
        <w:tabs>
          <w:tab w:val="left" w:pos="786"/>
        </w:tabs>
        <w:spacing w:before="143"/>
        <w:ind w:right="0"/>
        <w:rPr>
          <w:sz w:val="20"/>
        </w:rPr>
      </w:pPr>
      <w:r>
        <w:rPr>
          <w:sz w:val="20"/>
        </w:rPr>
        <w:t xml:space="preserve">Våtservetter, d.v.s. </w:t>
      </w:r>
      <w:proofErr w:type="spellStart"/>
      <w:r>
        <w:rPr>
          <w:sz w:val="20"/>
        </w:rPr>
        <w:t>förfuktade</w:t>
      </w:r>
      <w:proofErr w:type="spellEnd"/>
      <w:r>
        <w:rPr>
          <w:sz w:val="20"/>
        </w:rPr>
        <w:t xml:space="preserve"> personliga hygienservetter och hushållsservetter;</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ballonger, med undantag för ballonger som inte distribueras till konsumenter och som är avsedda för industriell eller annan yrkesmässig användning och konsumtion.</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Andra plastprodukter för engångsbruk som omfattas av § 75</w:t>
      </w:r>
      <w:proofErr w:type="gramStart"/>
      <w:r>
        <w:rPr>
          <w:b/>
          <w:sz w:val="20"/>
        </w:rPr>
        <w:t>f(</w:t>
      </w:r>
      <w:proofErr w:type="gramEnd"/>
      <w:r>
        <w:rPr>
          <w:b/>
          <w:sz w:val="20"/>
        </w:rPr>
        <w:t>1) till (4) i lagen</w:t>
      </w:r>
    </w:p>
    <w:p w14:paraId="475248E0" w14:textId="77777777" w:rsidR="00E30B60" w:rsidRDefault="00CB547F">
      <w:pPr>
        <w:pStyle w:val="BodyText"/>
        <w:spacing w:before="43" w:line="276" w:lineRule="auto"/>
        <w:ind w:left="502" w:firstLine="226"/>
      </w:pPr>
      <w:r>
        <w:t>Tobaksvaror som innehåller filter och filter som säljs för användning i kombination med tobaksvaror.</w:t>
      </w:r>
    </w:p>
    <w:p w14:paraId="3AC28F65" w14:textId="77777777" w:rsidR="00E30B60" w:rsidRDefault="00CB547F">
      <w:pPr>
        <w:pStyle w:val="BodyText"/>
        <w:spacing w:before="188"/>
        <w:ind w:left="1230" w:right="834"/>
        <w:jc w:val="center"/>
        <w:rPr>
          <w:b/>
        </w:rPr>
      </w:pPr>
      <w:r>
        <w:rPr>
          <w:b/>
        </w:rPr>
        <w:t>DEL F</w:t>
      </w:r>
    </w:p>
    <w:p w14:paraId="5503DD3F" w14:textId="77777777" w:rsidR="00E30B60" w:rsidRDefault="00CB547F">
      <w:pPr>
        <w:pStyle w:val="BodyText"/>
        <w:spacing w:before="230" w:line="297" w:lineRule="auto"/>
        <w:ind w:left="502" w:firstLine="226"/>
        <w:rPr>
          <w:b/>
        </w:rPr>
      </w:pPr>
      <w:r>
        <w:rPr>
          <w:b/>
        </w:rPr>
        <w:t>Engångsplastprodukter som får släppas ut på marknaden i enlighet med kravet i § 75</w:t>
      </w:r>
      <w:proofErr w:type="gramStart"/>
      <w:r>
        <w:rPr>
          <w:b/>
        </w:rPr>
        <w:t>d(</w:t>
      </w:r>
      <w:proofErr w:type="gramEnd"/>
      <w:r>
        <w:rPr>
          <w:b/>
        </w:rPr>
        <w:t>4) lagen</w:t>
      </w:r>
    </w:p>
    <w:p w14:paraId="104BA5A3" w14:textId="77777777" w:rsidR="00E30B60" w:rsidRDefault="00CB547F">
      <w:pPr>
        <w:pStyle w:val="BodyText"/>
        <w:spacing w:before="186"/>
        <w:ind w:left="729"/>
      </w:pPr>
      <w:r>
        <w:t>Dryckesflaskor på upp till tre liter inklusive lock, förutom</w:t>
      </w:r>
    </w:p>
    <w:p w14:paraId="411E1955" w14:textId="77777777" w:rsidR="00E30B60" w:rsidRDefault="00CB547F">
      <w:pPr>
        <w:pStyle w:val="ListParagraph"/>
        <w:numPr>
          <w:ilvl w:val="0"/>
          <w:numId w:val="3"/>
        </w:numPr>
        <w:tabs>
          <w:tab w:val="left" w:pos="786"/>
        </w:tabs>
        <w:spacing w:before="120"/>
        <w:ind w:right="0"/>
        <w:rPr>
          <w:sz w:val="20"/>
        </w:rPr>
      </w:pPr>
      <w:r>
        <w:rPr>
          <w:sz w:val="20"/>
        </w:rPr>
        <w:t>flaskor av glas eller metall med lock och lock av plast;</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dryckesflaskor som är avsedda och används som livsmedel för särskilda medicinska ändamål i flytande form och som omfattas av särskild lagstiftning.</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DEL G</w:t>
      </w:r>
    </w:p>
    <w:p w14:paraId="0B3CFA54" w14:textId="416D168C" w:rsidR="00E30B60" w:rsidRDefault="00CB547F" w:rsidP="00470FBD">
      <w:pPr>
        <w:pStyle w:val="BodyText"/>
        <w:keepNext/>
        <w:keepLines/>
        <w:spacing w:before="231"/>
        <w:ind w:left="729"/>
        <w:rPr>
          <w:b/>
          <w:sz w:val="17"/>
        </w:rPr>
      </w:pPr>
      <w:r>
        <w:rPr>
          <w:b/>
        </w:rPr>
        <w:t>Plastprodukter för engångsbruk som omfattas av § 75g i lagen</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livsmedelsbehållare, dvs. askar, med eller utan lock, för livsmedel som är</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avsedda för omedelbar konsumtion antingen på försäljningsstället eller på ett annat ställe än försäljningsstället;</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vanligtvis konsumeras från denna behållare; och</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är redo att konsumeras utan någon ytterligare beredning, såsom tillagning, kokning eller uppvärmning;</w:t>
      </w:r>
    </w:p>
    <w:p w14:paraId="43510610" w14:textId="77777777" w:rsidR="00E30B60" w:rsidRDefault="00CB547F">
      <w:pPr>
        <w:pStyle w:val="BodyText"/>
        <w:spacing w:before="216" w:line="276" w:lineRule="auto"/>
        <w:ind w:left="785" w:right="103" w:firstLine="226"/>
        <w:jc w:val="both"/>
      </w:pPr>
      <w:r>
        <w:t>inklusive livsmedelsbehållare som används för snabbmat eller andra måltider som är avsedda att konsumeras direkt, utom dryckesbehållare, tallrikar och paket och omslag som innehåller livsmedel;</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förpackningar och omslag tillverkade av flexibelt material som innehåller livsmedel som är avsedda för omedelbar konsumtion från förpackningen eller omslaget utan vidare beredning;</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 xml:space="preserve">dryckesbehållare med en volym på upp till tre liter, dvs. behållare som innehåller vätska, </w:t>
      </w:r>
      <w:proofErr w:type="gramStart"/>
      <w:r>
        <w:rPr>
          <w:sz w:val="20"/>
        </w:rPr>
        <w:t>t.ex.</w:t>
      </w:r>
      <w:proofErr w:type="gramEnd"/>
      <w:r>
        <w:rPr>
          <w:sz w:val="20"/>
        </w:rPr>
        <w:t xml:space="preserve"> dryckesflaskor inklusive kapsyler och lock till dessa, samt sammansatta dryckesförpackningar inklusive kapsyler och lock till sådana drycker, förutom behållare av glas eller metall som har plastkapslar och plastlock;</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Dryckeskoppar, inklusive deras lock;</w:t>
      </w:r>
    </w:p>
    <w:p w14:paraId="3860162F" w14:textId="77777777" w:rsidR="00E30B60" w:rsidRDefault="00CB547F">
      <w:pPr>
        <w:pStyle w:val="ListParagraph"/>
        <w:numPr>
          <w:ilvl w:val="0"/>
          <w:numId w:val="2"/>
        </w:numPr>
        <w:tabs>
          <w:tab w:val="left" w:pos="786"/>
        </w:tabs>
        <w:spacing w:before="105" w:line="244" w:lineRule="auto"/>
        <w:jc w:val="both"/>
        <w:rPr>
          <w:sz w:val="20"/>
        </w:rPr>
      </w:pPr>
      <w:proofErr w:type="gramStart"/>
      <w:r>
        <w:rPr>
          <w:sz w:val="20"/>
        </w:rPr>
        <w:t>}tobaksvaror</w:t>
      </w:r>
      <w:proofErr w:type="gramEnd"/>
      <w:r>
        <w:rPr>
          <w:sz w:val="20"/>
        </w:rPr>
        <w:t xml:space="preserve"> som innehåller filter och filter som säljs för användning i kombination med tobaksvaror;</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 xml:space="preserve">Våtservetter, d.v.s. </w:t>
      </w:r>
      <w:proofErr w:type="spellStart"/>
      <w:r>
        <w:rPr>
          <w:sz w:val="20"/>
        </w:rPr>
        <w:t>förfuktade</w:t>
      </w:r>
      <w:proofErr w:type="spellEnd"/>
      <w:r>
        <w:rPr>
          <w:sz w:val="20"/>
        </w:rPr>
        <w:t xml:space="preserve"> personliga hygienservetter och hushållsservetter;</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ballonger, med undantag för ballonger som inte distribueras till konsumenter och som är avsedda för industriell eller annan yrkesmässig användning och konsumtion.</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lätta plastbärkassar.</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bindor, tamponger och tampongapplikatorer.’. Fotnoterna 162 till 164 ska ha följande lydelse:</w:t>
      </w:r>
    </w:p>
    <w:p w14:paraId="159DB5FD" w14:textId="77777777" w:rsidR="00E30B60" w:rsidRDefault="00CB547F">
      <w:pPr>
        <w:spacing w:line="244" w:lineRule="auto"/>
        <w:ind w:left="729" w:right="103"/>
        <w:jc w:val="both"/>
        <w:rPr>
          <w:sz w:val="18"/>
        </w:rPr>
      </w:pPr>
      <w:r>
        <w:rPr>
          <w:sz w:val="18"/>
        </w:rPr>
        <w:t>”</w:t>
      </w:r>
      <w:r>
        <w:rPr>
          <w:sz w:val="10"/>
        </w:rPr>
        <w:t>162</w:t>
      </w:r>
      <w:r>
        <w:rPr>
          <w:sz w:val="18"/>
        </w:rPr>
        <w:t>) Till exempel lag nr 362/2011 om läkemedel och medicintekniska produkter och om ändringar av vissa lagar, i dess ändrade lydelse, lag nr 362/2011 om läkemedel och medicintekniska produkter och om ändringar av vissa lagar, i dess ändrade lydelse.</w:t>
      </w:r>
    </w:p>
    <w:p w14:paraId="5E5B56BE" w14:textId="62F04962" w:rsidR="00E30B60" w:rsidRDefault="00CB547F">
      <w:pPr>
        <w:spacing w:before="99" w:line="244" w:lineRule="auto"/>
        <w:ind w:left="729" w:right="103"/>
        <w:jc w:val="both"/>
        <w:rPr>
          <w:sz w:val="18"/>
        </w:rPr>
      </w:pPr>
      <w:r>
        <w:rPr>
          <w:sz w:val="10"/>
        </w:rPr>
        <w:t>163</w:t>
      </w:r>
      <w:r>
        <w:rPr>
          <w:sz w:val="18"/>
        </w:rPr>
        <w:t>) Europaparlamentets och rådets förordning (EU) nr 609/2013 av den 12 juni 2013 om livsmedel avsedda för spädbarn och småbarn, livsmedel för speciella medicinska ändamål och total dietersättning för viktkontroll och om upphävande av rådets direktiv 92/52/EEG, kommissionens direktiv 96/8/EG, 1999/21/EG, 2006/125/EG och 2006/141/EG, Europaparlamentets och rådets direktiv 2009/39/EG och kommissionens förordningar (EG) nr 41/2009 (EG) nr 953/2009 (EUT L 181, 29.6.2013), i sin ändrade lydelse.'</w:t>
      </w:r>
    </w:p>
    <w:p w14:paraId="711B9AD3" w14:textId="77777777" w:rsidR="00E30B60" w:rsidRDefault="00CB547F">
      <w:pPr>
        <w:spacing w:before="103" w:line="244" w:lineRule="auto"/>
        <w:ind w:left="729" w:right="103"/>
        <w:jc w:val="both"/>
        <w:rPr>
          <w:sz w:val="18"/>
        </w:rPr>
      </w:pPr>
      <w:r>
        <w:rPr>
          <w:sz w:val="10"/>
        </w:rPr>
        <w:t>164</w:t>
      </w:r>
      <w:r>
        <w:rPr>
          <w:sz w:val="18"/>
        </w:rPr>
        <w:t>) § 52(27)</w:t>
      </w:r>
      <w:r>
        <w:t xml:space="preserve"> i lag nr 79/2015 om avfall och om ändringar av vissa rättsakter i dess ändrade lydelse.”</w:t>
      </w:r>
    </w:p>
    <w:p w14:paraId="4B0F8EC2" w14:textId="77777777" w:rsidR="00E30B60" w:rsidRDefault="00CB547F">
      <w:pPr>
        <w:pStyle w:val="BodyText"/>
        <w:spacing w:before="205"/>
        <w:ind w:left="105" w:right="105"/>
        <w:jc w:val="center"/>
        <w:rPr>
          <w:b/>
        </w:rPr>
      </w:pPr>
      <w:r>
        <w:rPr>
          <w:b/>
        </w:rPr>
        <w:t>Artikel II</w:t>
      </w:r>
    </w:p>
    <w:p w14:paraId="2EE476EE" w14:textId="2C3D0D68" w:rsidR="00E30B60" w:rsidRDefault="00CB547F">
      <w:pPr>
        <w:pStyle w:val="BodyText"/>
        <w:spacing w:before="217" w:line="276" w:lineRule="auto"/>
        <w:ind w:left="105" w:right="103" w:firstLine="226"/>
        <w:jc w:val="both"/>
      </w:pPr>
      <w:r>
        <w:t>Lag nr 302/2019 om ett system för retur av engångsförpackningar för drycker och om ändring av vissa rättsakter, i dess ändrade lydelse enligt lag nr 74/2020, lag nr 285/2020 och lag nr 372/2021 ska ändras på följande sätt:</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I § 4(1)(h) ska orden ”(l) och (m)” ersättas med ”(l), (m) och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I § 7(1) ska följande punkt v) läggas till:</w:t>
      </w:r>
    </w:p>
    <w:p w14:paraId="05E6705E" w14:textId="1AC38935" w:rsidR="00E30B60" w:rsidRDefault="00CB547F">
      <w:pPr>
        <w:pStyle w:val="BodyText"/>
        <w:spacing w:before="105" w:line="244" w:lineRule="auto"/>
        <w:ind w:left="785" w:right="103" w:hanging="397"/>
        <w:jc w:val="both"/>
      </w:pPr>
      <w:r>
        <w:t>”(v) rapporter till ministeriet om innehållet i återvunnen plast i produkter i enlighet med en förpackningstillverkares skyldigheter enligt särskild lagstiftning</w:t>
      </w:r>
      <w:r>
        <w:rPr>
          <w:sz w:val="10"/>
        </w:rPr>
        <w:t>11a</w:t>
      </w:r>
      <w:r>
        <w:t>) senast den 30 april för det föregående kalenderåret.”</w:t>
      </w:r>
    </w:p>
    <w:p w14:paraId="747169BD" w14:textId="77777777" w:rsidR="00E30B60" w:rsidRDefault="00CB547F">
      <w:pPr>
        <w:pStyle w:val="BodyText"/>
        <w:spacing w:before="102"/>
        <w:ind w:left="615"/>
        <w:jc w:val="both"/>
      </w:pPr>
      <w:r>
        <w:t>Fotnot 11a ska lyda enligt följande:</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w:t>
      </w:r>
      <w:r>
        <w:t xml:space="preserve"> § 75</w:t>
      </w:r>
      <w:proofErr w:type="gramStart"/>
      <w:r>
        <w:t>d(</w:t>
      </w:r>
      <w:proofErr w:type="gramEnd"/>
      <w:r>
        <w:t>4), och (5) i lag nr 79/2015 om avfall och om ändringar av vissa rättsakter, i dess ändrade lydelse.”</w:t>
      </w:r>
    </w:p>
    <w:p w14:paraId="3C4273E1" w14:textId="53C00414" w:rsidR="00E30B60" w:rsidRPr="00ED1191" w:rsidRDefault="00CB547F" w:rsidP="00ED1191">
      <w:pPr>
        <w:pStyle w:val="ListParagraph"/>
        <w:numPr>
          <w:ilvl w:val="0"/>
          <w:numId w:val="1"/>
        </w:numPr>
        <w:tabs>
          <w:tab w:val="left" w:pos="389"/>
        </w:tabs>
        <w:spacing w:before="102"/>
        <w:ind w:right="0"/>
        <w:jc w:val="both"/>
        <w:rPr>
          <w:sz w:val="20"/>
        </w:rPr>
      </w:pPr>
      <w:r>
        <w:rPr>
          <w:sz w:val="20"/>
        </w:rPr>
        <w:t xml:space="preserve">I § 13(i) ska ett kommatecken införas efter texten ”(p) till (s)”, och texten ”och (u)” ska ersättas </w:t>
      </w:r>
      <w:r>
        <w:rPr>
          <w:sz w:val="20"/>
        </w:rPr>
        <w:lastRenderedPageBreak/>
        <w:t>med ”(u) och (v)”.</w:t>
      </w:r>
    </w:p>
    <w:p w14:paraId="5C64465E" w14:textId="77777777" w:rsidR="00E30B60" w:rsidRDefault="00CB547F">
      <w:pPr>
        <w:pStyle w:val="ListParagraph"/>
        <w:numPr>
          <w:ilvl w:val="0"/>
          <w:numId w:val="1"/>
        </w:numPr>
        <w:tabs>
          <w:tab w:val="left" w:pos="389"/>
        </w:tabs>
        <w:spacing w:before="125"/>
        <w:ind w:right="0"/>
        <w:rPr>
          <w:sz w:val="20"/>
        </w:rPr>
      </w:pPr>
      <w:r>
        <w:rPr>
          <w:sz w:val="20"/>
        </w:rPr>
        <w:t>I artikel IV ska texten ”och § 103(23), punkt (5)” utgå, och följande text ska läggas till i slutet:</w:t>
      </w:r>
    </w:p>
    <w:p w14:paraId="0DEC76DE" w14:textId="77777777" w:rsidR="00E30B60" w:rsidRDefault="00CB547F">
      <w:pPr>
        <w:pStyle w:val="BodyText"/>
        <w:spacing w:before="6"/>
        <w:ind w:left="388"/>
      </w:pPr>
      <w:r>
        <w:t>”och med undantag för artikel III, § 103(23) punkt (5), som träder i kraft den 1 januari 2023”.</w:t>
      </w:r>
    </w:p>
    <w:p w14:paraId="4398D9A5" w14:textId="77777777" w:rsidR="00E30B60" w:rsidRDefault="00CB547F">
      <w:pPr>
        <w:pStyle w:val="ListParagraph"/>
        <w:numPr>
          <w:ilvl w:val="0"/>
          <w:numId w:val="1"/>
        </w:numPr>
        <w:tabs>
          <w:tab w:val="left" w:pos="389"/>
        </w:tabs>
        <w:spacing w:before="105"/>
        <w:ind w:right="0"/>
        <w:rPr>
          <w:sz w:val="20"/>
        </w:rPr>
      </w:pPr>
      <w:r>
        <w:rPr>
          <w:sz w:val="20"/>
        </w:rPr>
        <w:t>Den befintliga texten i bilaga 2 ska märkas som punkt ett och följande punkt två ska läggas till:</w:t>
      </w:r>
    </w:p>
    <w:p w14:paraId="59E27538" w14:textId="77777777" w:rsidR="00E30B60" w:rsidRDefault="00CB547F">
      <w:pPr>
        <w:pStyle w:val="BodyText"/>
        <w:spacing w:before="105" w:line="244" w:lineRule="auto"/>
        <w:ind w:left="785" w:hanging="397"/>
      </w:pPr>
      <w:r>
        <w:t>‘2.Europaparlamentets och rådets direktiv (EU) 2019/904 av den 5 juni 2019 om minskning av vissa plastprodukters inverkan på miljön (EUT L 155, 12.6.2019).’.</w:t>
      </w:r>
    </w:p>
    <w:p w14:paraId="5FB7BCDC" w14:textId="77777777" w:rsidR="00E30B60" w:rsidRDefault="00CB547F">
      <w:pPr>
        <w:pStyle w:val="BodyText"/>
        <w:spacing w:before="204"/>
        <w:ind w:left="105" w:right="105"/>
        <w:jc w:val="center"/>
        <w:rPr>
          <w:b/>
        </w:rPr>
      </w:pPr>
      <w:r>
        <w:rPr>
          <w:b/>
        </w:rPr>
        <w:t>Artikel III</w:t>
      </w:r>
    </w:p>
    <w:p w14:paraId="26D523C2" w14:textId="77777777" w:rsidR="00E30B60" w:rsidRDefault="00CB547F">
      <w:pPr>
        <w:pStyle w:val="BodyText"/>
        <w:spacing w:before="217" w:line="276" w:lineRule="auto"/>
        <w:ind w:left="105" w:right="103" w:firstLine="226"/>
        <w:jc w:val="both"/>
      </w:pPr>
      <w:r>
        <w:t>Denna lag träder i kraft den 1 december 2021, med undantag för artikel I punkterna 3, 6 § 75</w:t>
      </w:r>
      <w:proofErr w:type="gramStart"/>
      <w:r>
        <w:t>f(</w:t>
      </w:r>
      <w:proofErr w:type="gramEnd"/>
      <w:r>
        <w:t>1) och punkt 11, som träder i kraft den 1 januari 2022, artikel I punkt 6 i § 75d(1), som träder i kraft den 3 juli 2024, artikel I punkt 6 i § 75f(d) och (6), som träder i kraft den 1 december 2021, artikel I punkt 6 § 75d(4)(a), som träder i kraft den 1 januari 2025 och artikel I punkt 6 § 75d(4)(b), som träder i kraft den 1 januari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 xml:space="preserve">Zuzana </w:t>
      </w:r>
      <w:proofErr w:type="spellStart"/>
      <w:r>
        <w:rPr>
          <w:b/>
        </w:rPr>
        <w:t>Čaputová</w:t>
      </w:r>
      <w:proofErr w:type="spellEnd"/>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Eduard </w:t>
      </w:r>
      <w:proofErr w:type="spellStart"/>
      <w:r>
        <w:rPr>
          <w:b/>
        </w:rPr>
        <w:t>Heger</w:t>
      </w:r>
      <w:proofErr w:type="spellEnd"/>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4EE766A1" w:rsidR="00E30B60" w:rsidRDefault="0071043D">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Sida 11</w:t>
      </w:r>
      <w:r w:rsidR="00ED1191">
        <w:tab/>
      </w:r>
      <w:r w:rsidR="00D0358C">
        <w:t xml:space="preserve">Republiken Slovakiens Lagsamling </w:t>
      </w:r>
      <w:r w:rsidR="00D0358C">
        <w:tab/>
      </w:r>
      <w:r w:rsidR="00ED1191">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71043D">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Utgivaren av Republiken Slovakiens lagsamling, innehållsadministratören och innehållsoperatören för lagstiftnings- och informationsportalen </w:t>
      </w:r>
      <w:proofErr w:type="spellStart"/>
      <w:r>
        <w:rPr>
          <w:sz w:val="18"/>
        </w:rPr>
        <w:t>Slov</w:t>
      </w:r>
      <w:proofErr w:type="spellEnd"/>
      <w:r>
        <w:rPr>
          <w:sz w:val="18"/>
        </w:rPr>
        <w:t xml:space="preserve">-Lex, som finns tillgänglig via </w:t>
      </w:r>
      <w:hyperlink r:id="rId10">
        <w:r>
          <w:rPr>
            <w:sz w:val="18"/>
          </w:rPr>
          <w:t>www.slov-lex.sk</w:t>
        </w:r>
      </w:hyperlink>
      <w:r>
        <w:rPr>
          <w:sz w:val="18"/>
        </w:rPr>
        <w:t>, är</w:t>
      </w:r>
    </w:p>
    <w:p w14:paraId="38FEE7A0" w14:textId="77777777" w:rsidR="00E30B60" w:rsidRDefault="00CB547F">
      <w:pPr>
        <w:spacing w:before="1" w:line="244" w:lineRule="auto"/>
        <w:ind w:left="1754" w:right="1752"/>
        <w:jc w:val="center"/>
        <w:rPr>
          <w:sz w:val="18"/>
        </w:rPr>
      </w:pPr>
      <w:r>
        <w:rPr>
          <w:sz w:val="18"/>
        </w:rPr>
        <w:t xml:space="preserve">Kontoret för Slovakiens regering,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tfn:02 888 91 131, e-post:</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E2E6" w14:textId="77777777" w:rsidR="0071043D" w:rsidRDefault="0071043D">
      <w:r>
        <w:separator/>
      </w:r>
    </w:p>
  </w:endnote>
  <w:endnote w:type="continuationSeparator" w:id="0">
    <w:p w14:paraId="2221AE32" w14:textId="77777777" w:rsidR="0071043D" w:rsidRDefault="0071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F307" w14:textId="77777777" w:rsidR="0071043D" w:rsidRDefault="0071043D">
      <w:r>
        <w:separator/>
      </w:r>
    </w:p>
  </w:footnote>
  <w:footnote w:type="continuationSeparator" w:id="0">
    <w:p w14:paraId="19E4E185" w14:textId="77777777" w:rsidR="0071043D" w:rsidRDefault="0071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71043D">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Sida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Republiken Slovakiens lagsamling</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7777777" w:rsidR="00E30B60" w:rsidRDefault="0071043D">
    <w:pPr>
      <w:pStyle w:val="BodyText"/>
      <w:spacing w:line="14" w:lineRule="auto"/>
    </w:pP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type id="_x0000_t202" coordsize="21600,21600" o:spt="202" path="m,l,21600r21600,l21600,xe">
          <v:stroke joinstyle="miter"/>
          <v:path gradientshapeok="t" o:connecttype="rect"/>
        </v:shapetype>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Republiken Slovakiens lagsamling</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Sida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36D71"/>
    <w:rsid w:val="00470FBD"/>
    <w:rsid w:val="0071043D"/>
    <w:rsid w:val="00C66685"/>
    <w:rsid w:val="00CB547F"/>
    <w:rsid w:val="00D0358C"/>
    <w:rsid w:val="00E30B60"/>
    <w:rsid w:val="00ED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3763</Words>
  <Characters>21826</Characters>
  <Application>Microsoft Office Word</Application>
  <DocSecurity>0</DocSecurity>
  <Lines>485</Lines>
  <Paragraphs>243</Paragraphs>
  <ScaleCrop>false</ScaleCrop>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2022-03-29T08:37:00Z</dcterms:created>
  <dcterms:modified xsi:type="dcterms:W3CDTF">2022-03-29T08:46:00Z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