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7F6" w:rsidRDefault="008B17F6" w:rsidP="008B17F6">
      <w:pPr>
        <w:autoSpaceDE w:val="0"/>
        <w:autoSpaceDN w:val="0"/>
        <w:adjustRightInd w:val="0"/>
        <w:spacing w:after="0" w:line="240" w:lineRule="auto"/>
        <w:rPr>
          <w:sz w:val="20"/>
          <w:szCs w:val="20"/>
          <w:rFonts w:ascii="Courier New" w:hAnsi="Courier New" w:cs="Courier New"/>
        </w:rPr>
      </w:pPr>
      <w:r>
        <w:rPr>
          <w:sz w:val="20"/>
          <w:szCs w:val="20"/>
          <w:rFonts w:ascii="Courier New" w:hAnsi="Courier New"/>
        </w:rPr>
        <w:t xml:space="preserve">1.</w:t>
      </w:r>
      <w:r>
        <w:rPr>
          <w:sz w:val="20"/>
          <w:szCs w:val="20"/>
          <w:rFonts w:ascii="Courier New" w:hAnsi="Courier New"/>
        </w:rPr>
        <w:t xml:space="preserve"> </w:t>
      </w:r>
      <w:r>
        <w:rPr>
          <w:sz w:val="20"/>
          <w:szCs w:val="20"/>
          <w:rFonts w:ascii="Courier New" w:hAnsi="Courier New"/>
        </w:rPr>
        <w:t xml:space="preserve">------IND- 2019 0198 F-- ET- ------ 20200714 --- --- FINAL</w:t>
      </w:r>
    </w:p>
    <w:p w:rsidR="008B17F6" w:rsidRDefault="008B17F6" w:rsidP="008B17F6">
      <w:pPr>
        <w:widowControl w:val="0"/>
        <w:autoSpaceDE w:val="0"/>
        <w:autoSpaceDN w:val="0"/>
        <w:adjustRightInd w:val="0"/>
        <w:spacing w:after="0" w:line="240" w:lineRule="auto"/>
        <w:jc w:val="center"/>
        <w:rPr>
          <w:rFonts w:ascii="Arial" w:hAnsi="Arial" w:cs="Arial"/>
          <w:sz w:val="24"/>
          <w:szCs w:val="24"/>
        </w:rPr>
      </w:pPr>
    </w:p>
    <w:p w:rsidR="002323B1" w:rsidRPr="00C77741" w:rsidRDefault="003034D9">
      <w:pPr>
        <w:widowControl w:val="0"/>
        <w:autoSpaceDE w:val="0"/>
        <w:autoSpaceDN w:val="0"/>
        <w:adjustRightInd w:val="0"/>
        <w:spacing w:after="0" w:line="240" w:lineRule="auto"/>
        <w:jc w:val="right"/>
        <w:rPr>
          <w:sz w:val="24"/>
          <w:szCs w:val="24"/>
          <w:rFonts w:ascii="Arial" w:hAnsi="Arial" w:cs="Arial"/>
        </w:rPr>
      </w:pPr>
      <w:r>
        <w:rPr>
          <w:sz w:val="24"/>
          <w:szCs w:val="24"/>
          <w:rFonts w:ascii="Arial" w:hAnsi="Arial"/>
        </w:rPr>
        <w:t xml:space="preserve">25. oktoober 2019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jc w:val="center"/>
        <w:rPr>
          <w:sz w:val="24"/>
          <w:szCs w:val="24"/>
          <w:rFonts w:ascii="Arial" w:hAnsi="Arial" w:cs="Arial"/>
        </w:rPr>
      </w:pPr>
      <w:r>
        <w:rPr>
          <w:sz w:val="24"/>
          <w:szCs w:val="24"/>
          <w:rFonts w:ascii="Arial" w:hAnsi="Arial"/>
        </w:rPr>
        <w:t xml:space="preserve">JORF nr°0249, 25. oktoober 2019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jc w:val="center"/>
        <w:rPr>
          <w:sz w:val="24"/>
          <w:szCs w:val="24"/>
          <w:rFonts w:ascii="Arial" w:hAnsi="Arial" w:cs="Arial"/>
        </w:rPr>
      </w:pPr>
      <w:r>
        <w:rPr>
          <w:sz w:val="24"/>
          <w:szCs w:val="24"/>
          <w:rFonts w:ascii="Arial" w:hAnsi="Arial"/>
        </w:rPr>
        <w:t xml:space="preserve">Tekst nr 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jc w:val="center"/>
        <w:rPr>
          <w:sz w:val="24"/>
          <w:szCs w:val="24"/>
          <w:rFonts w:ascii="Arial" w:hAnsi="Arial" w:cs="Arial"/>
        </w:rPr>
      </w:pPr>
      <w:r>
        <w:rPr>
          <w:b/>
          <w:bCs/>
          <w:sz w:val="24"/>
          <w:szCs w:val="24"/>
          <w:rFonts w:ascii="Arial" w:hAnsi="Arial"/>
        </w:rPr>
        <w:t xml:space="preserve">23. oktoobri 2019. aasta dekreet nr 2019-1082 individuaalsõidukeid käsitlevate eeskirjade kohta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jc w:val="center"/>
        <w:rPr>
          <w:sz w:val="24"/>
          <w:szCs w:val="24"/>
          <w:rFonts w:ascii="Arial" w:hAnsi="Arial" w:cs="Arial"/>
        </w:rPr>
      </w:pPr>
      <w:r>
        <w:rPr>
          <w:sz w:val="24"/>
          <w:szCs w:val="24"/>
          <w:rFonts w:ascii="Arial" w:hAnsi="Arial"/>
        </w:rPr>
        <w:t xml:space="preserve">NOR:</w:t>
      </w:r>
      <w:r>
        <w:rPr>
          <w:sz w:val="24"/>
          <w:szCs w:val="24"/>
          <w:rFonts w:ascii="Arial" w:hAnsi="Arial"/>
        </w:rPr>
        <w:t xml:space="preserve"> </w:t>
      </w:r>
      <w:r>
        <w:rPr>
          <w:sz w:val="24"/>
          <w:szCs w:val="24"/>
          <w:rFonts w:ascii="Arial" w:hAnsi="Arial"/>
        </w:rPr>
        <w:t xml:space="preserve">INTS1913464D</w:t>
      </w:r>
    </w:p>
    <w:p w:rsidR="002323B1" w:rsidRPr="00C77741" w:rsidRDefault="002323B1">
      <w:pPr>
        <w:widowControl w:val="0"/>
        <w:autoSpaceDE w:val="0"/>
        <w:autoSpaceDN w:val="0"/>
        <w:adjustRightInd w:val="0"/>
        <w:spacing w:after="0" w:line="240" w:lineRule="auto"/>
        <w:rPr>
          <w:rFonts w:ascii="Arial" w:hAnsi="Arial" w:cs="Arial"/>
          <w:sz w:val="24"/>
          <w:szCs w:val="24"/>
          <w:lang w:val="en-US"/>
        </w:rPr>
      </w:pPr>
    </w:p>
    <w:p w:rsidR="002323B1" w:rsidRPr="00C77741" w:rsidRDefault="002323B1">
      <w:pPr>
        <w:widowControl w:val="0"/>
        <w:autoSpaceDE w:val="0"/>
        <w:autoSpaceDN w:val="0"/>
        <w:adjustRightInd w:val="0"/>
        <w:spacing w:after="0" w:line="240" w:lineRule="auto"/>
        <w:rPr>
          <w:rFonts w:ascii="Arial" w:hAnsi="Arial" w:cs="Arial"/>
          <w:sz w:val="24"/>
          <w:szCs w:val="24"/>
          <w:lang w:val="en-US"/>
        </w:rPr>
      </w:pPr>
    </w:p>
    <w:p w:rsidR="002323B1" w:rsidRPr="00C77741" w:rsidRDefault="003034D9">
      <w:pPr>
        <w:widowControl w:val="0"/>
        <w:autoSpaceDE w:val="0"/>
        <w:autoSpaceDN w:val="0"/>
        <w:adjustRightInd w:val="0"/>
        <w:spacing w:after="0" w:line="240" w:lineRule="auto"/>
        <w:jc w:val="center"/>
        <w:rPr>
          <w:sz w:val="24"/>
          <w:szCs w:val="24"/>
          <w:rFonts w:ascii="Arial" w:hAnsi="Arial" w:cs="Arial"/>
        </w:rPr>
      </w:pPr>
      <w:r>
        <w:rPr>
          <w:sz w:val="20"/>
          <w:szCs w:val="20"/>
          <w:rFonts w:ascii="Arial" w:hAnsi="Arial"/>
        </w:rPr>
        <w:t xml:space="preserve">ELI: https://www.legifrance.gouv.fr/eli/decret/2019/10/23/INTS1913464D/jo/texte</w:t>
      </w:r>
    </w:p>
    <w:p w:rsidR="002323B1" w:rsidRPr="00C77741" w:rsidRDefault="003034D9">
      <w:pPr>
        <w:widowControl w:val="0"/>
        <w:autoSpaceDE w:val="0"/>
        <w:autoSpaceDN w:val="0"/>
        <w:adjustRightInd w:val="0"/>
        <w:spacing w:after="0" w:line="240" w:lineRule="auto"/>
        <w:jc w:val="center"/>
        <w:rPr>
          <w:sz w:val="24"/>
          <w:szCs w:val="24"/>
          <w:rFonts w:ascii="Arial" w:hAnsi="Arial" w:cs="Arial"/>
        </w:rPr>
      </w:pPr>
      <w:r>
        <w:rPr>
          <w:sz w:val="20"/>
          <w:szCs w:val="20"/>
          <w:rFonts w:ascii="Arial" w:hAnsi="Arial"/>
        </w:rPr>
        <w:t xml:space="preserve">Alias: https://www.legifrance.gouv.fr/eli/decret/2019/10/23/2019-1082/jo/texte</w:t>
      </w:r>
    </w:p>
    <w:p w:rsidR="002323B1" w:rsidRPr="00C77741" w:rsidRDefault="002323B1">
      <w:pPr>
        <w:widowControl w:val="0"/>
        <w:autoSpaceDE w:val="0"/>
        <w:autoSpaceDN w:val="0"/>
        <w:adjustRightInd w:val="0"/>
        <w:spacing w:after="0" w:line="240" w:lineRule="auto"/>
        <w:rPr>
          <w:rFonts w:ascii="Arial" w:hAnsi="Arial" w:cs="Arial"/>
          <w:sz w:val="24"/>
          <w:szCs w:val="24"/>
          <w:lang w:val="pt-PT"/>
        </w:rPr>
      </w:pPr>
    </w:p>
    <w:p w:rsidR="002323B1" w:rsidRPr="00C77741" w:rsidRDefault="002323B1">
      <w:pPr>
        <w:widowControl w:val="0"/>
        <w:autoSpaceDE w:val="0"/>
        <w:autoSpaceDN w:val="0"/>
        <w:adjustRightInd w:val="0"/>
        <w:spacing w:after="0" w:line="240" w:lineRule="auto"/>
        <w:rPr>
          <w:rFonts w:ascii="Arial" w:hAnsi="Arial" w:cs="Arial"/>
          <w:sz w:val="24"/>
          <w:szCs w:val="24"/>
          <w:lang w:val="pt-PT"/>
        </w:rPr>
      </w:pPr>
    </w:p>
    <w:p w:rsidR="002323B1" w:rsidRPr="00C77741" w:rsidRDefault="002323B1">
      <w:pPr>
        <w:widowControl w:val="0"/>
        <w:autoSpaceDE w:val="0"/>
        <w:autoSpaceDN w:val="0"/>
        <w:adjustRightInd w:val="0"/>
        <w:spacing w:after="0" w:line="240" w:lineRule="auto"/>
        <w:rPr>
          <w:rFonts w:ascii="Arial" w:hAnsi="Arial" w:cs="Arial"/>
          <w:sz w:val="24"/>
          <w:szCs w:val="24"/>
          <w:lang w:val="pt-PT"/>
        </w:rPr>
      </w:pPr>
    </w:p>
    <w:p w:rsidR="002323B1" w:rsidRPr="00C77741" w:rsidRDefault="002323B1">
      <w:pPr>
        <w:widowControl w:val="0"/>
        <w:autoSpaceDE w:val="0"/>
        <w:autoSpaceDN w:val="0"/>
        <w:adjustRightInd w:val="0"/>
        <w:spacing w:after="0" w:line="240" w:lineRule="auto"/>
        <w:rPr>
          <w:rFonts w:ascii="Arial" w:hAnsi="Arial" w:cs="Arial"/>
          <w:sz w:val="24"/>
          <w:szCs w:val="24"/>
          <w:lang w:val="pt-PT"/>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Sihtrühmad: teede kasutajad, kohalikud omavalitsused, korrakaitseorganid.</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Teema</w:t>
      </w:r>
      <w:r>
        <w:rPr>
          <w:sz w:val="24"/>
          <w:szCs w:val="24"/>
          <w:rFonts w:ascii="Arial" w:hAnsi="Arial"/>
        </w:rPr>
        <w:t xml:space="preserve">: individuaalsõidukite tehniliste omaduste ja kasutustingimuste sätestamine.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Jõustumine: tekst jõustub selle avaldamisele järgneval päeval, v.a dekreedi eelnõu artiklid 4, 5, 7, 8 ja 11, mis jõustuvad 1. juulil 2020.</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Märkus: tekstis määratletakse individuaalmootorsõidukid liiklusseadustikus uute sõidukikategooriatena.</w:t>
      </w:r>
      <w:r>
        <w:rPr>
          <w:sz w:val="24"/>
          <w:szCs w:val="24"/>
          <w:rFonts w:ascii="Arial" w:hAnsi="Arial"/>
        </w:rPr>
        <w:t xml:space="preserve"> </w:t>
      </w:r>
      <w:r>
        <w:rPr>
          <w:sz w:val="24"/>
          <w:szCs w:val="24"/>
          <w:rFonts w:ascii="Arial" w:hAnsi="Arial"/>
        </w:rPr>
        <w:t xml:space="preserve">Selles määratletakse nende tehnilised omadused ja kasutamine avalikel teedel.</w:t>
      </w:r>
      <w:r>
        <w:rPr>
          <w:sz w:val="24"/>
          <w:szCs w:val="24"/>
          <w:rFonts w:ascii="Arial" w:hAnsi="Arial"/>
        </w:rPr>
        <w:t xml:space="preserve"> </w:t>
      </w:r>
      <w:r>
        <w:rPr>
          <w:sz w:val="24"/>
          <w:szCs w:val="24"/>
          <w:rFonts w:ascii="Arial" w:hAnsi="Arial"/>
        </w:rPr>
        <w:t xml:space="preserve">Täpsemalt nähakse selles ette varustus, mida nende liikumisvahendite juhid peavad kandma, ning liiklusalad, kus kõnealused juhid peavad ja võivad asulates ja väljaspool asulaid liigelda.</w:t>
      </w:r>
      <w:r>
        <w:rPr>
          <w:sz w:val="24"/>
          <w:szCs w:val="24"/>
          <w:rFonts w:ascii="Arial" w:hAnsi="Arial"/>
        </w:rPr>
        <w:t xml:space="preserve"> </w:t>
      </w:r>
      <w:r>
        <w:rPr>
          <w:sz w:val="24"/>
          <w:szCs w:val="24"/>
          <w:rFonts w:ascii="Arial" w:hAnsi="Arial"/>
        </w:rPr>
        <w:t xml:space="preserve">Selles reguleeritakse liikluspolitsei volitusi omavale asutusele pakutavaid võimalusi üldisest raamistikust kõrvale kalduda, kuna see asutus võib eeskätt reguleerida liiklemist kõnniteel või teatavatel tingimustel teedel, mille suurim lubatud kiirus on 80 km/h või väiksem.</w:t>
      </w:r>
      <w:r>
        <w:rPr>
          <w:sz w:val="24"/>
          <w:szCs w:val="24"/>
          <w:rFonts w:ascii="Arial" w:hAnsi="Arial"/>
        </w:rPr>
        <w:t xml:space="preserve"> </w:t>
      </w:r>
      <w:r>
        <w:rPr>
          <w:sz w:val="24"/>
          <w:szCs w:val="24"/>
          <w:rFonts w:ascii="Arial" w:hAnsi="Arial"/>
        </w:rPr>
        <w:t xml:space="preserve">Samuti kehtestatakse selles individuaalsõidukite juhtidele ette nähtud karistused neile kohaldatavate sätete mittetäitmise korral.</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Viide</w:t>
      </w:r>
      <w:r>
        <w:rPr>
          <w:sz w:val="24"/>
          <w:szCs w:val="24"/>
          <w:rFonts w:ascii="Arial" w:hAnsi="Arial"/>
        </w:rPr>
        <w:t xml:space="preserve">: liiklusseadustikuga saab käesolevast muudatusest tulenevas redaktsioonis tutvuda Prantsuse õigusaktide veebisaidil Légifrance (</w:t>
      </w:r>
      <w:r>
        <w:rPr>
          <w:sz w:val="24"/>
          <w:szCs w:val="24"/>
          <w:rFonts w:ascii="Arial" w:hAnsi="Arial"/>
        </w:rPr>
        <w:t xml:space="preserve">http://www.legifrance.gouv.fr</w:t>
      </w:r>
      <w:r>
        <w:rPr>
          <w:sz w:val="24"/>
          <w:szCs w:val="24"/>
          <w:rFonts w:ascii="Arial" w:hAnsi="Arial"/>
        </w:rPr>
        <w:t xml:space="preserv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Peaminister,</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olles tutvunud siseministri aruandega,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võttes arvesse Euroopa Parlamendi ja nõukogu 15. jaanuari 2013. aasta määrust (EL) nr 168/2013 kahe-, kolme- ja neljarattaliste sõidukite kinnituse ja turujärelevalve kohta, eelkõige selle artiklit 2 ja artikli 3 lõiget 71,</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võttes arvesse Euroopa Parlamendi ja nõukogu 9. septembri 2015. aasta direktiivi (EL) 2015/1535, millega nähakse ette tehnilistest eeskirjadest ning infoühiskonna teenuste eeskirjadest teatamise kord, koos Euroopa Komisjonile 6. mail 2019 adresseeritud teatisega nr 2019/198/F,</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võttes arvesse karistusseadustikku, eelkõige selle artiklit R. 610-1,</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võttes arvesse liiklusseadustikku,</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võttes arvesse liiklusohutuse alalise ministeeriumidevahelise töörühma 6. mai ja 25. septembri 2019. aasta arvamust,</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võttes arvesse standardite hindamise riiginõukogu 9. mai ja 3. oktoobri 2019. aasta arvamust,</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olles kuulanud ära riiginõukogu (avalike tööde osakonna),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võtab vastu järgmise dekreedi:</w:t>
      </w:r>
      <w:r>
        <w:rPr>
          <w:sz w:val="24"/>
          <w:szCs w:val="24"/>
          <w:rFonts w:ascii="Arial" w:hAnsi="Arial"/>
        </w:rPr>
        <w:t xml:space="preserve"> </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Artikkel 1</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Liiklusseadustikku muudetakse vastavalt käesoleva dekreedi artiklite 2–29 sätetele.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Artikkel 2</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Artiklit R. 110-2 muudetakse järgmiselt:</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kolmandas lõigus asendatakse sõnad</w:t>
      </w:r>
      <w:r>
        <w:rPr>
          <w:sz w:val="24"/>
          <w:szCs w:val="24"/>
          <w:rFonts w:ascii="Arial" w:hAnsi="Arial"/>
        </w:rPr>
        <w:t xml:space="preserve"> </w:t>
      </w:r>
      <w:r>
        <w:rPr>
          <w:sz w:val="24"/>
          <w:szCs w:val="24"/>
          <w:rFonts w:ascii="Arial" w:hAnsi="Arial"/>
        </w:rPr>
        <w:t xml:space="preserve">„artiklis R. 431-9“ sõnadega</w:t>
      </w:r>
      <w:r>
        <w:rPr>
          <w:sz w:val="24"/>
          <w:szCs w:val="24"/>
          <w:rFonts w:ascii="Arial" w:hAnsi="Arial"/>
        </w:rPr>
        <w:t xml:space="preserve"> </w:t>
      </w:r>
      <w:r>
        <w:rPr>
          <w:sz w:val="24"/>
          <w:szCs w:val="24"/>
          <w:rFonts w:ascii="Arial" w:hAnsi="Arial"/>
        </w:rPr>
        <w:t xml:space="preserve">„artiklites R. 412-43-1 ja R. 431-9“;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viiendas ja üheteistkümnendas lõigus lisatakse sõnade</w:t>
      </w:r>
      <w:r>
        <w:rPr>
          <w:sz w:val="24"/>
          <w:szCs w:val="24"/>
          <w:rFonts w:ascii="Arial" w:hAnsi="Arial"/>
        </w:rPr>
        <w:t xml:space="preserve"> </w:t>
      </w:r>
      <w:r>
        <w:rPr>
          <w:sz w:val="24"/>
          <w:szCs w:val="24"/>
          <w:rFonts w:ascii="Arial" w:hAnsi="Arial"/>
        </w:rPr>
        <w:t xml:space="preserve">„kahe- või kolmerattalistele ratastele“ järele sõnad</w:t>
      </w:r>
      <w:r>
        <w:rPr>
          <w:sz w:val="24"/>
          <w:szCs w:val="24"/>
          <w:rFonts w:ascii="Arial" w:hAnsi="Arial"/>
        </w:rPr>
        <w:t xml:space="preserve"> </w:t>
      </w:r>
      <w:r>
        <w:rPr>
          <w:sz w:val="24"/>
          <w:szCs w:val="24"/>
          <w:rFonts w:ascii="Arial" w:hAnsi="Arial"/>
        </w:rPr>
        <w:t xml:space="preserve">„ja individuaalmootorsõidukitele“;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3. neljateistkümnendas lõigus lisatakse sõnade</w:t>
      </w:r>
      <w:r>
        <w:rPr>
          <w:sz w:val="24"/>
          <w:szCs w:val="24"/>
          <w:rFonts w:ascii="Arial" w:hAnsi="Arial"/>
        </w:rPr>
        <w:t xml:space="preserve"> </w:t>
      </w:r>
      <w:r>
        <w:rPr>
          <w:sz w:val="24"/>
          <w:szCs w:val="24"/>
          <w:rFonts w:ascii="Arial" w:hAnsi="Arial"/>
        </w:rPr>
        <w:t xml:space="preserve">„mootorita sõidukitele“ järele sõnad</w:t>
      </w:r>
      <w:r>
        <w:rPr>
          <w:sz w:val="24"/>
          <w:szCs w:val="24"/>
          <w:rFonts w:ascii="Arial" w:hAnsi="Arial"/>
        </w:rPr>
        <w:t xml:space="preserve"> </w:t>
      </w:r>
      <w:r>
        <w:rPr>
          <w:sz w:val="24"/>
          <w:szCs w:val="24"/>
          <w:rFonts w:ascii="Arial" w:hAnsi="Arial"/>
        </w:rPr>
        <w:t xml:space="preserve">„välja arvatud individuaalmootorsõidukid“;</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4. viieteistkümnendasse ja kuueteistkümnendasse lõiku lisatakse sõnade</w:t>
      </w:r>
      <w:r>
        <w:rPr>
          <w:sz w:val="24"/>
          <w:szCs w:val="24"/>
          <w:rFonts w:ascii="Arial" w:hAnsi="Arial"/>
        </w:rPr>
        <w:t xml:space="preserve"> </w:t>
      </w:r>
      <w:r>
        <w:rPr>
          <w:sz w:val="24"/>
          <w:szCs w:val="24"/>
          <w:rFonts w:ascii="Arial" w:hAnsi="Arial"/>
        </w:rPr>
        <w:t xml:space="preserve">„jalgratturitele kahesuunalised“ järele sõnad</w:t>
      </w:r>
      <w:r>
        <w:rPr>
          <w:sz w:val="24"/>
          <w:szCs w:val="24"/>
          <w:rFonts w:ascii="Arial" w:hAnsi="Arial"/>
        </w:rPr>
        <w:t xml:space="preserve"> </w:t>
      </w:r>
      <w:r>
        <w:rPr>
          <w:sz w:val="24"/>
          <w:szCs w:val="24"/>
          <w:rFonts w:ascii="Arial" w:hAnsi="Arial"/>
        </w:rPr>
        <w:t xml:space="preserve">„ja individuaalmootorsõidukite juhtidele“.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Artikkel 3</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Artikli R. 311-1 lõigu 6.13 järele lisatakse kolm lõiku järgmises sõnastuses:</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„6.14.</w:t>
      </w:r>
      <w:r>
        <w:rPr>
          <w:sz w:val="24"/>
          <w:szCs w:val="24"/>
          <w:rFonts w:ascii="Arial" w:hAnsi="Arial"/>
        </w:rPr>
        <w:t xml:space="preserve"> </w:t>
      </w:r>
      <w:r>
        <w:rPr>
          <w:sz w:val="24"/>
          <w:szCs w:val="24"/>
          <w:rFonts w:ascii="Arial" w:hAnsi="Arial"/>
        </w:rPr>
        <w:t xml:space="preserve">Individuaalsõiduk: mootoriga või mootorita isiklikuks liikumisvahendiks kasutatav seade;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„6.15.</w:t>
      </w:r>
      <w:r>
        <w:rPr>
          <w:sz w:val="24"/>
          <w:szCs w:val="24"/>
          <w:rFonts w:ascii="Arial" w:hAnsi="Arial"/>
        </w:rPr>
        <w:t xml:space="preserve"> </w:t>
      </w:r>
      <w:r>
        <w:rPr>
          <w:sz w:val="24"/>
          <w:szCs w:val="24"/>
          <w:rFonts w:ascii="Arial" w:hAnsi="Arial"/>
        </w:rPr>
        <w:t xml:space="preserve">Individuaalmootorsõiduk: ilma istekohata sõiduk, mis on mõeldud ja konstrueeritud ühe inimese transportimiseks ning millel puuduvad mis tahes osad kaupade transportimiseks ning mis on varustatud mootoriga, mis ei ole soojusmootor, või mittesoojusliku toega ning mille maksimaalne valmistajakiirus on üle 6 km/h ega ületa 25 km/h.</w:t>
      </w:r>
      <w:r>
        <w:rPr>
          <w:sz w:val="24"/>
          <w:szCs w:val="24"/>
          <w:rFonts w:ascii="Arial" w:hAnsi="Arial"/>
        </w:rPr>
        <w:t xml:space="preserve"> </w:t>
      </w:r>
      <w:r>
        <w:rPr>
          <w:sz w:val="24"/>
          <w:szCs w:val="24"/>
          <w:rFonts w:ascii="Arial" w:hAnsi="Arial"/>
        </w:rPr>
        <w:t xml:space="preserve">Sellel võivad olla tarvikud, näiteks väike korv või kott.</w:t>
      </w:r>
      <w:r>
        <w:rPr>
          <w:sz w:val="24"/>
          <w:szCs w:val="24"/>
          <w:rFonts w:ascii="Arial" w:hAnsi="Arial"/>
        </w:rPr>
        <w:t xml:space="preserve"> </w:t>
      </w:r>
      <w:r>
        <w:rPr>
          <w:sz w:val="24"/>
          <w:szCs w:val="24"/>
          <w:rFonts w:ascii="Arial" w:hAnsi="Arial"/>
        </w:rPr>
        <w:t xml:space="preserve">Tasakaaluliikuril, nagu on määratletud Euroopa Parlamendi ja nõukogu 15. jaanuari 2013. aasta määruse (EL) nr 168/2013 (kahe-, kolme- ja neljarattaliste sõidukite kinnituse ja turujärelevalve kohta) artikli 3 lõikes 71e, võib olla sadul.</w:t>
      </w:r>
      <w:r>
        <w:rPr>
          <w:sz w:val="24"/>
          <w:szCs w:val="24"/>
          <w:rFonts w:ascii="Arial" w:hAnsi="Arial"/>
        </w:rPr>
        <w:t xml:space="preserve"> </w:t>
      </w:r>
      <w:r>
        <w:rPr>
          <w:sz w:val="24"/>
          <w:szCs w:val="24"/>
          <w:rFonts w:ascii="Arial" w:hAnsi="Arial"/>
        </w:rPr>
        <w:t xml:space="preserve">Sellesse kategooriasse ei kuulu ainult piiratud liikumisvõimega isikutele mõeldud sõidukid;</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„6.16.</w:t>
      </w:r>
      <w:r>
        <w:rPr>
          <w:sz w:val="24"/>
          <w:szCs w:val="24"/>
          <w:rFonts w:ascii="Arial" w:hAnsi="Arial"/>
        </w:rPr>
        <w:t xml:space="preserve"> </w:t>
      </w:r>
      <w:r>
        <w:rPr>
          <w:sz w:val="24"/>
          <w:szCs w:val="24"/>
          <w:rFonts w:ascii="Arial" w:hAnsi="Arial"/>
        </w:rPr>
        <w:t xml:space="preserve">Mootorita individuaalsõiduk: ilma mootorita väikesemõõduline sõiduk.</w:t>
      </w:r>
      <w:r>
        <w:rPr>
          <w:sz w:val="24"/>
          <w:szCs w:val="24"/>
          <w:rFonts w:ascii="Arial" w:hAnsi="Arial"/>
        </w:rPr>
        <w:t xml:space="preserve"> </w:t>
      </w:r>
      <w:r>
        <w:rPr>
          <w:sz w:val="24"/>
          <w:szCs w:val="24"/>
          <w:rFonts w:ascii="Arial" w:hAnsi="Arial"/>
        </w:rPr>
        <w:t xml:space="preserv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Artikkel 4</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Artikli R. 312-10 punkti 6 järele lisatakse punkt 7 järgmises sõnastuses:</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„7. 0,90 meetrit individuaalmootorsõidukite puhul.</w:t>
      </w:r>
      <w:r>
        <w:rPr>
          <w:sz w:val="24"/>
          <w:szCs w:val="24"/>
          <w:rFonts w:ascii="Arial" w:hAnsi="Arial"/>
        </w:rPr>
        <w:t xml:space="preserve"> </w:t>
      </w:r>
      <w:r>
        <w:rPr>
          <w:sz w:val="24"/>
          <w:szCs w:val="24"/>
          <w:rFonts w:ascii="Arial" w:hAnsi="Arial"/>
        </w:rPr>
        <w:t xml:space="preserv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Artikkel 5</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Artikli R. 312-11 punkti 11 järele lisatakse punkt 12 järgmises sõnastuses:</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„12. individuaalmootorsõidukid:</w:t>
      </w:r>
      <w:r>
        <w:rPr>
          <w:sz w:val="24"/>
          <w:szCs w:val="24"/>
          <w:rFonts w:ascii="Arial" w:hAnsi="Arial"/>
        </w:rPr>
        <w:t xml:space="preserve"> </w:t>
      </w:r>
      <w:r>
        <w:rPr>
          <w:sz w:val="24"/>
          <w:szCs w:val="24"/>
          <w:rFonts w:ascii="Arial" w:hAnsi="Arial"/>
        </w:rPr>
        <w:t xml:space="preserve">1,35 meetrit.</w:t>
      </w:r>
      <w:r>
        <w:rPr>
          <w:sz w:val="24"/>
          <w:szCs w:val="24"/>
          <w:rFonts w:ascii="Arial" w:hAnsi="Arial"/>
        </w:rPr>
        <w:t xml:space="preserve"> </w:t>
      </w:r>
      <w:r>
        <w:rPr>
          <w:sz w:val="24"/>
          <w:szCs w:val="24"/>
          <w:rFonts w:ascii="Arial" w:hAnsi="Arial"/>
        </w:rPr>
        <w:t xml:space="preserv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Artikkel 6</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Artiklit R. 313-1 muudetakse järgmiselt:</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neljandas lõigus lisatakse sõnade</w:t>
      </w:r>
      <w:r>
        <w:rPr>
          <w:sz w:val="24"/>
          <w:szCs w:val="24"/>
          <w:rFonts w:ascii="Arial" w:hAnsi="Arial"/>
        </w:rPr>
        <w:t xml:space="preserve"> </w:t>
      </w:r>
      <w:r>
        <w:rPr>
          <w:sz w:val="24"/>
          <w:szCs w:val="24"/>
          <w:rFonts w:ascii="Arial" w:hAnsi="Arial"/>
        </w:rPr>
        <w:t xml:space="preserve">„kõik juhid“ ette sõnad</w:t>
      </w:r>
      <w:r>
        <w:rPr>
          <w:sz w:val="24"/>
          <w:szCs w:val="24"/>
          <w:rFonts w:ascii="Arial" w:hAnsi="Arial"/>
        </w:rPr>
        <w:t xml:space="preserve"> </w:t>
      </w:r>
      <w:r>
        <w:rPr>
          <w:sz w:val="24"/>
          <w:szCs w:val="24"/>
          <w:rFonts w:ascii="Arial" w:hAnsi="Arial"/>
        </w:rPr>
        <w:t xml:space="preserve">„individuaalmootorsõidukist või;</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artiklit täiendatakse lõiguga, mille sõnastus on järgmine: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„Artiklite R. 313-2, R. 313-3, R. 313-3-1 kuni R. 313-3-4, R. 313-4-1, R. 313-6 kuni R. 313-17 ja R. 313-17-1 sätteid ei kohaldata individuaalmootorsõidukite suhtes.</w:t>
      </w:r>
      <w:r>
        <w:rPr>
          <w:sz w:val="24"/>
          <w:szCs w:val="24"/>
          <w:rFonts w:ascii="Arial" w:hAnsi="Arial"/>
        </w:rPr>
        <w:t xml:space="preserve"> </w:t>
      </w:r>
      <w:r>
        <w:rPr>
          <w:sz w:val="24"/>
          <w:szCs w:val="24"/>
          <w:rFonts w:ascii="Arial" w:hAnsi="Arial"/>
        </w:rPr>
        <w:t xml:space="preserv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Artikkel 7</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Artikli R. 313-4 lõigus X, artiklite R. 313-5 ja R. 313-18 lõigus V, artikli R. 313-19 lõigus III, artikli R. 313-20 lõigus IV ning artiklit R. 313-33 kolmandas taandes lisatakse sõna</w:t>
      </w:r>
      <w:r>
        <w:rPr>
          <w:sz w:val="24"/>
          <w:szCs w:val="24"/>
          <w:rFonts w:ascii="Arial" w:hAnsi="Arial"/>
        </w:rPr>
        <w:t xml:space="preserve"> </w:t>
      </w:r>
      <w:r>
        <w:rPr>
          <w:sz w:val="24"/>
          <w:szCs w:val="24"/>
          <w:rFonts w:ascii="Arial" w:hAnsi="Arial"/>
        </w:rPr>
        <w:t xml:space="preserve">„kõik“ järele sõna</w:t>
      </w:r>
      <w:r>
        <w:rPr>
          <w:sz w:val="24"/>
          <w:szCs w:val="24"/>
          <w:rFonts w:ascii="Arial" w:hAnsi="Arial"/>
        </w:rPr>
        <w:t xml:space="preserve"> </w:t>
      </w:r>
      <w:r>
        <w:rPr>
          <w:sz w:val="24"/>
          <w:szCs w:val="24"/>
          <w:rFonts w:ascii="Arial" w:hAnsi="Arial"/>
        </w:rPr>
        <w:t xml:space="preserve">„individuaalmootorsõiduki või“.</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Artikkel 8</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Artikli R. 313-4 lõigus XIII, artiklite R. 313-5 ja R. 313-18 lõigus XI, artikli R. 313-19 lõigus V, artikli R. 313-20 lõigus VIII ning artiklit R. 313-33 viimases taandes lisatakse sõnade</w:t>
      </w:r>
      <w:r>
        <w:rPr>
          <w:sz w:val="24"/>
          <w:szCs w:val="24"/>
          <w:rFonts w:ascii="Arial" w:hAnsi="Arial"/>
        </w:rPr>
        <w:t xml:space="preserve"> </w:t>
      </w:r>
      <w:r>
        <w:rPr>
          <w:sz w:val="24"/>
          <w:szCs w:val="24"/>
          <w:rFonts w:ascii="Arial" w:hAnsi="Arial"/>
        </w:rPr>
        <w:t xml:space="preserve">„kõik juhid“ ette sõnad</w:t>
      </w:r>
      <w:r>
        <w:rPr>
          <w:sz w:val="24"/>
          <w:szCs w:val="24"/>
          <w:rFonts w:ascii="Arial" w:hAnsi="Arial"/>
        </w:rPr>
        <w:t xml:space="preserve"> </w:t>
      </w:r>
      <w:r>
        <w:rPr>
          <w:sz w:val="24"/>
          <w:szCs w:val="24"/>
          <w:rFonts w:ascii="Arial" w:hAnsi="Arial"/>
        </w:rPr>
        <w:t xml:space="preserve">„individuaalmootorsõidukist või“.</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Artikkel 9</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Artiklit R. 314-1 muudetakse järgmiselt:</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esimeses lõigus lisatakse sõnade</w:t>
      </w:r>
      <w:r>
        <w:rPr>
          <w:sz w:val="24"/>
          <w:szCs w:val="24"/>
          <w:rFonts w:ascii="Arial" w:hAnsi="Arial"/>
        </w:rPr>
        <w:t xml:space="preserve"> </w:t>
      </w:r>
      <w:r>
        <w:rPr>
          <w:sz w:val="24"/>
          <w:szCs w:val="24"/>
          <w:rFonts w:ascii="Arial" w:hAnsi="Arial"/>
        </w:rPr>
        <w:t xml:space="preserve">„põllumajandusseadmed“ järele sõnad</w:t>
      </w:r>
      <w:r>
        <w:rPr>
          <w:sz w:val="24"/>
          <w:szCs w:val="24"/>
          <w:rFonts w:ascii="Arial" w:hAnsi="Arial"/>
        </w:rPr>
        <w:t xml:space="preserve"> </w:t>
      </w:r>
      <w:r>
        <w:rPr>
          <w:sz w:val="24"/>
          <w:szCs w:val="24"/>
          <w:rFonts w:ascii="Arial" w:hAnsi="Arial"/>
        </w:rPr>
        <w:t xml:space="preserve">„ja individuaalmootorsõidukid“;</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viiendas lõigus lisatakse sõnade</w:t>
      </w:r>
      <w:r>
        <w:rPr>
          <w:sz w:val="24"/>
          <w:szCs w:val="24"/>
          <w:rFonts w:ascii="Arial" w:hAnsi="Arial"/>
        </w:rPr>
        <w:t xml:space="preserve"> </w:t>
      </w:r>
      <w:r>
        <w:rPr>
          <w:sz w:val="24"/>
          <w:szCs w:val="24"/>
          <w:rFonts w:ascii="Arial" w:hAnsi="Arial"/>
        </w:rPr>
        <w:t xml:space="preserve">„põllumajandusseadmed“ järele sõnad</w:t>
      </w:r>
      <w:r>
        <w:rPr>
          <w:sz w:val="24"/>
          <w:szCs w:val="24"/>
          <w:rFonts w:ascii="Arial" w:hAnsi="Arial"/>
        </w:rPr>
        <w:t xml:space="preserve"> </w:t>
      </w:r>
      <w:r>
        <w:rPr>
          <w:sz w:val="24"/>
          <w:szCs w:val="24"/>
          <w:rFonts w:ascii="Arial" w:hAnsi="Arial"/>
        </w:rPr>
        <w:t xml:space="preserve">„ja individuaalmootorsõidukid“.</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Artikkel 10</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Artikli R. 315-1 lõigus I lisatakse sõnade</w:t>
      </w:r>
      <w:r>
        <w:rPr>
          <w:sz w:val="24"/>
          <w:szCs w:val="24"/>
          <w:rFonts w:ascii="Arial" w:hAnsi="Arial"/>
        </w:rPr>
        <w:t xml:space="preserve"> </w:t>
      </w:r>
      <w:r>
        <w:rPr>
          <w:sz w:val="24"/>
          <w:szCs w:val="24"/>
          <w:rFonts w:ascii="Arial" w:hAnsi="Arial"/>
        </w:rPr>
        <w:t xml:space="preserve">„avalike tööde sõidukid ja seadmed“ järele sõnad</w:t>
      </w:r>
      <w:r>
        <w:rPr>
          <w:sz w:val="24"/>
          <w:szCs w:val="24"/>
          <w:rFonts w:ascii="Arial" w:hAnsi="Arial"/>
        </w:rPr>
        <w:t xml:space="preserve"> </w:t>
      </w:r>
      <w:r>
        <w:rPr>
          <w:sz w:val="24"/>
          <w:szCs w:val="24"/>
          <w:rFonts w:ascii="Arial" w:hAnsi="Arial"/>
        </w:rPr>
        <w:t xml:space="preserve">„ning individuaalmootorsõidukid“.</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Artikkel 11</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Artikli R. 315-6 järele lisatakse artikkel R. 315-7 järgmises sõnastuses:</w:t>
      </w:r>
      <w:r>
        <w:rPr>
          <w:sz w:val="24"/>
          <w:szCs w:val="24"/>
          <w:rFonts w:ascii="Arial" w:hAnsi="Arial"/>
        </w:rPr>
        <w:t xml:space="preserve">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„Artikkel R. 315-7.</w:t>
      </w:r>
      <w:r>
        <w:rPr>
          <w:sz w:val="24"/>
          <w:szCs w:val="24"/>
          <w:rFonts w:ascii="Arial" w:hAnsi="Arial"/>
        </w:rPr>
        <w:t xml:space="preserve"> </w:t>
      </w:r>
      <w:r>
        <w:rPr>
          <w:sz w:val="24"/>
          <w:szCs w:val="24"/>
          <w:rFonts w:ascii="Arial" w:hAnsi="Arial"/>
        </w:rPr>
        <w:t xml:space="preserve">– I. – Kõik individuaalmootorsõidukid peavad olema varustatud tõhusa piduriseadmega, mille omadused on kindlaks määratud liiklusohutuse eest vastutava ministri ja transpordiministri määrusega.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„II.</w:t>
      </w:r>
      <w:r>
        <w:rPr>
          <w:sz w:val="24"/>
          <w:szCs w:val="24"/>
          <w:rFonts w:ascii="Arial" w:hAnsi="Arial"/>
        </w:rPr>
        <w:t xml:space="preserve"> </w:t>
      </w:r>
      <w:r>
        <w:rPr>
          <w:sz w:val="24"/>
          <w:szCs w:val="24"/>
          <w:rFonts w:ascii="Arial" w:hAnsi="Arial"/>
        </w:rPr>
        <w:t xml:space="preserve">– Käesoleva artikli sätete või artikli rakendamiseks võetud sätete rikkumise korral karistatakse 1. klassi rikkumiste eest ettenähtud trahviga.</w:t>
      </w:r>
      <w:r>
        <w:rPr>
          <w:sz w:val="24"/>
          <w:szCs w:val="24"/>
          <w:rFonts w:ascii="Arial" w:hAnsi="Arial"/>
        </w:rPr>
        <w:t xml:space="preserve"> </w:t>
      </w:r>
      <w:r>
        <w:rPr>
          <w:sz w:val="24"/>
          <w:szCs w:val="24"/>
          <w:rFonts w:ascii="Arial" w:hAnsi="Arial"/>
        </w:rPr>
        <w:t xml:space="preserv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Artikkel 12</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Artikli R. 316-4 esimeses lõigus lisatakse sõnade</w:t>
      </w:r>
      <w:r>
        <w:rPr>
          <w:sz w:val="24"/>
          <w:szCs w:val="24"/>
          <w:rFonts w:ascii="Arial" w:hAnsi="Arial"/>
        </w:rPr>
        <w:t xml:space="preserve"> </w:t>
      </w:r>
      <w:r>
        <w:rPr>
          <w:sz w:val="24"/>
          <w:szCs w:val="24"/>
          <w:rFonts w:ascii="Arial" w:hAnsi="Arial"/>
        </w:rPr>
        <w:t xml:space="preserve">„kerged neljarattalised mootorsõidukid“, artiklis R. 316-5 sõnade</w:t>
      </w:r>
      <w:r>
        <w:rPr>
          <w:sz w:val="24"/>
          <w:szCs w:val="24"/>
          <w:rFonts w:ascii="Arial" w:hAnsi="Arial"/>
        </w:rPr>
        <w:t xml:space="preserve"> </w:t>
      </w:r>
      <w:r>
        <w:rPr>
          <w:sz w:val="24"/>
          <w:szCs w:val="24"/>
          <w:rFonts w:ascii="Arial" w:hAnsi="Arial"/>
        </w:rPr>
        <w:t xml:space="preserve">„kahe- või kolmerattalised sõidukid“, artikli R. 316-6 esimeses lõigus sõnade „põllumajandusseadmed“ ning artiklite R. 317-1 ja 317-5 lõigus I sõnade</w:t>
      </w:r>
      <w:r>
        <w:rPr>
          <w:sz w:val="24"/>
          <w:szCs w:val="24"/>
          <w:rFonts w:ascii="Arial" w:hAnsi="Arial"/>
        </w:rPr>
        <w:t xml:space="preserve"> </w:t>
      </w:r>
      <w:r>
        <w:rPr>
          <w:sz w:val="24"/>
          <w:szCs w:val="24"/>
          <w:rFonts w:ascii="Arial" w:hAnsi="Arial"/>
        </w:rPr>
        <w:t xml:space="preserve">„neljarattalised sõidukid“ järele sõnad</w:t>
      </w:r>
      <w:r>
        <w:rPr>
          <w:sz w:val="24"/>
          <w:szCs w:val="24"/>
          <w:rFonts w:ascii="Arial" w:hAnsi="Arial"/>
        </w:rPr>
        <w:t xml:space="preserve"> </w:t>
      </w:r>
      <w:r>
        <w:rPr>
          <w:sz w:val="24"/>
          <w:szCs w:val="24"/>
          <w:rFonts w:ascii="Arial" w:hAnsi="Arial"/>
        </w:rPr>
        <w:t xml:space="preserve">„ning individuaalmootorsõidukid“.</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Artikkel 13</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Artikli R. 317-14 järele lisatakse artikkel R. 317-14-1 järgmises sõnastuses:</w:t>
      </w:r>
      <w:r>
        <w:rPr>
          <w:sz w:val="24"/>
          <w:szCs w:val="24"/>
          <w:rFonts w:ascii="Arial" w:hAnsi="Arial"/>
        </w:rPr>
        <w:t xml:space="preserve">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„Artikkel R. 317-14-1.</w:t>
      </w:r>
      <w:r>
        <w:rPr>
          <w:sz w:val="24"/>
          <w:szCs w:val="24"/>
          <w:rFonts w:ascii="Arial" w:hAnsi="Arial"/>
        </w:rPr>
        <w:t xml:space="preserve"> </w:t>
      </w:r>
      <w:r>
        <w:rPr>
          <w:sz w:val="24"/>
          <w:szCs w:val="24"/>
          <w:rFonts w:ascii="Arial" w:hAnsi="Arial"/>
        </w:rPr>
        <w:t xml:space="preserve">– Artiklite R. 317-8 ja R. 317-9 sätteid ei kohaldata individuaalmootorsõidukite suhtes.</w:t>
      </w:r>
      <w:r>
        <w:rPr>
          <w:sz w:val="24"/>
          <w:szCs w:val="24"/>
          <w:rFonts w:ascii="Arial" w:hAnsi="Arial"/>
        </w:rPr>
        <w:t xml:space="preserve"> </w:t>
      </w:r>
      <w:r>
        <w:rPr>
          <w:sz w:val="24"/>
          <w:szCs w:val="24"/>
          <w:rFonts w:ascii="Arial" w:hAnsi="Arial"/>
        </w:rPr>
        <w:t xml:space="preserv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Artikkel 14</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Artiklit  R. 317-16 täiendatakse lõiguga, mille sõnastus on järgmine:</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„neid ei kohaldata individuaalmootorsõidukite suhtes“.</w:t>
      </w:r>
      <w:r>
        <w:rPr>
          <w:sz w:val="24"/>
          <w:szCs w:val="24"/>
          <w:rFonts w:ascii="Arial" w:hAnsi="Arial"/>
        </w:rPr>
        <w:t xml:space="preserve"> </w:t>
      </w:r>
      <w:r>
        <w:rPr>
          <w:sz w:val="24"/>
          <w:szCs w:val="24"/>
          <w:rFonts w:ascii="Arial" w:hAnsi="Arial"/>
        </w:rPr>
        <w:t xml:space="preserv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Artikkel 15</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Artikli R. 317-23-1 esimeses lõigus lisatakse sõna</w:t>
      </w:r>
      <w:r>
        <w:rPr>
          <w:sz w:val="24"/>
          <w:szCs w:val="24"/>
          <w:rFonts w:ascii="Arial" w:hAnsi="Arial"/>
        </w:rPr>
        <w:t xml:space="preserve"> </w:t>
      </w:r>
      <w:r>
        <w:rPr>
          <w:sz w:val="24"/>
          <w:szCs w:val="24"/>
          <w:rFonts w:ascii="Arial" w:hAnsi="Arial"/>
        </w:rPr>
        <w:t xml:space="preserve">„mopeed“ järele sõnad</w:t>
      </w:r>
      <w:r>
        <w:rPr>
          <w:sz w:val="24"/>
          <w:szCs w:val="24"/>
          <w:rFonts w:ascii="Arial" w:hAnsi="Arial"/>
        </w:rPr>
        <w:t xml:space="preserve"> </w:t>
      </w:r>
      <w:r>
        <w:rPr>
          <w:sz w:val="24"/>
          <w:szCs w:val="24"/>
          <w:rFonts w:ascii="Arial" w:hAnsi="Arial"/>
        </w:rPr>
        <w:t xml:space="preserve">„või individuaalmootorsõiduk“.</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Artikkel 16</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Artikli R. 321-4-1 järele lisatakse artikkel R. 321-4-2 järgmises sõnastuses:</w:t>
      </w:r>
      <w:r>
        <w:rPr>
          <w:sz w:val="24"/>
          <w:szCs w:val="24"/>
          <w:rFonts w:ascii="Arial" w:hAnsi="Arial"/>
        </w:rPr>
        <w:t xml:space="preserve">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„Artikkel R. 321-4-2.</w:t>
      </w:r>
      <w:r>
        <w:rPr>
          <w:sz w:val="24"/>
          <w:szCs w:val="24"/>
          <w:rFonts w:ascii="Arial" w:hAnsi="Arial"/>
        </w:rPr>
        <w:t xml:space="preserve"> </w:t>
      </w:r>
      <w:r>
        <w:rPr>
          <w:sz w:val="24"/>
          <w:szCs w:val="24"/>
          <w:rFonts w:ascii="Arial" w:hAnsi="Arial"/>
        </w:rPr>
        <w:t xml:space="preserve">– Individuaalmootorsõidukiga, mille valmistakiirus on suurem kui artikli R. 311-1 punktis 6.15 sätestatud, üldkasutataval teel liiklemine on karistatav 5. klassi rikkumise eest ette nähtud trahviga.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Konfiskeerimine, kasutamise keelamine või teisaldamine võidakse ette näha artiklites L. 325-1 kuni L. 325-9 sätestatud tingimustel.</w:t>
      </w:r>
      <w:r>
        <w:rPr>
          <w:sz w:val="24"/>
          <w:szCs w:val="24"/>
          <w:rFonts w:ascii="Arial" w:hAnsi="Arial"/>
        </w:rPr>
        <w:t xml:space="preserve"> </w:t>
      </w:r>
      <w:r>
        <w:rPr>
          <w:sz w:val="24"/>
          <w:szCs w:val="24"/>
          <w:rFonts w:ascii="Arial" w:hAnsi="Arial"/>
        </w:rPr>
        <w:t xml:space="preserv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Artikkel 17</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Artikli R. 321-15 viimases lõigus lisatakse sõnade</w:t>
      </w:r>
      <w:r>
        <w:rPr>
          <w:sz w:val="24"/>
          <w:szCs w:val="24"/>
          <w:rFonts w:ascii="Arial" w:hAnsi="Arial"/>
        </w:rPr>
        <w:t xml:space="preserve"> </w:t>
      </w:r>
      <w:r>
        <w:rPr>
          <w:sz w:val="24"/>
          <w:szCs w:val="24"/>
          <w:rFonts w:ascii="Arial" w:hAnsi="Arial"/>
        </w:rPr>
        <w:t xml:space="preserve">„kollektsioneeritavatele sõidukitele,” järele sõnad</w:t>
      </w:r>
      <w:r>
        <w:rPr>
          <w:sz w:val="24"/>
          <w:szCs w:val="24"/>
          <w:rFonts w:ascii="Arial" w:hAnsi="Arial"/>
        </w:rPr>
        <w:t xml:space="preserve"> </w:t>
      </w:r>
      <w:r>
        <w:rPr>
          <w:sz w:val="24"/>
          <w:szCs w:val="24"/>
          <w:rFonts w:ascii="Arial" w:hAnsi="Arial"/>
        </w:rPr>
        <w:t xml:space="preserve">„individuaalmootorsõidukitele“.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Artikkel 18</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Artikli R. 322-1 lõigus V lisatakse sõnade</w:t>
      </w:r>
      <w:r>
        <w:rPr>
          <w:sz w:val="24"/>
          <w:szCs w:val="24"/>
          <w:rFonts w:ascii="Arial" w:hAnsi="Arial"/>
        </w:rPr>
        <w:t xml:space="preserve"> </w:t>
      </w:r>
      <w:r>
        <w:rPr>
          <w:sz w:val="24"/>
          <w:szCs w:val="24"/>
          <w:rFonts w:ascii="Arial" w:hAnsi="Arial"/>
        </w:rPr>
        <w:t xml:space="preserve">„ei kohaldata“ järele sõnad</w:t>
      </w:r>
      <w:r>
        <w:rPr>
          <w:sz w:val="24"/>
          <w:szCs w:val="24"/>
          <w:rFonts w:ascii="Arial" w:hAnsi="Arial"/>
        </w:rPr>
        <w:t xml:space="preserve"> </w:t>
      </w:r>
      <w:r>
        <w:rPr>
          <w:sz w:val="24"/>
          <w:szCs w:val="24"/>
          <w:rFonts w:ascii="Arial" w:hAnsi="Arial"/>
        </w:rPr>
        <w:t xml:space="preserve">„individuaalmootorsõidukitele ja“.</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Artikkel 19</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Artikli R. 412-9 neljandas ja viiendas lõigus lisatakse sõnade</w:t>
      </w:r>
      <w:r>
        <w:rPr>
          <w:sz w:val="24"/>
          <w:szCs w:val="24"/>
          <w:rFonts w:ascii="Arial" w:hAnsi="Arial"/>
        </w:rPr>
        <w:t xml:space="preserve"> </w:t>
      </w:r>
      <w:r>
        <w:rPr>
          <w:sz w:val="24"/>
          <w:szCs w:val="24"/>
          <w:rFonts w:ascii="Arial" w:hAnsi="Arial"/>
        </w:rPr>
        <w:t xml:space="preserve">„juht“ järele sõnad</w:t>
      </w:r>
      <w:r>
        <w:rPr>
          <w:sz w:val="24"/>
          <w:szCs w:val="24"/>
          <w:rFonts w:ascii="Arial" w:hAnsi="Arial"/>
        </w:rPr>
        <w:t xml:space="preserve"> </w:t>
      </w:r>
      <w:r>
        <w:rPr>
          <w:sz w:val="24"/>
          <w:szCs w:val="24"/>
          <w:rFonts w:ascii="Arial" w:hAnsi="Arial"/>
        </w:rPr>
        <w:t xml:space="preserve">„või individuaalmootorsõiduki juht“.</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Artikkel 20</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Artikli R. 412-19 teises lõigus lisatakse sõnade</w:t>
      </w:r>
      <w:r>
        <w:rPr>
          <w:sz w:val="24"/>
          <w:szCs w:val="24"/>
          <w:rFonts w:ascii="Arial" w:hAnsi="Arial"/>
        </w:rPr>
        <w:t xml:space="preserve"> </w:t>
      </w:r>
      <w:r>
        <w:rPr>
          <w:sz w:val="24"/>
          <w:szCs w:val="24"/>
          <w:rFonts w:ascii="Arial" w:hAnsi="Arial"/>
        </w:rPr>
        <w:t xml:space="preserve">„möödasõiduks“ ette sõnad</w:t>
      </w:r>
      <w:r>
        <w:rPr>
          <w:sz w:val="24"/>
          <w:szCs w:val="24"/>
          <w:rFonts w:ascii="Arial" w:hAnsi="Arial"/>
        </w:rPr>
        <w:t xml:space="preserve"> </w:t>
      </w:r>
      <w:r>
        <w:rPr>
          <w:sz w:val="24"/>
          <w:szCs w:val="24"/>
          <w:rFonts w:ascii="Arial" w:hAnsi="Arial"/>
        </w:rPr>
        <w:t xml:space="preserve">„individuaalmootorsõidukist või“.</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Artikkel 21</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Artiklis R. 412-28-1 lisatakse sõna</w:t>
      </w:r>
      <w:r>
        <w:rPr>
          <w:sz w:val="24"/>
          <w:szCs w:val="24"/>
          <w:rFonts w:ascii="Arial" w:hAnsi="Arial"/>
        </w:rPr>
        <w:t xml:space="preserve"> </w:t>
      </w:r>
      <w:r>
        <w:rPr>
          <w:sz w:val="24"/>
          <w:szCs w:val="24"/>
          <w:rFonts w:ascii="Arial" w:hAnsi="Arial"/>
        </w:rPr>
        <w:t xml:space="preserve">„kahesuunalised“ ette sõnad</w:t>
      </w:r>
      <w:r>
        <w:rPr>
          <w:sz w:val="24"/>
          <w:szCs w:val="24"/>
          <w:rFonts w:ascii="Arial" w:hAnsi="Arial"/>
        </w:rPr>
        <w:t xml:space="preserve"> </w:t>
      </w:r>
      <w:r>
        <w:rPr>
          <w:sz w:val="24"/>
          <w:szCs w:val="24"/>
          <w:rFonts w:ascii="Arial" w:hAnsi="Arial"/>
        </w:rPr>
        <w:t xml:space="preserve">„individuaalmootorsõidukite juhtidele ja“.</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Artikkel 22</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Artikli 412-34 lõigu II punktis 2 lisatakse sõnade</w:t>
      </w:r>
      <w:r>
        <w:rPr>
          <w:sz w:val="24"/>
          <w:szCs w:val="24"/>
          <w:rFonts w:ascii="Arial" w:hAnsi="Arial"/>
        </w:rPr>
        <w:t xml:space="preserve"> </w:t>
      </w:r>
      <w:r>
        <w:rPr>
          <w:sz w:val="24"/>
          <w:szCs w:val="24"/>
          <w:rFonts w:ascii="Arial" w:hAnsi="Arial"/>
        </w:rPr>
        <w:t xml:space="preserve">„käekõrval“ ette sõnad</w:t>
      </w:r>
      <w:r>
        <w:rPr>
          <w:sz w:val="24"/>
          <w:szCs w:val="24"/>
          <w:rFonts w:ascii="Arial" w:hAnsi="Arial"/>
        </w:rPr>
        <w:t xml:space="preserve"> </w:t>
      </w:r>
      <w:r>
        <w:rPr>
          <w:sz w:val="24"/>
          <w:szCs w:val="24"/>
          <w:rFonts w:ascii="Arial" w:hAnsi="Arial"/>
        </w:rPr>
        <w:t xml:space="preserve">„individuaalmootorsõidukit või“.</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Artikkel 23</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IV raamatu I jaotise II peatüki 6. jao järele lisatakse jagu 6a järgmises sõnastuses:</w:t>
      </w:r>
      <w:r>
        <w:rPr>
          <w:sz w:val="24"/>
          <w:szCs w:val="24"/>
          <w:rFonts w:ascii="Arial" w:hAnsi="Arial"/>
        </w:rPr>
        <w:t xml:space="preserve">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„Jagu 6 bis</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Individuaalmootorsõidukitega liiklemine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„Artikkel R. 412-43-1.</w:t>
      </w:r>
      <w:r>
        <w:rPr>
          <w:sz w:val="24"/>
          <w:szCs w:val="24"/>
          <w:rFonts w:ascii="Arial" w:hAnsi="Arial"/>
        </w:rPr>
        <w:t xml:space="preserve"> </w:t>
      </w:r>
      <w:r>
        <w:rPr>
          <w:sz w:val="24"/>
          <w:szCs w:val="24"/>
          <w:rFonts w:ascii="Arial" w:hAnsi="Arial"/>
        </w:rPr>
        <w:t xml:space="preserve">– I. – Asulates peavad individuaalmootorsõidukite juhid kasutama liiklemiseks jalgratastele ette nähtud sõiduradasid või -ridu.</w:t>
      </w:r>
      <w:r>
        <w:rPr>
          <w:sz w:val="24"/>
          <w:szCs w:val="24"/>
          <w:rFonts w:ascii="Arial" w:hAnsi="Arial"/>
        </w:rPr>
        <w:t xml:space="preserve"> </w:t>
      </w:r>
      <w:r>
        <w:rPr>
          <w:sz w:val="24"/>
          <w:szCs w:val="24"/>
          <w:rFonts w:ascii="Arial" w:hAnsi="Arial"/>
        </w:rPr>
        <w:t xml:space="preserve">Kui sõidutee piirneb mõlemalt poolt jalgrattateega, tuleb neil kasutada sõidusuunas paremat kätt asuvat sõidurada või -rida.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Jalgratastele ettenähtud radade või ridade puudumisel võivad nad liigelda ka</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teedel, mille maksimaalne lubatud kiirus on kuni 50 km/h.</w:t>
      </w:r>
      <w:r>
        <w:rPr>
          <w:sz w:val="24"/>
          <w:szCs w:val="24"/>
          <w:rFonts w:ascii="Arial" w:hAnsi="Arial"/>
        </w:rPr>
        <w:t xml:space="preserve"> </w:t>
      </w:r>
      <w:r>
        <w:rPr>
          <w:sz w:val="24"/>
          <w:szCs w:val="24"/>
          <w:rFonts w:ascii="Arial" w:hAnsi="Arial"/>
        </w:rPr>
        <w:t xml:space="preserve">Individuaalmootorsõidukite juhid ei tohi kunagi sõita sõiduteel ette;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jalakäijate aladel artikli R. 431-9 neljandas lõigus kehtestatud tingimustel;</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3. teekattega teepeenardel.</w:t>
      </w:r>
    </w:p>
    <w:p w:rsidR="002323B1" w:rsidRPr="00C77741" w:rsidRDefault="002323B1" w:rsidP="00906C12">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„II.</w:t>
      </w:r>
      <w:r>
        <w:rPr>
          <w:sz w:val="24"/>
          <w:szCs w:val="24"/>
          <w:rFonts w:ascii="Arial" w:hAnsi="Arial"/>
        </w:rPr>
        <w:t xml:space="preserve"> </w:t>
      </w:r>
      <w:r>
        <w:rPr>
          <w:sz w:val="24"/>
          <w:szCs w:val="24"/>
          <w:rFonts w:ascii="Arial" w:hAnsi="Arial"/>
        </w:rPr>
        <w:t xml:space="preserve">– Väljaspool asulat ei ole individuaalmootorsõidukitega liiklemine lubatud, v.a haljasala teedel ja jalgrattateedel.</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„III.</w:t>
      </w:r>
      <w:r>
        <w:rPr>
          <w:sz w:val="24"/>
          <w:szCs w:val="24"/>
          <w:rFonts w:ascii="Arial" w:hAnsi="Arial"/>
        </w:rPr>
        <w:t xml:space="preserve"> </w:t>
      </w:r>
      <w:r>
        <w:rPr>
          <w:sz w:val="24"/>
          <w:szCs w:val="24"/>
          <w:rFonts w:ascii="Arial" w:hAnsi="Arial"/>
        </w:rPr>
        <w:t xml:space="preserve">– Erandina lõikude I ja II sätetest võib liikluspolitsei võimu teostav amet põhjendatud otsusega:</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keelata sõidukite liikumine lõikudes I ja II nimetatud teede teatavatel lõikudel, võttes arvesse liiklusohutuse ja liikluse, sujuvuse ja läbisõidu vajadusi;</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lubada mootorsõidukitega liigelda kõnniteel tingimusel, et nendega liigutakse jalakäija kiirusel ja jalakäijaid ei takistata;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3. lubada liiklust teedel, mille lubatud suurim kiirus on 80 km/h või vähem, tingimusel et sõidutee seisund ja profiil ning liiklusolud seda võimaldavad.</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„IV.</w:t>
      </w:r>
      <w:r>
        <w:rPr>
          <w:sz w:val="24"/>
          <w:szCs w:val="24"/>
          <w:rFonts w:ascii="Arial" w:hAnsi="Arial"/>
        </w:rPr>
        <w:t xml:space="preserve"> </w:t>
      </w:r>
      <w:r>
        <w:rPr>
          <w:sz w:val="24"/>
          <w:szCs w:val="24"/>
          <w:rFonts w:ascii="Arial" w:hAnsi="Arial"/>
        </w:rPr>
        <w:t xml:space="preserve">– Lõigu III punkti 3 sätete kohaldamisel:</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peavad kõik individuaalmootorsõidukite juhid:</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 kandma isikukaitsevahendeid käsitlevatele eeskirjadele vastavat kiivrit, mis peab olema kinnitatud;</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b) kandma kas määrustele vastavat nähtava vesti või helkurvarustust, mille omadused on fikseeritud liiklusohutuse eest vastutava ministri määrusega;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c) kandma mittepimestavat, mitte vilkuvat lisavalgustusseadet, mille omadused on kinnitatud liiklusohutuse ministri määrusega;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d) sõitma nii päeval kui ka öösel nii, et sõiduki suunatuled põlevad;</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vähemalt ühte alla 18-aastast individuaalmootorsõiduki juhti saatev vähemalt 18-aastane isik, kui ta on nende juhtide õigusjärgne või faktiline järelevalvaja, peab tagama, et igaüks neist kannab kiivrit ülal esitatud punktis 1 sätestatud tingimuste kohaselt.</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 – Lõikude I ja II sätteid või lõigu III punktis 1 sätestatud liiklemispiiranguid rikkuvat liiklemist karistatakse 2. klassi rikkumiste eest ette nähtud trahviga.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Kui individuaalmootorsõiduki juht, kasutades lõigu III punkti 2 sätteid, liikleb kõnniteel, järgimata seejuures jalakäija kiirust või takistades jalakäijate liiklemist, võidakse seda karistada 2. klassi rikkumiste eest ette nähtud trahviga.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Kui individuaalmootorsõiduki juht, kasutades lõigu III punkti 2 sätteid, eirab lõigu IV punkti 1 alapunktide b, c ja d sätteid, karistatakse seda 2. klassi rikkumiste eest ette nähtud trahviga.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Kui individuaalmootorsõiduki juht, kasutades lõigu III punkti 2 sätteid, ei järgi lõigu IV punktides 1 ja 2 sätestatud kiivriga seotud reegleid, karistatakse seda 4. klassi rikkumiste eest ette nähtud trahviga.</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„Artikkel R. 412-43-2.</w:t>
      </w:r>
      <w:r>
        <w:rPr>
          <w:sz w:val="24"/>
          <w:szCs w:val="24"/>
          <w:rFonts w:ascii="Arial" w:hAnsi="Arial"/>
        </w:rPr>
        <w:t xml:space="preserve"> </w:t>
      </w:r>
      <w:r>
        <w:rPr>
          <w:sz w:val="24"/>
          <w:szCs w:val="24"/>
          <w:rFonts w:ascii="Arial" w:hAnsi="Arial"/>
        </w:rPr>
        <w:t xml:space="preserve">– Individuaalmootorsõidukite juhtidel on keelatud koormat või sõidukit lükata või vedada.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Individuaalmootorsõidukite juhtidel on keelatud lasta end sõidukil pukseerida.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Käesoleva artikli sätete rikkumise korral karistatakse 2. klassi rikkumiste eest ettenähtud trahviga.</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„Artikkel R. 412-43-3.</w:t>
      </w:r>
      <w:r>
        <w:rPr>
          <w:sz w:val="24"/>
          <w:szCs w:val="24"/>
          <w:rFonts w:ascii="Arial" w:hAnsi="Arial"/>
        </w:rPr>
        <w:t xml:space="preserve"> </w:t>
      </w:r>
      <w:r>
        <w:rPr>
          <w:sz w:val="24"/>
          <w:szCs w:val="24"/>
          <w:rFonts w:ascii="Arial" w:hAnsi="Arial"/>
        </w:rPr>
        <w:t xml:space="preserve">– I. – Individuaalmootorsõiduki juht peab olema vähemalt kaksteist aastat vana.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„II.</w:t>
      </w:r>
      <w:r>
        <w:rPr>
          <w:sz w:val="24"/>
          <w:szCs w:val="24"/>
          <w:rFonts w:ascii="Arial" w:hAnsi="Arial"/>
        </w:rPr>
        <w:t xml:space="preserve"> </w:t>
      </w:r>
      <w:r>
        <w:rPr>
          <w:sz w:val="24"/>
          <w:szCs w:val="24"/>
          <w:rFonts w:ascii="Arial" w:hAnsi="Arial"/>
        </w:rPr>
        <w:t xml:space="preserve">— Juhul kui individuaalmootorsõiduki juht liikleb öösel või halva nähtavusega päeval, peab ta kandma kas eeskirjadele vastavat hästinähtavat vesti või valgustpeegeldavat varustust, mille omadused on kindlaks määratud liiklusohutuse eest vastutava ministri määrusega, ilma et see piiraks artikli R 412-43-1 IV jaotise sätete kohaldamist.</w:t>
      </w:r>
      <w:r>
        <w:rPr>
          <w:sz w:val="24"/>
          <w:szCs w:val="24"/>
          <w:rFonts w:ascii="Arial" w:hAnsi="Arial"/>
        </w:rPr>
        <w:t xml:space="preserve"> </w:t>
      </w:r>
      <w:r>
        <w:rPr>
          <w:sz w:val="24"/>
          <w:szCs w:val="24"/>
          <w:rFonts w:ascii="Arial" w:hAnsi="Arial"/>
        </w:rPr>
        <w:t xml:space="preserve">Juht võib kanda täiendavat valgustusseadet, mis ei ole pimestav ega vilgu.</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„III.</w:t>
      </w:r>
      <w:r>
        <w:rPr>
          <w:sz w:val="24"/>
          <w:szCs w:val="24"/>
          <w:rFonts w:ascii="Arial" w:hAnsi="Arial"/>
        </w:rPr>
        <w:t xml:space="preserve"> </w:t>
      </w:r>
      <w:r>
        <w:rPr>
          <w:sz w:val="24"/>
          <w:szCs w:val="24"/>
          <w:rFonts w:ascii="Arial" w:hAnsi="Arial"/>
        </w:rPr>
        <w:t xml:space="preserve">– Individuaalmootorsõidukitega võib transportida ainult ühte juhti.</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„IV.</w:t>
      </w:r>
      <w:r>
        <w:rPr>
          <w:sz w:val="24"/>
          <w:szCs w:val="24"/>
          <w:rFonts w:ascii="Arial" w:hAnsi="Arial"/>
        </w:rPr>
        <w:t xml:space="preserve"> </w:t>
      </w:r>
      <w:r>
        <w:rPr>
          <w:sz w:val="24"/>
          <w:szCs w:val="24"/>
          <w:rFonts w:ascii="Arial" w:hAnsi="Arial"/>
        </w:rPr>
        <w:t xml:space="preserve">– Lõigu II sätete rikkumise korral karistatakse 2. klassi rikkumiste eest ettenähtud trahviga.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Individuaalmootorsõiduki juhti, kes ei järgi lõigu III sätteid, karistatakse 2. klassi rikkumiste eest ettenähtud trahviga.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Ühte alla 12-aastast individuaalmootorsõiduki juhti saatev vähemalt 18-aastane isik, kui ta on nende juhtide õigusjärgne või faktiline järelevalvaja, karistatakse 4. klassi rikkumiste eest ettenähtud trahviga.</w:t>
      </w:r>
      <w:r>
        <w:rPr>
          <w:sz w:val="24"/>
          <w:szCs w:val="24"/>
          <w:rFonts w:ascii="Arial" w:hAnsi="Arial"/>
        </w:rPr>
        <w:t xml:space="preserve"> </w:t>
      </w:r>
      <w:r>
        <w:rPr>
          <w:sz w:val="24"/>
          <w:szCs w:val="24"/>
          <w:rFonts w:ascii="Arial" w:hAnsi="Arial"/>
        </w:rPr>
        <w:t xml:space="preserv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Artikkel 24</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Artikli R. 415-2 teises ja viiendas lõigus lisatakse sõnade</w:t>
      </w:r>
      <w:r>
        <w:rPr>
          <w:sz w:val="24"/>
          <w:szCs w:val="24"/>
          <w:rFonts w:ascii="Arial" w:hAnsi="Arial"/>
        </w:rPr>
        <w:t xml:space="preserve"> </w:t>
      </w:r>
      <w:r>
        <w:rPr>
          <w:sz w:val="24"/>
          <w:szCs w:val="24"/>
          <w:rFonts w:ascii="Arial" w:hAnsi="Arial"/>
        </w:rPr>
        <w:t xml:space="preserve">„muu kui“ järele sõnad</w:t>
      </w:r>
      <w:r>
        <w:rPr>
          <w:sz w:val="24"/>
          <w:szCs w:val="24"/>
          <w:rFonts w:ascii="Arial" w:hAnsi="Arial"/>
        </w:rPr>
        <w:t xml:space="preserve"> </w:t>
      </w:r>
      <w:r>
        <w:rPr>
          <w:sz w:val="24"/>
          <w:szCs w:val="24"/>
          <w:rFonts w:ascii="Arial" w:hAnsi="Arial"/>
        </w:rPr>
        <w:t xml:space="preserve">„Individuaalmootorsõiduk või“.</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Artikkel 25</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Artikli R. 415-3 lõigus III lisatakse sõnade</w:t>
      </w:r>
      <w:r>
        <w:rPr>
          <w:sz w:val="24"/>
          <w:szCs w:val="24"/>
          <w:rFonts w:ascii="Arial" w:hAnsi="Arial"/>
        </w:rPr>
        <w:t xml:space="preserve"> </w:t>
      </w:r>
      <w:r>
        <w:rPr>
          <w:sz w:val="24"/>
          <w:szCs w:val="24"/>
          <w:rFonts w:ascii="Arial" w:hAnsi="Arial"/>
        </w:rPr>
        <w:t xml:space="preserve">„andma teed” järele sõnad</w:t>
      </w:r>
      <w:r>
        <w:rPr>
          <w:sz w:val="24"/>
          <w:szCs w:val="24"/>
          <w:rFonts w:ascii="Arial" w:hAnsi="Arial"/>
        </w:rPr>
        <w:t xml:space="preserve"> </w:t>
      </w:r>
      <w:r>
        <w:rPr>
          <w:sz w:val="24"/>
          <w:szCs w:val="24"/>
          <w:rFonts w:ascii="Arial" w:hAnsi="Arial"/>
        </w:rPr>
        <w:t xml:space="preserve">„individuaalmootorsõidukitele“.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Artikkel 26</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Artiklit R. 415-4 muudetakse järgmiselt:</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lõigus III lisatakse sõnade</w:t>
      </w:r>
      <w:r>
        <w:rPr>
          <w:sz w:val="24"/>
          <w:szCs w:val="24"/>
          <w:rFonts w:ascii="Arial" w:hAnsi="Arial"/>
        </w:rPr>
        <w:t xml:space="preserve"> </w:t>
      </w:r>
      <w:r>
        <w:rPr>
          <w:sz w:val="24"/>
          <w:szCs w:val="24"/>
          <w:rFonts w:ascii="Arial" w:hAnsi="Arial"/>
        </w:rPr>
        <w:t xml:space="preserve">„et ta kavatseb liikuda“ järele sõnad</w:t>
      </w:r>
      <w:r>
        <w:rPr>
          <w:sz w:val="24"/>
          <w:szCs w:val="24"/>
          <w:rFonts w:ascii="Arial" w:hAnsi="Arial"/>
        </w:rPr>
        <w:t xml:space="preserve"> </w:t>
      </w:r>
      <w:r>
        <w:rPr>
          <w:sz w:val="24"/>
          <w:szCs w:val="24"/>
          <w:rFonts w:ascii="Arial" w:hAnsi="Arial"/>
        </w:rPr>
        <w:t xml:space="preserve">„individuaalmootorsõidukitele“.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lõigus IV lisatakse sõnade</w:t>
      </w:r>
      <w:r>
        <w:rPr>
          <w:sz w:val="24"/>
          <w:szCs w:val="24"/>
          <w:rFonts w:ascii="Arial" w:hAnsi="Arial"/>
        </w:rPr>
        <w:t xml:space="preserve"> </w:t>
      </w:r>
      <w:r>
        <w:rPr>
          <w:sz w:val="24"/>
          <w:szCs w:val="24"/>
          <w:rFonts w:ascii="Arial" w:hAnsi="Arial"/>
        </w:rPr>
        <w:t xml:space="preserve">„kõik juhid“ ette sõnad</w:t>
      </w:r>
      <w:r>
        <w:rPr>
          <w:sz w:val="24"/>
          <w:szCs w:val="24"/>
          <w:rFonts w:ascii="Arial" w:hAnsi="Arial"/>
        </w:rPr>
        <w:t xml:space="preserve"> </w:t>
      </w:r>
      <w:r>
        <w:rPr>
          <w:sz w:val="24"/>
          <w:szCs w:val="24"/>
          <w:rFonts w:ascii="Arial" w:hAnsi="Arial"/>
        </w:rPr>
        <w:t xml:space="preserve">„individuaalmootorsõiduki või“.</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Artikkel 27</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Artikli R. 415-15 punktis 2 lisatakse sõnade</w:t>
      </w:r>
      <w:r>
        <w:rPr>
          <w:sz w:val="24"/>
          <w:szCs w:val="24"/>
          <w:rFonts w:ascii="Arial" w:hAnsi="Arial"/>
        </w:rPr>
        <w:t xml:space="preserve"> </w:t>
      </w:r>
      <w:r>
        <w:rPr>
          <w:sz w:val="24"/>
          <w:szCs w:val="24"/>
          <w:rFonts w:ascii="Arial" w:hAnsi="Arial"/>
        </w:rPr>
        <w:t xml:space="preserve">„üks“ järele ning sõnade</w:t>
      </w:r>
      <w:r>
        <w:rPr>
          <w:sz w:val="24"/>
          <w:szCs w:val="24"/>
          <w:rFonts w:ascii="Arial" w:hAnsi="Arial"/>
        </w:rPr>
        <w:t xml:space="preserve"> </w:t>
      </w:r>
      <w:r>
        <w:rPr>
          <w:sz w:val="24"/>
          <w:szCs w:val="24"/>
          <w:rFonts w:ascii="Arial" w:hAnsi="Arial"/>
        </w:rPr>
        <w:t xml:space="preserve">„peatumisjoon“ ette sõnad</w:t>
      </w:r>
      <w:r>
        <w:rPr>
          <w:sz w:val="24"/>
          <w:szCs w:val="24"/>
          <w:rFonts w:ascii="Arial" w:hAnsi="Arial"/>
        </w:rPr>
        <w:t xml:space="preserve"> </w:t>
      </w:r>
      <w:r>
        <w:rPr>
          <w:sz w:val="24"/>
          <w:szCs w:val="24"/>
          <w:rFonts w:ascii="Arial" w:hAnsi="Arial"/>
        </w:rPr>
        <w:t xml:space="preserve">„individuaalmootorsõidukite ja“.</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Artikkel 28</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Artikli R. 417-10 lõiku III muudetakse järgmiselt:</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punkti 2 lisatakse sõnade</w:t>
      </w:r>
      <w:r>
        <w:rPr>
          <w:sz w:val="24"/>
          <w:szCs w:val="24"/>
          <w:rFonts w:ascii="Arial" w:hAnsi="Arial"/>
        </w:rPr>
        <w:t xml:space="preserve"> </w:t>
      </w:r>
      <w:r>
        <w:rPr>
          <w:sz w:val="24"/>
          <w:szCs w:val="24"/>
          <w:rFonts w:ascii="Arial" w:hAnsi="Arial"/>
        </w:rPr>
        <w:t xml:space="preserve">„välja arvatud“ järele lisatakse sõna</w:t>
      </w:r>
      <w:r>
        <w:rPr>
          <w:sz w:val="24"/>
          <w:szCs w:val="24"/>
          <w:rFonts w:ascii="Arial" w:hAnsi="Arial"/>
        </w:rPr>
        <w:t xml:space="preserve"> </w:t>
      </w:r>
      <w:r>
        <w:rPr>
          <w:sz w:val="24"/>
          <w:szCs w:val="24"/>
          <w:rFonts w:ascii="Arial" w:hAnsi="Arial"/>
        </w:rPr>
        <w:t xml:space="preserve">„individuaalmootorsõidukid“;</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punkti 6 lisatakse sõnade</w:t>
      </w:r>
      <w:r>
        <w:rPr>
          <w:sz w:val="24"/>
          <w:szCs w:val="24"/>
          <w:rFonts w:ascii="Arial" w:hAnsi="Arial"/>
        </w:rPr>
        <w:t xml:space="preserve"> </w:t>
      </w:r>
      <w:r>
        <w:rPr>
          <w:sz w:val="24"/>
          <w:szCs w:val="24"/>
          <w:rFonts w:ascii="Arial" w:hAnsi="Arial"/>
        </w:rPr>
        <w:t xml:space="preserve">„välja arvatud“ järele sõnad</w:t>
      </w:r>
      <w:r>
        <w:rPr>
          <w:sz w:val="24"/>
          <w:szCs w:val="24"/>
          <w:rFonts w:ascii="Arial" w:hAnsi="Arial"/>
        </w:rPr>
        <w:t xml:space="preserve"> </w:t>
      </w:r>
      <w:r>
        <w:rPr>
          <w:sz w:val="24"/>
          <w:szCs w:val="24"/>
          <w:rFonts w:ascii="Arial" w:hAnsi="Arial"/>
        </w:rPr>
        <w:t xml:space="preserve">„individuaalmootorsõidukid ja“.</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Artikkel 29</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Artikli 417-11 punkti 8 lisatakse sõnade</w:t>
      </w:r>
      <w:r>
        <w:rPr>
          <w:sz w:val="24"/>
          <w:szCs w:val="24"/>
          <w:rFonts w:ascii="Arial" w:hAnsi="Arial"/>
        </w:rPr>
        <w:t xml:space="preserve"> </w:t>
      </w:r>
      <w:r>
        <w:rPr>
          <w:sz w:val="24"/>
          <w:szCs w:val="24"/>
          <w:rFonts w:ascii="Arial" w:hAnsi="Arial"/>
        </w:rPr>
        <w:t xml:space="preserve">„välja arvatud“ järele sõnad</w:t>
      </w:r>
      <w:r>
        <w:rPr>
          <w:sz w:val="24"/>
          <w:szCs w:val="24"/>
          <w:rFonts w:ascii="Arial" w:hAnsi="Arial"/>
        </w:rPr>
        <w:t xml:space="preserve"> </w:t>
      </w:r>
      <w:r>
        <w:rPr>
          <w:sz w:val="24"/>
          <w:szCs w:val="24"/>
          <w:rFonts w:ascii="Arial" w:hAnsi="Arial"/>
        </w:rPr>
        <w:t xml:space="preserve">„individuaalmootorsõidukid ja“.</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Artikkel 30</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Artiklite 4, 5, 7, 8 ja 11 sätted jõustuvad 1. juulil 2020.</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Artikkel 31</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Pitsatihoidja, justiitsminister, ökoloogilise ja solidaarse ülemineku minister, siseminister ja ökoloogilise ja solidaarse ülemineku ministri alluvusse kuuluv transpordi eest vastutav riigisekretär vastutavad igaüks oma haldusalas käesoleva dekreedi rakendamise eest. Käesolev dekreet avaldatakse Prantsuse Vabariigi ametlikus väljaandes.</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Koostatud 23. oktoobril 2019.</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Edouard Philippe</w:t>
      </w:r>
      <w:r>
        <w:rPr>
          <w:sz w:val="24"/>
          <w:szCs w:val="24"/>
          <w:rFonts w:ascii="Arial" w:hAnsi="Arial"/>
        </w:rPr>
        <w:t xml:space="preserve"> </w:t>
      </w: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Peaministri nimel:</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siseminister</w:t>
      </w:r>
      <w:r>
        <w:rPr>
          <w:sz w:val="24"/>
          <w:szCs w:val="24"/>
          <w:rFonts w:ascii="Arial" w:hAnsi="Arial"/>
        </w:rPr>
        <w:t xml:space="preserve"> </w:t>
      </w: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Christophe Castaner</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pitsatihoidja, justiitsminister</w:t>
      </w:r>
      <w:r>
        <w:rPr>
          <w:sz w:val="24"/>
          <w:szCs w:val="24"/>
          <w:rFonts w:ascii="Arial" w:hAnsi="Arial"/>
        </w:rPr>
        <w:t xml:space="preserve"> </w:t>
      </w: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Nicole Belloubet</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Ökoloogilise ja solidaarse ülemineku minister</w:t>
      </w:r>
      <w:r>
        <w:rPr>
          <w:sz w:val="24"/>
          <w:szCs w:val="24"/>
          <w:rFonts w:ascii="Arial" w:hAnsi="Arial"/>
        </w:rPr>
        <w:t xml:space="preserve"> </w:t>
      </w: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Elisabeth Borne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Riigiministri ning ökoloogilise ja solidaarse ülemineku ministri alluvusse kuuluv transpordi eest vastutav riigisekretär</w:t>
      </w:r>
      <w:r>
        <w:rPr>
          <w:sz w:val="24"/>
          <w:szCs w:val="24"/>
          <w:rFonts w:ascii="Arial" w:hAnsi="Arial"/>
        </w:rPr>
        <w:t xml:space="preserve"> </w:t>
      </w: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Jean-Baptiste Djebbari</w:t>
      </w:r>
      <w:r>
        <w:rPr>
          <w:sz w:val="24"/>
          <w:szCs w:val="24"/>
          <w:rFonts w:ascii="Arial" w:hAnsi="Arial"/>
        </w:rPr>
        <w:t xml:space="preserve"> </w:t>
      </w:r>
    </w:p>
    <w:sectPr w:rsidR="002323B1" w:rsidRPr="00C77741">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B80" w:rsidRDefault="00153B80" w:rsidP="00153B80">
      <w:pPr>
        <w:spacing w:after="0" w:line="240" w:lineRule="auto"/>
      </w:pPr>
      <w:r>
        <w:separator/>
      </w:r>
    </w:p>
  </w:endnote>
  <w:endnote w:type="continuationSeparator" w:id="0">
    <w:p w:rsidR="00153B80" w:rsidRDefault="00153B80" w:rsidP="00153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B80" w:rsidRDefault="00153B80" w:rsidP="00153B80">
      <w:pPr>
        <w:spacing w:after="0" w:line="240" w:lineRule="auto"/>
      </w:pPr>
      <w:r>
        <w:separator/>
      </w:r>
    </w:p>
  </w:footnote>
  <w:footnote w:type="continuationSeparator" w:id="0">
    <w:p w:rsidR="00153B80" w:rsidRDefault="00153B80" w:rsidP="00153B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964"/>
    <w:rsid w:val="00153B80"/>
    <w:rsid w:val="002323B1"/>
    <w:rsid w:val="003034D9"/>
    <w:rsid w:val="00525C19"/>
    <w:rsid w:val="008B17F6"/>
    <w:rsid w:val="00906C12"/>
    <w:rsid w:val="00A35964"/>
    <w:rsid w:val="00C7774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15:docId w15:val="{9A09D0BB-5E3F-45BB-B96F-F6A4BE59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t-EE"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B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B80"/>
  </w:style>
  <w:style w:type="paragraph" w:styleId="Footer">
    <w:name w:val="footer"/>
    <w:basedOn w:val="Normal"/>
    <w:link w:val="FooterChar"/>
    <w:uiPriority w:val="99"/>
    <w:unhideWhenUsed/>
    <w:rsid w:val="00153B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2" ma:contentTypeDescription="Create a new document." ma:contentTypeScope="" ma:versionID="7ab35c6755a24c99a316331412811ed7">
  <xsd:schema xmlns:xsd="http://www.w3.org/2001/XMLSchema" xmlns:xs="http://www.w3.org/2001/XMLSchema" xmlns:p="http://schemas.microsoft.com/office/2006/metadata/properties" xmlns:ns2="d2e48c51-b2a3-4f79-9936-b5965aceee4d" targetNamespace="http://schemas.microsoft.com/office/2006/metadata/properties" ma:root="true" ma:fieldsID="6eae3246205fa9c8a301231dc285c3d1" ns2:_="">
    <xsd:import namespace="d2e48c51-b2a3-4f79-9936-b5965aceee4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D480C5-6C45-4CAB-A022-42495368D8EF}"/>
</file>

<file path=customXml/itemProps2.xml><?xml version="1.0" encoding="utf-8"?>
<ds:datastoreItem xmlns:ds="http://schemas.openxmlformats.org/officeDocument/2006/customXml" ds:itemID="{68E15F45-DB1A-44F6-84EA-6D8D5179F4B1}"/>
</file>

<file path=customXml/itemProps3.xml><?xml version="1.0" encoding="utf-8"?>
<ds:datastoreItem xmlns:ds="http://schemas.openxmlformats.org/officeDocument/2006/customXml" ds:itemID="{38908770-983A-4552-930A-575FA8E05C1E}"/>
</file>

<file path=docProps/app.xml><?xml version="1.0" encoding="utf-8"?>
<Properties xmlns="http://schemas.openxmlformats.org/officeDocument/2006/extended-properties" xmlns:vt="http://schemas.openxmlformats.org/officeDocument/2006/docPropsVTypes">
  <Template>Normal</Template>
  <TotalTime>12</TotalTime>
  <Pages>9</Pages>
  <Words>2660</Words>
  <Characters>15167</Characters>
  <Application>Microsoft Office Word</Application>
  <DocSecurity>0</DocSecurity>
  <Lines>126</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17792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PLACIDO, Ana</cp:lastModifiedBy>
  <cp:revision>4</cp:revision>
  <dcterms:created xsi:type="dcterms:W3CDTF">2019-10-25T09:34:00Z</dcterms:created>
  <dcterms:modified xsi:type="dcterms:W3CDTF">2020-07-07T12:40:00Z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Fri Oct 25 11:33:04 CEST 2019</vt:lpwstr>
  </property>
  <property fmtid="{D5CDD505-2E9C-101B-9397-08002B2CF9AE}" pid="3" name="jforVersion">
    <vt:lpwstr>jfor V0.7.2rc1 - see http://www.jfor.org</vt:lpwstr>
  </property>
  <property fmtid="{D5CDD505-2E9C-101B-9397-08002B2CF9AE}" pid="4" name="ContentTypeId">
    <vt:lpwstr>0x010100CC5DA6F2BFDD34498C4453AF02783704</vt:lpwstr>
  </property>
</Properties>
</file>