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0A4" w:rsidRDefault="00AD60A4" w:rsidP="00AD60A4">
      <w:pPr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0471 F-- PL- ------ 20210228 --- --- FINAL</w:t>
      </w:r>
    </w:p>
    <w:p w:rsidR="00DC4FEA" w:rsidRPr="00A2431E" w:rsidRDefault="00DC4FEA" w:rsidP="00C008CB">
      <w:pPr>
        <w:spacing w:after="0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bCs/>
          <w:sz w:val="36"/>
          <w:szCs w:val="36"/>
          <w:rFonts w:ascii="Times New Roman" w:hAnsi="Times New Roman"/>
        </w:rPr>
        <w:t xml:space="preserve">Rozporządzenie z dnia 29 grudnia 2020 r. w sprawie kryteriów, kryteriów cząstkowych i systemu ocen na potrzeby obliczania i umieszczania wskaźnika możliwości naprawy komputerów przenośnych</w:t>
      </w:r>
    </w:p>
    <w:p w:rsidR="00C008CB" w:rsidRPr="00A2431E" w:rsidRDefault="00C008CB" w:rsidP="00C008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Wersja wstępna</w:t>
      </w:r>
      <w:r>
        <w:rPr>
          <w:b/>
          <w:bCs/>
          <w:sz w:val="24"/>
          <w:szCs w:val="24"/>
          <w:rFonts w:ascii="Times New Roman" w:hAnsi="Times New Roman"/>
        </w:rPr>
        <w:t xml:space="preserve"> 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Zainteresowane społeczności: producenci, importerzy, dystrybutorzy lub inne podmioty wprowadzające do obrotu komputery przenośne, sprzedawcy tych urządzeń oraz podmioty wykorzystujące witrynę internetową, platformę lub inny kanał dystrybucji online w ramach swojej działalności handlowej we Francji.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Przedmiot: kryteria, kryteria cząstkowe i system ocen na potrzeby obliczania i umieszczania wskaźnika możliwości naprawy komputerów przenośnych.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Wejście w życie: niniejszy akt wchodzi w życie z dniem 1 stycznia 2021 r.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Uwaga: w niniejszym rozporządzeniu ustanawia się system ocen wskaźnika możliwości naprawy komputerów przenośnych.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DC4FEA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Dokumenty referencyjne: niniejsze rozporządzenie będzie dostępne w serwisie internetowym Légifrance (https://www.legifrance.gouv.fr).</w:t>
      </w:r>
      <w:r>
        <w:rPr>
          <w:sz w:val="24"/>
          <w:szCs w:val="24"/>
          <w:rFonts w:ascii="Times New Roman" w:hAnsi="Times New Roman"/>
        </w:rPr>
        <w:t xml:space="preserve"> 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Minister Transformacji Ekologicznej i Minister Gospodarki, Finansów i Odbudowy,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uwzględniając rozporządzenie Komisji (UE) nr 617/2013 z dnia 26 czerwca 2013 r. w sprawie wykonania dyrektywy Parlamentu Europejskiego i Rady 2009/125/WE w odniesieniu do wymogów dotyczących ekoprojektu dla komputerów i serwerów,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uwzględniając kodeks środowiska, w szczególności jego art. L. 541-9-2,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uwzględniając dekret nr 2020-1757 z dnia 29 grudnia 2020 r. w sprawie wskaźnika możliwości naprawy urządzeń elektrycznych i elektronicznych,</w:t>
      </w:r>
    </w:p>
    <w:p w:rsidR="00DC4FEA" w:rsidRPr="00A2431E" w:rsidRDefault="00DC4FEA" w:rsidP="0059550D">
      <w:pPr>
        <w:keepNext/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przyjmują następujące rozporządzenie:</w:t>
      </w: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Artykuł 1</w:t>
      </w: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Niniejsze rozporządzenie ma zastosowanie do komputerów objętych zakresem stosowania wyżej wspomnianego rozporządzenia z dnia 26 czerwca 2013 r. i komputerów przenośnych z wyłączeniem podkategorii a, b i c.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Artykuł 2</w:t>
      </w:r>
    </w:p>
    <w:p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Na podstawie art. R. 541-210 do R. 541-214 kodeksu środowiska kryteria, kryteria cząstkowe i system ocen mające zastosowanie do produktów zdefiniowanych w art. 1, umożliwiające obliczenie wskaźnika możliwości naprawy podaje się szczegółowo poniżej:</w:t>
      </w: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NR 1 DOKUMENTACJA</w:t>
      </w: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1.1.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ZOBOWIĄZANIE CO DO OKRESU DOSTĘPNOŚCI NIEODPŁATNEJ DOKUMENTACJI TECHNICZNEJ I DOKUMENTÓW DOTYCZĄCYCH ZALECEŃ UŻYTKOWANIA I KONSERWACJI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5"/>
        <w:gridCol w:w="1874"/>
        <w:gridCol w:w="30"/>
        <w:gridCol w:w="275"/>
        <w:gridCol w:w="275"/>
        <w:gridCol w:w="1296"/>
        <w:gridCol w:w="542"/>
        <w:gridCol w:w="222"/>
        <w:gridCol w:w="222"/>
        <w:gridCol w:w="985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C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Konsumenci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Typ dokumentacji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Jednoznaczna identyfikacja produktu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Schemat demontażu lub widok rozstrzelony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Schematy okablowania i podłączeń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Schematy układów scalonych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Wykaz wymaganego sprzętu do napraw i prób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Instrukcja techniczna dotycząca napraw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Kody błędów i kody diagnostyczne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Informacje o częściach składowych i diagnostyce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Instrukcje dotyczące oprogramowania (w tym resetowania)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Dostęp do zgłoszonych i zarejestrowanych zdarzeń w urządzeniu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Biuletyny techniczne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Szczególne wytyczne dotyczące samodzielnej naprawy (zalecane operacje, instrukcje dotyczące bezpieczeństwa i naprawy, ewentualne konsekwencje w wymiarze gwarancji)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Informacje dotyczące dostępu dla profesjonalnych serwisantów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Wykrywanie usterek i wymagane działania (podejście dla ogółu użytkowników)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Zalecenia dotyczące użytkowania i konserwacji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182.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punktów/182)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NR 2 MOŻLIWOŚCI DEMONTAŻU I DOSTĘPU, NARZĘDZIA I MOCOWANIA</w:t>
      </w: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2.1.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ŁATWOŚĆ DEMONTAŻU CZĘŚCI (WYKAZ 2)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5"/>
        <w:gridCol w:w="2668"/>
        <w:gridCol w:w="707"/>
        <w:gridCol w:w="582"/>
        <w:gridCol w:w="597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etapów w celu uzyskania jednostkowego dostępu do danej części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ND/NA (1) lub 11 i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9–10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7–8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0–6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Części z wykazu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Urządzenie pamięci masowej (HDD - SSD)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Wyświetlacz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Akumulator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Złącza zasilania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Ładowarka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(1) ND/NA = nierozbieralne lub niedostępne jednostkowo.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15.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punktów/15)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2.2.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- NARZĘDZIA POTRZEBNE DO DEMONTAŻU CZĘŚCI (WYKAZ 2)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4"/>
        <w:gridCol w:w="850"/>
        <w:gridCol w:w="1634"/>
        <w:gridCol w:w="1501"/>
        <w:gridCol w:w="2067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Typ narzędzi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Narzędzia zastrzeżone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Narzędzia specjalne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Bez narzędzi, zwykłe narzędzia (2)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Części z wykazu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 (3)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Urządzenie pamięci masowej (HDD -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Wyświetlacz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Akumulator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Złącza zasilania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Ładowarka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(2) Lub narzędzie dostarczane z częścią zamienną.</w:t>
      </w: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(3) W przypadku gdy potrzebnych jest więcej narzędzi, zastosować najbardziej niekorzystną ocenę.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20.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punktów/20)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2.3.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CECHY MOCOWAŃ (DO MONTAŻU CZĘŚCI Z WYKAZÓW 1 I 2)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6"/>
        <w:gridCol w:w="1993"/>
        <w:gridCol w:w="1961"/>
        <w:gridCol w:w="2026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Typ mocowania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Nieusuwalne, niemożliwe do ponownego wykorzystania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Usuwalne, niemożliwe do ponownego wykorzystania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Usuwalne i możliwe do ponownego wykorzystania (4)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Części z wykazu 1 lub z wykazu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 (5)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Płyta główna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Pamięć 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Wentylatory, radiatory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Klawiatura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Porty, złącza (6)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Urządzenie pamięci masowej (HDD -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Wyświetlacz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Akumulator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Złącza zasilania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Ładowarka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(4) lub mocowanie dostarczane z częścią zamienną.</w:t>
      </w: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(5) W przypadku gdy potrzebnych jest więcej mocowań, zastosować najbardziej niekorzystną ocenę.</w:t>
      </w: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(6) Do podłączania urządzeń zewnętrznych (USB, HDMI, VGA).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20.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punktów/20)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NR 3 DOSTĘPNOŚĆ CZĘŚCI ZAMIENNYCH</w:t>
      </w: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3.1.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- ZOBOWIĄZANIE PRODUCENTA CO DO OKRESU DOSTĘPNOŚCI CZĘŚCI Z WYKAZU 2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9"/>
        <w:gridCol w:w="386"/>
        <w:gridCol w:w="220"/>
        <w:gridCol w:w="220"/>
        <w:gridCol w:w="738"/>
        <w:gridCol w:w="472"/>
        <w:gridCol w:w="244"/>
        <w:gridCol w:w="244"/>
        <w:gridCol w:w="883"/>
        <w:gridCol w:w="385"/>
        <w:gridCol w:w="220"/>
        <w:gridCol w:w="220"/>
        <w:gridCol w:w="738"/>
        <w:gridCol w:w="506"/>
        <w:gridCol w:w="220"/>
        <w:gridCol w:w="220"/>
        <w:gridCol w:w="901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Kolumna 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Kolumna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Dystrybutorzy części zamiennych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Kolumna C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Kolumna D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Konsumenci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4A3A65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Części z wykazu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Urządzenie pamięci masowej (HDD -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Wyświetlacz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Akumulator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Złącza zasilania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Ładowarka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140.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punktów/140)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3.2.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ZOBOWIĄZANIE PRODUCENTA CO DO OKRESU DOSTĘPNOŚCI CZĘŚCI Z WYKAZU 1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8"/>
        <w:gridCol w:w="429"/>
        <w:gridCol w:w="225"/>
        <w:gridCol w:w="225"/>
        <w:gridCol w:w="805"/>
        <w:gridCol w:w="542"/>
        <w:gridCol w:w="258"/>
        <w:gridCol w:w="258"/>
        <w:gridCol w:w="998"/>
        <w:gridCol w:w="424"/>
        <w:gridCol w:w="230"/>
        <w:gridCol w:w="230"/>
        <w:gridCol w:w="798"/>
        <w:gridCol w:w="531"/>
        <w:gridCol w:w="225"/>
        <w:gridCol w:w="225"/>
        <w:gridCol w:w="945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Kolumna 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Kolumna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Dystrybutorzy części zamiennych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Kolumna C 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Kolumna D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Konsumenci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lat dostępności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0–4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 lub więcej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Części z wykazu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Płyta główna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Pamięć 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Wentylatory, radiatory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Klawiatura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Porty, złącza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(1) Do podłączania urządzeń zewnętrznych (USB, HDMI, VGA).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140.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punktów/140)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3.3.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CZAS DOSTAWY CZĘŚCI Z WYKAZU 2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6"/>
        <w:gridCol w:w="611"/>
        <w:gridCol w:w="408"/>
        <w:gridCol w:w="289"/>
        <w:gridCol w:w="289"/>
        <w:gridCol w:w="688"/>
        <w:gridCol w:w="453"/>
        <w:gridCol w:w="323"/>
        <w:gridCol w:w="322"/>
        <w:gridCol w:w="612"/>
        <w:gridCol w:w="409"/>
        <w:gridCol w:w="289"/>
        <w:gridCol w:w="289"/>
        <w:gridCol w:w="756"/>
        <w:gridCol w:w="482"/>
        <w:gridCol w:w="340"/>
        <w:gridCol w:w="350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Kolumna 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Kolumna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Dystrybutorzy części zamiennych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Kolumna C 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Kolumna D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Konsumenci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Czas dostawy w dniach (1)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Części z wykazu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Urządzenie pamięci masowej (HDD - SDD)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Wyświetlacz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Akumulator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Złącza zasilania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Ładowarka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(1) Dni roboczych od dnia zamówienia.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Przepisy te przyjmuje się bez uszczerbku dla przepisów art. L. 441-4 kodeksu konsumentów w odniesieniu do zakazu ograniczania dostępu profesjonalnych serwisantów do naprawy części zamiennych.</w:t>
      </w: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60.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punktów/60)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3.4.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CZAS DOSTAWY CZĘŚCI Z WYKAZU 1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8"/>
        <w:gridCol w:w="655"/>
        <w:gridCol w:w="436"/>
        <w:gridCol w:w="316"/>
        <w:gridCol w:w="316"/>
        <w:gridCol w:w="741"/>
        <w:gridCol w:w="487"/>
        <w:gridCol w:w="357"/>
        <w:gridCol w:w="356"/>
        <w:gridCol w:w="654"/>
        <w:gridCol w:w="436"/>
        <w:gridCol w:w="316"/>
        <w:gridCol w:w="316"/>
        <w:gridCol w:w="784"/>
        <w:gridCol w:w="502"/>
        <w:gridCol w:w="363"/>
        <w:gridCol w:w="373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Kolumna A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Kolumna B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Dystrybutorzy części zamiennych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Kolumna C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Kolumna D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Konsumenci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Czas dostawy w dniach (1)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11 i powyżej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6–10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1–3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Części z wykazu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Płyta główna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Pamięć 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Wentylatory, radiatory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Klawiatura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  <w:tr w:rsidR="00C008CB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Porty, złącza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(1) dni roboczych od dnia zamówienia.</w:t>
      </w: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(2) Do podłączania urządzeń zewnętrznych (USB, HDMI, VGA).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Przepisy te przyjmuje się bez uszczerbku dla przepisów art. L. 441-4 kodeksu konsumentów w odniesieniu do zakazu ograniczania dostępu profesjonalnych serwisantów do naprawy części zamiennych.</w:t>
      </w: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60.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punktów/60)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NR 4 CENA CZĘŚCI ZAMIENNYCH</w:t>
      </w:r>
    </w:p>
    <w:p w:rsidR="00C008CB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4.1.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- Stosunek ceny części z wykazu 2 do ceny nowego produktu</w:t>
      </w:r>
    </w:p>
    <w:p w:rsidR="00C008CB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Na podstawie stosunku opisanego w rozporządzeniu z dnia 29 grudnia 2020 r. w sprawie zasad umieszczania, oznaczania i parametrów ogólnych obliczania wskaźnika możliwości naprawy liczbę punktów przyznanych za to kryterium określa się w następujący sposób:</w:t>
      </w: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jeśli wynik porównania przekracza 0,3, wówczas liczba punktów wynosi 0;</w:t>
      </w: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jeśli wynik porównania jest niższy niż 0,1, wówczas liczba punktów wynosi 100;</w:t>
      </w: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jeśli wynik porównania mieści się w przedziale między 0,1 a 0,3, wówczas liczbę punktów ustala się według poniższej tabeli korelacji: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369"/>
        <w:gridCol w:w="415"/>
        <w:gridCol w:w="415"/>
        <w:gridCol w:w="415"/>
        <w:gridCol w:w="415"/>
        <w:gridCol w:w="415"/>
        <w:gridCol w:w="415"/>
        <w:gridCol w:w="414"/>
        <w:gridCol w:w="414"/>
        <w:gridCol w:w="414"/>
        <w:gridCol w:w="32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337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Współczynnik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0,3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Zasada zaokrąglania jest następująca:</w:t>
      </w: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jeżeli trzecia cyfra po przecinku jest mniejsza niż 5, ocenę zaokrągla się do części setnej w dół;</w:t>
      </w:r>
    </w:p>
    <w:p w:rsidR="00C008CB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– jeżeli trzecia cyfra po przecinku jest większa lub równa 5, ocenę zaokrągla się do części setnej w górę.</w:t>
      </w: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100.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punktów/100)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SimSun" w:hAnsi="SimSun" w:cs="SimSun"/>
          <w:sz w:val="24"/>
          <w:szCs w:val="24"/>
          <w:lang w:eastAsia="zh-CN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NR 5 KRYTERIUM SZCZEGÓŁOWE</w:t>
      </w: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 odniesieniu do produktów objętych niniejszym rozporządzeniem współczynniki kryteriów cząstkowych kryterium 5 określa się w następujący sposób: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9"/>
        <w:gridCol w:w="2567"/>
        <w:gridCol w:w="1198"/>
        <w:gridCol w:w="1311"/>
        <w:gridCol w:w="1037"/>
        <w:gridCol w:w="1554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Kryterium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Kryterium cząstkowe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Ocena kryterium cząstkowego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Współczynnik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kryterium cząstkowego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Ocena kryterium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Współczynnik kryterium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Kryterium szczegółowe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5.1. Informacje o rodzaju aktualizacji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5.2. Nieodpłatna pomoc na odległość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5,3.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Możliwość resetowania oprogramowania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5.1.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INFORMACJE O RODZAJU AKTUALIZACJI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5"/>
        <w:gridCol w:w="1736"/>
        <w:gridCol w:w="1855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C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Konsumenci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Informacje o zróżnicowanym charakterze aktualizacji: korygujących (błędy lub usterki bezpieczeństwa), rozszerzających lub mieszanych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Sytuacja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Brak informacji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Informacje dostępne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(1) Informacja towarzysząca aktualizacji powinna mieć następującą formę: „aktualizacja korygująca” lub „aktualizacja rozszerzająca”, lub „aktualizacja mieszana”.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punktów/1)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5.2.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NIEODPŁATNA POMOC NA ODLEGŁOŚĆ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730"/>
        <w:gridCol w:w="1347"/>
        <w:gridCol w:w="730"/>
        <w:gridCol w:w="1330"/>
        <w:gridCol w:w="1603"/>
        <w:gridCol w:w="1637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B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Serwisanci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C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Konsumenci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Typ pomocy na odległość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Informacje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aktualne w witrynie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008CB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Informacje</w:t>
            </w:r>
            <w:r>
              <w:rPr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na odległość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Pomoc przy diagnostyce na odległość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Pomoc przy naprawie na odległość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5.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punktów/5)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KRYTERIUM CZĄSTKOWE 5.3.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MOŻLIWOŚĆ RESETOWANIA OPROGRAMOWANIA</w:t>
      </w:r>
    </w:p>
    <w:p w:rsidR="00DC4FEA" w:rsidRPr="00A2431E" w:rsidRDefault="00DC4FEA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7"/>
        <w:gridCol w:w="730"/>
        <w:gridCol w:w="1873"/>
        <w:gridCol w:w="2262"/>
        <w:gridCol w:w="1304"/>
      </w:tblGrid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4A3A65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Kolumna C</w:t>
            </w: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 </w:t>
            </w: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z w:val="24"/>
                <w:szCs w:val="24"/>
                <w:rFonts w:ascii="Times New Roman" w:hAnsi="Times New Roman"/>
              </w:rPr>
              <w:t xml:space="preserve">Konsumenci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Możliwość resetowania oprogramowania nieodpłatnie i bez ograniczeń w dostępie do usług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Brak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Za pomocą wewnętrznego modułu urządzenia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Za pomocą płyty CD-ROM lub innego narzędzia resetowania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Za pomocą zdalnego serwera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59550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59550D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Liczba punktów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Resetowanie oprogramowania, w tym systemu operacyjnego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  <w:tr w:rsidR="00DC4FEA" w:rsidRPr="00A2431E" w:rsidTr="00DC4FE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Resetowanie mikrooprogramowania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08CB" w:rsidRPr="00A2431E" w:rsidRDefault="00C008CB" w:rsidP="00C0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DC4FEA" w:rsidRPr="00A2431E" w:rsidRDefault="00DC4FEA" w:rsidP="00C008CB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szCs w:val="24"/>
                <w:rFonts w:ascii="Times New Roman" w:hAnsi="Times New Roman"/>
              </w:rPr>
              <w:t xml:space="preserve">4</w:t>
            </w:r>
          </w:p>
        </w:tc>
      </w:tr>
    </w:tbl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Maksymalna liczba punktów wynosi 8.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Ocena dla tego kryterium cząstkowego = (liczba otrzymanych punktów/8) × 10.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Artykuł 3</w:t>
      </w:r>
    </w:p>
    <w:p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Przepisy niniejszego rozporządzenia wchodzą w życie z dniem 1 stycznia 2021 r.</w:t>
      </w:r>
    </w:p>
    <w:p w:rsidR="00C008CB" w:rsidRPr="00A2431E" w:rsidRDefault="00C008CB" w:rsidP="00C008CB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59550D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Artykuł 4</w:t>
      </w:r>
    </w:p>
    <w:p w:rsidR="00C008CB" w:rsidRPr="00A2431E" w:rsidRDefault="00C008CB" w:rsidP="0059550D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008CB" w:rsidRPr="00A2431E" w:rsidRDefault="00C008CB" w:rsidP="0059550D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Niniejsze rozporządzenie zostanie opublikowane w Dzienniku Urzędowym Republiki Francuskiej.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4FEA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Sporządzono dnia 29 grudnia 2020 r.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Minister Transformacji Ekologicznej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 imieniu i z upoważnienia Minister: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Komisarz Generalny ds. Zrównoważonego Rozwoju</w:t>
      </w:r>
    </w:p>
    <w:p w:rsidR="00DC4FEA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T. Lesueur</w:t>
      </w: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C008CB" w:rsidP="00C0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Minister Gospodarki, Finansów i Odbudowy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 imieniu Ministra i z jego upoważnienia:</w:t>
      </w:r>
    </w:p>
    <w:p w:rsidR="00C008CB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Dyrektor Generalna ds. Konkurencji, Konsumentów i Zwalczania Oszustw</w:t>
      </w:r>
    </w:p>
    <w:p w:rsidR="00DC4FEA" w:rsidRPr="00A2431E" w:rsidRDefault="00DC4FEA" w:rsidP="00C008CB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V. Beaumeunier</w:t>
      </w:r>
    </w:p>
    <w:sectPr w:rsidR="00DC4FEA" w:rsidRPr="00A24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1D7" w:rsidRDefault="006911D7" w:rsidP="00684BF3">
      <w:pPr>
        <w:spacing w:after="0" w:line="240" w:lineRule="auto"/>
      </w:pPr>
      <w:r>
        <w:separator/>
      </w:r>
    </w:p>
  </w:endnote>
  <w:endnote w:type="continuationSeparator" w:id="0">
    <w:p w:rsidR="006911D7" w:rsidRDefault="006911D7" w:rsidP="00684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1D7" w:rsidRDefault="006911D7" w:rsidP="00684BF3">
      <w:pPr>
        <w:spacing w:after="0" w:line="240" w:lineRule="auto"/>
      </w:pPr>
      <w:r>
        <w:separator/>
      </w:r>
    </w:p>
  </w:footnote>
  <w:footnote w:type="continuationSeparator" w:id="0">
    <w:p w:rsidR="006911D7" w:rsidRDefault="006911D7" w:rsidP="00684B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FEA"/>
    <w:rsid w:val="001C7AF2"/>
    <w:rsid w:val="00262516"/>
    <w:rsid w:val="00266FDC"/>
    <w:rsid w:val="00456D14"/>
    <w:rsid w:val="004A3A65"/>
    <w:rsid w:val="0059550D"/>
    <w:rsid w:val="00684BF3"/>
    <w:rsid w:val="006911D7"/>
    <w:rsid w:val="00A2431E"/>
    <w:rsid w:val="00AD60A4"/>
    <w:rsid w:val="00C008CB"/>
    <w:rsid w:val="00DC4FEA"/>
    <w:rsid w:val="00F6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74BB80"/>
  <w15:chartTrackingRefBased/>
  <w15:docId w15:val="{957CD4CC-01F5-4174-983C-BA06065A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C4F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DC4F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4FE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DC4FE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DC4FEA"/>
  </w:style>
  <w:style w:type="paragraph" w:customStyle="1" w:styleId="test">
    <w:name w:val="test"/>
    <w:basedOn w:val="Normal"/>
    <w:rsid w:val="00D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684B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BF3"/>
  </w:style>
  <w:style w:type="paragraph" w:styleId="Footer">
    <w:name w:val="footer"/>
    <w:basedOn w:val="Normal"/>
    <w:link w:val="FooterChar"/>
    <w:uiPriority w:val="99"/>
    <w:unhideWhenUsed/>
    <w:rsid w:val="00684B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KARAGIANNI, Maria</cp:lastModifiedBy>
  <cp:revision>7</cp:revision>
  <dcterms:created xsi:type="dcterms:W3CDTF">2021-01-04T15:31:00Z</dcterms:created>
  <dcterms:modified xsi:type="dcterms:W3CDTF">2021-01-18T17:03:00Z</dcterms:modified>
</cp:coreProperties>
</file>