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F9A04" w14:textId="44A21250" w:rsidR="0053567F" w:rsidRPr="00602264" w:rsidRDefault="0053567F" w:rsidP="0053567F">
      <w:pPr>
        <w:jc w:val="center"/>
        <w:textAlignment w:val="baseline"/>
        <w:rPr>
          <w:rFonts w:ascii="Courier New" w:hAnsi="Courier New"/>
        </w:rPr>
      </w:pPr>
      <w:r>
        <w:rPr>
          <w:rFonts w:ascii="Courier New" w:hAnsi="Courier New"/>
        </w:rPr>
        <w:t>1. ------IND- 2018 0496 B-- RO- ------ 20181005 --- --- PROJET</w:t>
      </w:r>
    </w:p>
    <w:p w14:paraId="0E3448BF" w14:textId="77777777" w:rsidR="0053567F" w:rsidRDefault="0053567F" w:rsidP="00A065C9">
      <w:pPr>
        <w:tabs>
          <w:tab w:val="left" w:pos="1701"/>
          <w:tab w:val="left" w:pos="2127"/>
        </w:tabs>
        <w:jc w:val="center"/>
        <w:rPr>
          <w:rFonts w:ascii="Garamond" w:hAnsi="Garamond"/>
          <w:b/>
          <w:sz w:val="22"/>
          <w:szCs w:val="22"/>
          <w:lang w:val="nl-BE"/>
        </w:rPr>
      </w:pPr>
    </w:p>
    <w:p w14:paraId="539D41DE" w14:textId="3ED7681B" w:rsidR="00137E75" w:rsidRPr="00BD6E17" w:rsidRDefault="00137E75" w:rsidP="00A065C9">
      <w:pPr>
        <w:tabs>
          <w:tab w:val="left" w:pos="1701"/>
          <w:tab w:val="left" w:pos="2127"/>
        </w:tabs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PROIECT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105C16" w:rsidRPr="00BD6E17" w14:paraId="11BD486F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43EF00C" w14:textId="77777777" w:rsidR="00105C16" w:rsidRPr="00BD6E17" w:rsidRDefault="00105C16" w:rsidP="00152B44">
            <w:pPr>
              <w:pStyle w:val="Heading2"/>
              <w:rPr>
                <w:rFonts w:ascii="Garamond" w:hAnsi="Garamond"/>
                <w:sz w:val="22"/>
                <w:szCs w:val="22"/>
                <w:lang w:val="fr-BE"/>
              </w:rPr>
            </w:pPr>
          </w:p>
          <w:p w14:paraId="1D8BB395" w14:textId="77777777" w:rsidR="00105C16" w:rsidRPr="00BD6E17" w:rsidRDefault="00105C16" w:rsidP="00152B44">
            <w:pPr>
              <w:pStyle w:val="Heading2"/>
              <w:rPr>
                <w:rFonts w:ascii="Garamond" w:hAnsi="Garamond"/>
                <w:sz w:val="22"/>
                <w:szCs w:val="22"/>
                <w:lang w:val="fr-BE"/>
              </w:rPr>
            </w:pPr>
          </w:p>
          <w:p w14:paraId="13752FF3" w14:textId="77777777" w:rsidR="00105C16" w:rsidRPr="00BD6E17" w:rsidRDefault="00105C16" w:rsidP="00152B44">
            <w:pPr>
              <w:pStyle w:val="Heading2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Regatul Belgiei</w:t>
            </w:r>
          </w:p>
        </w:tc>
      </w:tr>
      <w:tr w:rsidR="00105C16" w:rsidRPr="00BD6E17" w14:paraId="215FEFAF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79909BDD" w14:textId="77777777"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_________</w:t>
            </w:r>
          </w:p>
          <w:p w14:paraId="3BB86A1E" w14:textId="77777777"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  <w:lang w:val="fr-BE"/>
              </w:rPr>
            </w:pPr>
          </w:p>
          <w:p w14:paraId="2CCBCC0E" w14:textId="77777777"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BD6E17">
              <w:rPr>
                <w:rFonts w:ascii="Garamond" w:hAnsi="Garamond"/>
                <w:sz w:val="22"/>
                <w:szCs w:val="22"/>
              </w:rPr>
              <w:object w:dxaOrig="1396" w:dyaOrig="1411" w14:anchorId="2FDC94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7.25pt" o:ole="" fillcolor="window">
                  <v:imagedata r:id="rId11" o:title=""/>
                </v:shape>
                <o:OLEObject Type="Embed" ProgID="Word.Picture.8" ShapeID="_x0000_i1025" DrawAspect="Content" ObjectID="_1600243914" r:id="rId12"/>
              </w:object>
            </w:r>
          </w:p>
        </w:tc>
      </w:tr>
      <w:tr w:rsidR="00105C16" w:rsidRPr="00BD6E17" w14:paraId="45E30851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2BF09AE" w14:textId="77777777"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  <w:lang w:val="fr-BE"/>
              </w:rPr>
            </w:pPr>
          </w:p>
        </w:tc>
      </w:tr>
      <w:tr w:rsidR="00105C16" w:rsidRPr="00BD6E17" w14:paraId="2C1ECDC8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6263DCE9" w14:textId="77777777" w:rsidR="00105C16" w:rsidRPr="00BD6E17" w:rsidRDefault="00105C16" w:rsidP="00152B44">
            <w:pPr>
              <w:tabs>
                <w:tab w:val="left" w:pos="2410"/>
                <w:tab w:val="left" w:pos="3616"/>
                <w:tab w:val="left" w:pos="3899"/>
              </w:tabs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SERVICIUL PUBLIC FEDERAL PENTRU SĂNĂTATE PUBLICĂ, SIGURANȚA LANȚULUI ALIMENTAR ȘI MEDIU</w:t>
            </w:r>
          </w:p>
        </w:tc>
      </w:tr>
      <w:tr w:rsidR="00105C16" w:rsidRPr="00BD6E17" w14:paraId="0B8D3937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7C6A0D4D" w14:textId="77777777"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________________________</w:t>
            </w:r>
          </w:p>
        </w:tc>
      </w:tr>
      <w:tr w:rsidR="00105C16" w:rsidRPr="00BD6E17" w14:paraId="2DD7FDC4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C68DC4C" w14:textId="77777777" w:rsidR="00105C16" w:rsidRPr="00BD6E17" w:rsidRDefault="00105C16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105C16" w:rsidRPr="00BD6E17" w14:paraId="1E10F28A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6C63CA3" w14:textId="3C97ADBD" w:rsidR="00105C16" w:rsidRPr="00BD6E17" w:rsidRDefault="00105C16" w:rsidP="006A5052">
            <w:pPr>
              <w:tabs>
                <w:tab w:val="left" w:pos="2410"/>
              </w:tabs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Decret regal privind utilizarea logo-ului „Nutri-Score”</w:t>
            </w:r>
          </w:p>
        </w:tc>
      </w:tr>
      <w:tr w:rsidR="00105C16" w:rsidRPr="00BD6E17" w14:paraId="070260FD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88F92E0" w14:textId="77777777" w:rsidR="00105C16" w:rsidRPr="00BD6E17" w:rsidRDefault="00105C16" w:rsidP="00152B44">
            <w:pPr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433C076F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AA4E6EE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PHILIPPE, Regele belgienilor,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05C16" w:rsidRPr="00BD6E17" w14:paraId="154428B7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6576AFD3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07E3ED2B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4E416B68" w14:textId="77777777" w:rsidR="00105C16" w:rsidRPr="00BD6E17" w:rsidRDefault="00105C16" w:rsidP="00374B5A">
            <w:pPr>
              <w:pStyle w:val="Footer"/>
              <w:tabs>
                <w:tab w:val="clear" w:pos="4536"/>
                <w:tab w:val="clear" w:pos="9072"/>
                <w:tab w:val="left" w:pos="355"/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Salutări tuturor celor prezenți și celor ce vor veni.</w:t>
            </w:r>
          </w:p>
          <w:p w14:paraId="65DA6F12" w14:textId="77777777" w:rsidR="00105C16" w:rsidRPr="00BD6E17" w:rsidRDefault="00105C16" w:rsidP="003F5CFD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50164071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E78FF34" w14:textId="65CC2005" w:rsidR="00105C16" w:rsidRPr="00BD6E17" w:rsidRDefault="00105C16" w:rsidP="0071535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având în vedere Regulamentul (UE) nr. 1169/2011 al Parlamentului European și al Consiliului din 25 octombrie 2011 privind informarea consumatorilor cu privire la produsele alimentare, de modificare a Regulamentelor (CE) nr. 1924/2006 și (CE) nr. 1925/2006 ale Parlamentului European și ale Consiliului și de abrogare a Directivei 87/250/CEE a Comisiei, a Directivei 90/496/CEE a Consiliului, a Directivei 1999/10/CE a Comisiei, a Directivei 2000/13/CE a Parlamentului European și a Consiliului, a Directivelor 2002/67/CE și 2008/5/CE ale Comisiei și a Regulamentului (CE) nr. 608/2004 al Comisiei, articolele 36 și 38,</w:t>
            </w:r>
          </w:p>
          <w:p w14:paraId="39D589DA" w14:textId="77777777"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</w:tc>
      </w:tr>
      <w:tr w:rsidR="00105C16" w:rsidRPr="00BD6E17" w14:paraId="362ED037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71C76485" w14:textId="48D5C9DD" w:rsidR="00105C16" w:rsidRPr="00BD6E17" w:rsidRDefault="00105C16" w:rsidP="0071535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având în vedere Regulamentul (CE) nr. 1924/2006 al Parlamentului European și al Consiliului din 20 decembrie 2006 privind mențiunile nutriționale și de sănătate înscrise pe produsele alimentare </w:t>
            </w:r>
            <w:r>
              <w:rPr>
                <w:rFonts w:ascii="Garamond" w:hAnsi="Garamond"/>
                <w:sz w:val="22"/>
                <w:szCs w:val="22"/>
                <w:shd w:val="clear" w:color="auto" w:fill="FFFFFF" w:themeFill="background1"/>
              </w:rPr>
              <w:t xml:space="preserve">articolele </w:t>
            </w:r>
            <w:r>
              <w:rPr>
                <w:rFonts w:ascii="Garamond" w:hAnsi="Garamond"/>
                <w:sz w:val="22"/>
                <w:szCs w:val="22"/>
              </w:rPr>
              <w:t>8 și 23,</w:t>
            </w:r>
          </w:p>
          <w:p w14:paraId="08D03285" w14:textId="77777777"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</w:tc>
      </w:tr>
      <w:tr w:rsidR="00105C16" w:rsidRPr="00BD6E17" w14:paraId="25FFEE58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E1375A0" w14:textId="7BB9CCF9"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având în vedere Legea din 24 ianuarie 1977 privind protecția sănătății consumatorilor în ceea ce privește produsele alimentare și alte produse, articolul 2 primul și al doilea paragraf,</w:t>
            </w:r>
          </w:p>
          <w:p w14:paraId="0B891BE6" w14:textId="68C1BAC2" w:rsidR="00105C16" w:rsidRPr="00BD6E17" w:rsidRDefault="00105C16" w:rsidP="00ED7D13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0644043F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8DB6FA2" w14:textId="77777777"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având în vedere avizul inspectorului de finanțe, acordat la data de x,</w:t>
            </w:r>
          </w:p>
          <w:p w14:paraId="227BE66F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6BA01E71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4A1DD8AD" w14:textId="77777777"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având în vedere acordul ministrului bugetului, acordat la data de x,</w:t>
            </w:r>
          </w:p>
          <w:p w14:paraId="5BC33A4A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13025272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4048CB1E" w14:textId="781B8C63"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având în vedere avizul Consiliului consultativ în materie de politică alimentară și utilizare de alte produse de consum, acordat la data de x, </w:t>
            </w:r>
          </w:p>
          <w:p w14:paraId="5C570FB4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78473FB5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E845CC2" w14:textId="2A19D999"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având în vedere avizul Consiliului de stat, acordat la data de X, în conformitate cu articolul 84 alineatul (1) primul paragraf punctul 2 din Legile Consiliului de stat coordonate la 12 ianuarie 1973,</w:t>
            </w:r>
          </w:p>
          <w:p w14:paraId="3EF92D2F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25944B80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6DA9C916" w14:textId="1E220053" w:rsidR="00105C16" w:rsidRPr="00BD6E17" w:rsidRDefault="00105C16" w:rsidP="00374B5A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având în vedere comunicarea adresată la ..., Comisiei Europene, în conformitate cu articolul 5 alineatul (1) din Directiva 2015/1535 a Parlamentului European și a Consiliului din 9 septembrie 2015 referitoare la procedura de furnizare de informații în domeniul reglementărilor tehnice și al normelor privind serviciile societății informaționale,</w:t>
            </w:r>
          </w:p>
        </w:tc>
      </w:tr>
      <w:tr w:rsidR="00105C16" w:rsidRPr="00BD6E17" w14:paraId="43C0D3F9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070CD92" w14:textId="77777777"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La propunerea ministrului sănătății publice,</w:t>
            </w:r>
          </w:p>
          <w:p w14:paraId="6368BA52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3D64A4BF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149DF0C" w14:textId="74513DF0"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caps/>
                <w:color w:val="000000"/>
                <w:sz w:val="22"/>
              </w:rPr>
              <w:t>Am hotărât și hotărâm:</w:t>
            </w:r>
          </w:p>
          <w:p w14:paraId="2BF6FD6A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275E466B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AF174BF" w14:textId="0A16F02F" w:rsidR="00105C16" w:rsidRPr="00BD6E17" w:rsidRDefault="00105C16" w:rsidP="007553F9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Articolul 1 Prezentul decret stabilește normele privind utilizarea logo-ului „Nutri-Score” care a făcut obiectul depunerii unei cereri de înregistrare la EUIPO (Oficiul Uniunii Europene pentru Proprietate Intelectuală) și condițiile pentru utilizarea sa. „Nutri-Score” este un logo nutrițional voluntar pentru produsele alimentare.</w:t>
            </w:r>
          </w:p>
          <w:p w14:paraId="6DBDD9ED" w14:textId="64EB1E2C" w:rsidR="00105C16" w:rsidRPr="00BD6E17" w:rsidRDefault="00105C16" w:rsidP="007553F9">
            <w:pPr>
              <w:jc w:val="both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48AF1B75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6E364930" w14:textId="71EFE973" w:rsidR="00105C16" w:rsidRPr="00BD6E17" w:rsidRDefault="00105C16" w:rsidP="005F0566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Articolul 2 </w:t>
            </w:r>
            <w:r>
              <w:rPr>
                <w:rFonts w:ascii="Garamond" w:hAnsi="Garamond"/>
                <w:sz w:val="22"/>
                <w:szCs w:val="22"/>
              </w:rPr>
              <w:t>(1) În conformitate cu dispozițiile Regulamentului (UE) nr. 1169/2011 al Parlamentului European și al Consiliului din 25 octombrie 2011 privind informarea consumatorilor cu privire la produsele alimentare și Regulamentului (CE) n° 1924/2006 al Parlamentului European și al Consiliului din 20 decembrie 2006 privind mențiunile nutriționale și de sănătate înscrise pe produsele alimentare, logo-ul „Nutri-Score” trebuie utilizat în conformitate cu modalitățile stabilite în caietul de sarcini din anexa la prezentul decret.</w:t>
            </w:r>
          </w:p>
          <w:p w14:paraId="03D8483E" w14:textId="77777777" w:rsidR="00105C16" w:rsidRPr="00BD6E17" w:rsidRDefault="00105C16" w:rsidP="005F0566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  <w:p w14:paraId="3FC201FE" w14:textId="24D62179" w:rsidR="00105C16" w:rsidRPr="00BD6E17" w:rsidRDefault="00105C16" w:rsidP="0031302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(2) Atunci când operatorii se angajează să utilizeze „Nutri-Score”, acest angajament se referă la toate categoriile de produse alimentare puse de aceștia pe piață sub marca proprie.</w:t>
            </w:r>
          </w:p>
          <w:p w14:paraId="7BD8D6A3" w14:textId="30B235AD" w:rsidR="00105C16" w:rsidRPr="00BD6E17" w:rsidRDefault="00105C16" w:rsidP="005F0566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</w:tc>
      </w:tr>
      <w:tr w:rsidR="00105C16" w:rsidRPr="00BD6E17" w14:paraId="3887F14D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43D437C" w14:textId="0D52A1C6" w:rsidR="00105C16" w:rsidRPr="00BD6E17" w:rsidRDefault="00105C16" w:rsidP="000F44A3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Articolul 3 Ministrul sănătății publice este însărcinat cu punerea în aplicare a prezentului decret.</w:t>
            </w:r>
          </w:p>
          <w:p w14:paraId="1C8357F5" w14:textId="77777777" w:rsidR="00105C16" w:rsidRPr="00BD6E17" w:rsidRDefault="00105C16" w:rsidP="00C9110E">
            <w:pPr>
              <w:jc w:val="both"/>
              <w:rPr>
                <w:rFonts w:ascii="Garamond" w:hAnsi="Garamond"/>
                <w:b/>
                <w:sz w:val="22"/>
                <w:szCs w:val="22"/>
                <w:lang w:val="fr-BE" w:eastAsia="en-US"/>
              </w:rPr>
            </w:pPr>
          </w:p>
          <w:p w14:paraId="75D204BA" w14:textId="77777777" w:rsidR="00105C16" w:rsidRPr="00BD6E17" w:rsidRDefault="00105C16" w:rsidP="00C9110E">
            <w:pPr>
              <w:jc w:val="both"/>
              <w:rPr>
                <w:rFonts w:ascii="Garamond" w:hAnsi="Garamond"/>
                <w:b/>
                <w:sz w:val="22"/>
                <w:szCs w:val="22"/>
                <w:lang w:val="fr-BE" w:eastAsia="en-US"/>
              </w:rPr>
            </w:pPr>
          </w:p>
          <w:p w14:paraId="1A713227" w14:textId="415ADB8A" w:rsidR="00105C16" w:rsidRPr="00BD6E17" w:rsidRDefault="000F53C1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Data</w:t>
            </w:r>
          </w:p>
          <w:p w14:paraId="0074C333" w14:textId="77777777" w:rsidR="00105C16" w:rsidRPr="00BD6E17" w:rsidRDefault="00105C16" w:rsidP="00C9110E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  <w:p w14:paraId="57F6F7A9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22297A06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D04C23A" w14:textId="36476478" w:rsidR="00105C16" w:rsidRPr="00BD6E17" w:rsidRDefault="00105C16" w:rsidP="005F056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În numele Regelui:  </w:t>
            </w:r>
          </w:p>
          <w:p w14:paraId="4C6789FA" w14:textId="77777777" w:rsidR="00105C16" w:rsidRPr="00BD6E17" w:rsidRDefault="00105C16" w:rsidP="00374B5A">
            <w:pPr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  <w:p w14:paraId="0A9BEF8F" w14:textId="77777777" w:rsidR="00105C16" w:rsidRPr="00BD6E17" w:rsidRDefault="00105C16" w:rsidP="005F0566">
            <w:pPr>
              <w:jc w:val="center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  <w:p w14:paraId="41C448CB" w14:textId="0E6E49D8" w:rsidR="00105C16" w:rsidRPr="00BD6E17" w:rsidRDefault="00105C16" w:rsidP="005F0566">
            <w:pPr>
              <w:jc w:val="center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</w:tc>
      </w:tr>
      <w:tr w:rsidR="00105C16" w:rsidRPr="00BD6E17" w14:paraId="73EA366C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4DD80951" w14:textId="202ABC3C" w:rsidR="00105C16" w:rsidRPr="00BD6E17" w:rsidRDefault="00105C16" w:rsidP="005F056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Ministrul sănătății publice,</w:t>
            </w:r>
          </w:p>
        </w:tc>
      </w:tr>
      <w:tr w:rsidR="00105C16" w:rsidRPr="00BD6E17" w14:paraId="47A3FFC6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7F1444E5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4738DAB3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036F3EF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1DF991C9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0FEE73C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231107EA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1311576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12AC8A08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A26EF07" w14:textId="77777777" w:rsidR="00105C16" w:rsidRPr="00BD6E17" w:rsidRDefault="00105C16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05C16" w:rsidRPr="00BD6E17" w14:paraId="16C23E0F" w14:textId="77777777" w:rsidTr="000F53C1">
        <w:trPr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69C9A7E8" w14:textId="77777777"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783B5A33" w14:textId="77777777"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18005E73" w14:textId="77777777"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6C7F49D0" w14:textId="77777777"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6A3F9DA8" w14:textId="77777777"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259021DB" w14:textId="77777777" w:rsidR="00497043" w:rsidRPr="00BD6E17" w:rsidRDefault="00497043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67E351B3" w14:textId="54FB49F3" w:rsidR="00105C16" w:rsidRPr="00BD6E17" w:rsidRDefault="00105C16" w:rsidP="00152B44">
            <w:pPr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Maggie DE BLOCK</w:t>
            </w:r>
          </w:p>
        </w:tc>
      </w:tr>
    </w:tbl>
    <w:p w14:paraId="09BE62A7" w14:textId="77777777" w:rsidR="00137E75" w:rsidRPr="00BD6E17" w:rsidRDefault="00137E75" w:rsidP="0074255A">
      <w:pPr>
        <w:jc w:val="both"/>
        <w:rPr>
          <w:lang w:val="fr-BE"/>
        </w:rPr>
      </w:pPr>
    </w:p>
    <w:p w14:paraId="1929DD7A" w14:textId="37A68AC3" w:rsidR="00954D47" w:rsidRPr="00BD6E17" w:rsidRDefault="00954D47" w:rsidP="000F53C1">
      <w:pPr>
        <w:pageBreakBefore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Anexă la decretul regal privind utilizarea logo-ului „Nutri-Score”</w:t>
      </w:r>
    </w:p>
    <w:p w14:paraId="1EDEE84F" w14:textId="2C5B2C2E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5F36528" w14:textId="77777777" w:rsidR="00F85DC5" w:rsidRPr="00BD6E17" w:rsidRDefault="00F85DC5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2737E978" w14:textId="486EAA85" w:rsidR="007F5706" w:rsidRPr="00BD6E17" w:rsidRDefault="0057211F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CAIET DE SA</w:t>
      </w:r>
      <w:bookmarkStart w:id="0" w:name="_GoBack"/>
      <w:bookmarkEnd w:id="0"/>
      <w:r w:rsidR="007F5706">
        <w:rPr>
          <w:rFonts w:ascii="Garamond" w:hAnsi="Garamond"/>
          <w:sz w:val="22"/>
          <w:szCs w:val="22"/>
        </w:rPr>
        <w:t>RCINI </w:t>
      </w:r>
    </w:p>
    <w:p w14:paraId="2704690D" w14:textId="40BAA1F9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F3EE3FF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Pentru clasificarea produsului alimentar, producătorii și distribuitorii din sectorul alimentar respectă următoarele reguli de calcul care se aplică succesiv: </w:t>
      </w:r>
    </w:p>
    <w:p w14:paraId="5ABDAA64" w14:textId="52E4AF50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93EA8CD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calcularea punctajului nutrițional al produsului alimentar;</w:t>
      </w:r>
    </w:p>
    <w:p w14:paraId="33DE9E95" w14:textId="2A267272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7E76995C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clasarea produsului alimentar pe scara nutrițională cu 5 culori pe baza punctajului calculat. </w:t>
      </w:r>
    </w:p>
    <w:p w14:paraId="26E65975" w14:textId="200145D9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E029ADE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1) Calcularea punctajului nutrițional al produselor alimentare.</w:t>
      </w:r>
    </w:p>
    <w:p w14:paraId="74FC2DC8" w14:textId="6BE165C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9754AAB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Acesta se calculează în mod similar pentru toate produsele alimentare, cu excepția brânzeturilor, materiilor grase de origine vegetală sau animală și a băuturilor. Pentru aceste categorii de produse alimentare, se iau în considerare modificările menționate la punctul 1-b.</w:t>
      </w:r>
    </w:p>
    <w:p w14:paraId="73BE4315" w14:textId="410A7C3A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52068F9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1a Caz general</w:t>
      </w:r>
    </w:p>
    <w:p w14:paraId="27680B79" w14:textId="4A4C9D81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D8CF3D4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Punctajul nutrițional al produselor alimentare se bazează pe calculul unui punctaj unic și global care ia în considerare, pentru fiecare produs alimentar: </w:t>
      </w:r>
    </w:p>
    <w:p w14:paraId="0372E1D0" w14:textId="78432EEF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94D9B36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o componentă denumită „negativă” N,</w:t>
      </w:r>
    </w:p>
    <w:p w14:paraId="61485EBA" w14:textId="446C7532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066E5EE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o componentă denumită „pozitivă” P. </w:t>
      </w:r>
    </w:p>
    <w:p w14:paraId="768FA590" w14:textId="0FD8C813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7FCF77CD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Componenta N a punctajului include elementele nutriționale în cazul cărora se recomandă un consum limitat: densitate energetică (aport caloric exprimat în kJ pentru 100 g de produs alimentar), conținutul de acizi grași saturați, de zaharuri simple (exprimat în g pentru 100 g de produs alimentar) și de sare (în mg pentru 100 g de produs alimentar). Valoarea sa corespunde cu suma punctelor atribuite, de la 1 la 10, în funcție de compoziția nutrițională a produsului alimentar (conform tabelului 1). Valoarea pentru componenta N este cuprinsă între 0 și 40. </w:t>
      </w:r>
    </w:p>
    <w:p w14:paraId="5533E24A" w14:textId="0A802A44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427D2399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Tabelul 1. - Puncte atribuite fiecăruia dintre elementele componentei denumite „negative” N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920"/>
        <w:gridCol w:w="1920"/>
        <w:gridCol w:w="1920"/>
        <w:gridCol w:w="30"/>
      </w:tblGrid>
      <w:tr w:rsidR="007F5706" w:rsidRPr="00BD6E17" w14:paraId="44769812" w14:textId="77777777" w:rsidTr="000F53C1">
        <w:trPr>
          <w:gridAfter w:val="1"/>
          <w:wAfter w:w="2" w:type="dxa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4533B46" w14:textId="77777777" w:rsidR="00212B9F" w:rsidRPr="00CB192D" w:rsidRDefault="00212B9F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pt-PT" w:eastAsia="en-US"/>
              </w:rPr>
            </w:pPr>
          </w:p>
          <w:p w14:paraId="7B44E0D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Puncte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F1CD3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Densitate energetică</w:t>
            </w:r>
          </w:p>
          <w:p w14:paraId="665B8336" w14:textId="2E4EBE4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FC5979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(KJ/100g)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9859FA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Grăsimi saturate</w:t>
            </w:r>
          </w:p>
          <w:p w14:paraId="164A96D9" w14:textId="26113A3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689B9E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0B1DEA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Zaharuri simple</w:t>
            </w:r>
          </w:p>
          <w:p w14:paraId="62B78CE0" w14:textId="781BE67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6A44FE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2550D6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Sodiu (1)</w:t>
            </w:r>
          </w:p>
          <w:p w14:paraId="03EEEF33" w14:textId="1D000C1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05B2A6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(mg/100g)</w:t>
            </w:r>
          </w:p>
        </w:tc>
      </w:tr>
      <w:tr w:rsidR="007F5706" w:rsidRPr="00BD6E17" w14:paraId="00B7B89B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4B4BE8A" w14:textId="25DD8D6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4FE676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ED0FDBB" w14:textId="19F62D9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2A2D4C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335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BC910EA" w14:textId="1440B34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B9A8CD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319F7E9" w14:textId="112AA36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6487D6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4,5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5FF0D57" w14:textId="2BCC775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4AF9C4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90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00BD35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200DC322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331B96C" w14:textId="1815DE1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5A3370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183083C" w14:textId="7F69218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ADFAB2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&gt;335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1B6E532" w14:textId="78E1899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0836EB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D3ACA6D" w14:textId="18AB261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374AC0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&gt;4,5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DF8B973" w14:textId="5E0C4B2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9EF44F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&gt;90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B36CAC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7C9FE690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B03A17A" w14:textId="7F381B9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556B30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A1E774B" w14:textId="26888C0A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DD3661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&gt;670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2006523" w14:textId="5F71170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434AEF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428AC2B" w14:textId="108E292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761E32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1555BB0" w14:textId="38CCEE45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2AB521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&gt;180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1783BE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102DA4C5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D5D0FA1" w14:textId="305DA88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62D5AB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4FF2142" w14:textId="7A47D25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AABD2F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&gt;1005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CC84BF5" w14:textId="1B7F360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B16B8C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1BB0AF9" w14:textId="58CF15A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FA0CF2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&gt;13,5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7378C5F" w14:textId="28DD9CA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910C86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&gt;270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3E480C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7DEDD3BD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216D5CF" w14:textId="14180BC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115418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800EB8" w14:textId="7987BF7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6C17C8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&gt;1340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7D39B59" w14:textId="67C9BFC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BFBAC6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112BE9E" w14:textId="41CE228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727984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&gt;18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508BBD3" w14:textId="1C0EB57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B1A48B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&gt;360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A63B39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1293EAE7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E0EDBA" w14:textId="54938E9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B0CB9F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247C1FA" w14:textId="26CE54A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5E96DF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&gt;1675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72C3D8C" w14:textId="0A95905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742132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CE4A8B7" w14:textId="44ABB6E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B29322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&gt;22,5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675A216" w14:textId="7B5345DA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9D80E5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&gt;450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0AC06F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77EDFFE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A76A2C" w14:textId="3BD15E7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4A0F40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DBF56F1" w14:textId="6A20E20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077023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&gt;2010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09CC754" w14:textId="0A8B08B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997C91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&gt;6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F09779A" w14:textId="12DB4CB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93E346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&gt;27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26D04A6" w14:textId="021A232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B5814B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&gt;540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D209EF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399F9807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963D596" w14:textId="7F9BF905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605ABD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29D3FF9" w14:textId="43466BA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5AC259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&gt;2345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82A4461" w14:textId="65A698F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88E1E4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F2C1F86" w14:textId="6B8B9A2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AC2251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&gt;31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5156275" w14:textId="3FC45F5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06EF57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&gt;630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BCB198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40B5CF5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9816BD" w14:textId="1DAD267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7AD347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AC290F9" w14:textId="16AA2BA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5406EE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&gt;2680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3EB9AF1" w14:textId="19597FE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0A3CF2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74F6043" w14:textId="198BCF4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B2CDAA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&gt;36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2CD4396" w14:textId="239AB56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7A6A23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&gt;720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EA8FD5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7B740640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2F9C386" w14:textId="18A6EDE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2CEBF1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0851C1C" w14:textId="1B1BE82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D9440B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&gt;3015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8324C3" w14:textId="2535C6E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12631D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152FF9D" w14:textId="5716EAA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825033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EF89B36" w14:textId="012DDA2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2673EB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&gt;810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DDE7D2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5E4391AC" w14:textId="77777777" w:rsidTr="000F53C1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D20B139" w14:textId="57016B7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A3BA7C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DA16A58" w14:textId="6C83B48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4798A0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&gt;3350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5B058F9" w14:textId="13B271A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952382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241E998" w14:textId="3FBE9A7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5AB3E7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&gt;45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5892C2F" w14:textId="0E39753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A70DAB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&gt;900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682AD6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61386F57" w14:textId="4D51B31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4D14401C" w14:textId="52504E79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1CEC5468" w14:textId="2D4BBA05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(1) Conținutul de sodiu corespunde cu conținutul de sare menționat în declarația obligatorie, împărțit la 2,5.</w:t>
      </w:r>
    </w:p>
    <w:p w14:paraId="316ED247" w14:textId="4D2C2EF4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385C5FD" w14:textId="46BB1ECE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Componenta P se calculează în funcție de cantitatea de fructe și legume, leguminoase și fructe cu coajă lemnoasă din produsul alimentar, de vitaminele, fibrele și proteinele pe care le conține (exprimate în g pentru 100 g de produs alimentar). Pentru fiecare dintre aceste elemente, se acordă puncte, de la 1 la 5, în funcție de cantitatea lor în produsul alimentar (conform tabelului 2). Componenta pozitivă P a punctajului nutrițional reprezintă valoarea corespunzătoare sumei punctelor definite pentru aceste trei elemente: prin urmare, această valoare este cuprinsă între 0 și 15.</w:t>
      </w:r>
    </w:p>
    <w:p w14:paraId="3E09265E" w14:textId="33121804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011CB7B" w14:textId="05133F6C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Tabelul 2. - Puncte atribuite fiecăruia dintre elementele componentei denumite „pozitive” P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  <w:gridCol w:w="30"/>
      </w:tblGrid>
      <w:tr w:rsidR="007F5706" w:rsidRPr="00BD6E17" w14:paraId="570E1023" w14:textId="77777777" w:rsidTr="000F53C1">
        <w:trPr>
          <w:gridAfter w:val="1"/>
          <w:wAfter w:w="2" w:type="dxa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5B7CD4E" w14:textId="4E74D27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374BF5D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Puncte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8230BAC" w14:textId="3349BA6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7383CC2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Fructe și legume, leguminoase și fructe cu coajă lemnoasă (g/100g) (1)</w:t>
            </w:r>
          </w:p>
          <w:p w14:paraId="223AF790" w14:textId="2E81AC9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4B38269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(%)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42DD33D" w14:textId="3FC79B5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D0D973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Fibre</w:t>
            </w:r>
          </w:p>
          <w:p w14:paraId="7D6EDA77" w14:textId="679E203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0BFFDF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(g/100g)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07FCF5F" w14:textId="38466A6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24317A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Proteine</w:t>
            </w:r>
          </w:p>
          <w:p w14:paraId="22F0091D" w14:textId="006D6A8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D9A647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(g/100g)</w:t>
            </w:r>
          </w:p>
        </w:tc>
      </w:tr>
      <w:tr w:rsidR="007F5706" w:rsidRPr="00BD6E17" w14:paraId="4A9B386F" w14:textId="77777777" w:rsidTr="000F53C1">
        <w:trPr>
          <w:gridAfter w:val="2"/>
          <w:wAfter w:w="2402" w:type="dxa"/>
        </w:trPr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18DEAF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C7B5D1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3B036DE" w14:textId="158396F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A35BCD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Metoda AOAC</w:t>
            </w:r>
          </w:p>
        </w:tc>
      </w:tr>
      <w:tr w:rsidR="007F5706" w:rsidRPr="00BD6E17" w14:paraId="49DA462C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FD0E579" w14:textId="009DA1B5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C00230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C4DB098" w14:textId="4B576755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B7C8F4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490C13A" w14:textId="7506745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051974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0,9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5254407" w14:textId="15E4E17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1AF941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1,6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7D10C8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4C3DF008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5C2E97D" w14:textId="3A51413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18442A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9FD6C70" w14:textId="7323F2A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A35DCE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F677590" w14:textId="13AAAB8A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F15D64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&gt;0,9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3CA27C6" w14:textId="08A955B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D64C9C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&gt;1,6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E9E5C0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372BC647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F2E3B3E" w14:textId="5A40DE7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BA3BFA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3FBFC2D" w14:textId="4520FB8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5061F0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&gt;60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6E0C008" w14:textId="74424BC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733DC1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&gt;1,9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8FD28C" w14:textId="634A00A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78D1D6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&gt;3,2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3BAEACE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33140116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56259A7" w14:textId="05A3854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916169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F6C634F" w14:textId="1D5D9A6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C2AB51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D727365" w14:textId="2E62F6C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AC1D87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&gt;2,8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9990625" w14:textId="2908093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E8DA1E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&gt;4,8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A88899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20D9C0C2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17A738C" w14:textId="6D3BB20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1AF916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76B256A" w14:textId="2AF8EB4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487487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4F41244" w14:textId="25A1FB2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26D790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&gt;3,7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CC979A2" w14:textId="345586A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84BFF2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&gt;6,4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687BFE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A522561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CC4A306" w14:textId="262A99B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EAF012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ACB5B08" w14:textId="2A680EA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670081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&gt;80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F421F2" w14:textId="522CA5E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AC6F97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&gt;4,7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E5DE934" w14:textId="501C679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3C863F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&gt;8,0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9AF6F6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5ADBEA9B" w14:textId="5B7FB832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41C42BF4" w14:textId="6094E88D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(1) Fructele și legumele, leguminoasele și fructele cu coajă lemnoasă conțin numeroase vitamine (în special vitaminele E, C, B1, B2, B3, B6 și B9, precum și provitamina A);</w:t>
      </w:r>
    </w:p>
    <w:p w14:paraId="1DD6FBD8" w14:textId="79D28909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B885CE4" w14:textId="6042B2CF" w:rsidR="007F5706" w:rsidRPr="00BD6E17" w:rsidRDefault="00212B9F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Calcularea punctajului nutrițional</w:t>
      </w:r>
    </w:p>
    <w:p w14:paraId="1960855A" w14:textId="1CE0164F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26E87E1A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Calculul final al punctajului nutrițional se efectuează prin împărțirea valorii componentei negative N la valoarea componentei pozitive P, cu unele condiționări descrise mai jos.</w:t>
      </w:r>
    </w:p>
    <w:p w14:paraId="4EDD8052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C4C7EE8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Punctaj nutrițional = Total Puncte N = Total Puncte P</w:t>
      </w:r>
    </w:p>
    <w:p w14:paraId="3DAD4926" w14:textId="1D9D788A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BDBF97E" w14:textId="774CCBAA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Prin urmare, valoarea finală a punctajului nutrițional atribuit unui produs alimentar poate fi cuprinsă într-o valoare teoretică de - 15 (cea mai favorabilă din punct de vedere nutrițional) și o valoare teoretică de + 40 (cea mai defavorabilă din punct de vedere nutrițional).</w:t>
      </w:r>
    </w:p>
    <w:p w14:paraId="00FF2394" w14:textId="582E38F5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7049F35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Aplicarea unor reguli specifice</w:t>
      </w:r>
    </w:p>
    <w:p w14:paraId="675CA82B" w14:textId="004C071E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8AC5ED9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Dacă valoarea totală a componentei N este mai mică de 11 puncte, atunci punctajul nutrițional este egal cu rezultatul scăderii totalului de puncte al componentei N din valoarea totală a componentei P.</w:t>
      </w:r>
    </w:p>
    <w:p w14:paraId="37BF93E2" w14:textId="7FB9C3E4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4B9911E7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Dacă valoarea totală a componentei N este mai mare sau egală cu 11 puncte și</w:t>
      </w:r>
    </w:p>
    <w:p w14:paraId="4A50ABBA" w14:textId="149CF24D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3D8CC20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Dacă valoarea obținută pentru „fructe și legume” este egală cu 5, atunci punctajul nutrițional este egal cu rezultatul scăderii totalului de puncte al componentei N din valoarea totală a componentei P.</w:t>
      </w:r>
    </w:p>
    <w:p w14:paraId="7F1B9B06" w14:textId="64082832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117263F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Dacă valoarea obținută pentru „fructe și legume” este mai mică de 5, atunci punctajul nutrițional este egal cu rezultatul scăderii totalului de puncte al componentei N din suma punctelor pentru „Fibre” și pentru „Fructe și legume”. În acest caz, conținutul de proteine nu este luat în considerare pentru calcularea punctajului nutrițional. </w:t>
      </w:r>
    </w:p>
    <w:p w14:paraId="50231C79" w14:textId="27FAF728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E0822C6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1-b Cazuri speciale</w:t>
      </w:r>
    </w:p>
    <w:p w14:paraId="492AF772" w14:textId="61E89012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063B173" w14:textId="4DE3EA7C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Întrucât logo-ul „Nutri-score” nu este adecvat pentru alimentele destinate copiilor cu vârste cuprinse între 0 și 3 ani, nu se recomandă aplicarea acestuia pe produsele în cauză.</w:t>
      </w:r>
    </w:p>
    <w:p w14:paraId="5B9B44DE" w14:textId="31EBFAE0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EADEC69" w14:textId="111C1403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8233831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Brânzeturi: Punctajul se calculează ținând cont de conținutul de proteine astfel încât totalul punctelor N să fie ≥11 sau nu </w:t>
      </w:r>
    </w:p>
    <w:p w14:paraId="1A2F6634" w14:textId="45043246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2770876C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Punctaj nutrițional = Total Puncte N = Total Puncte P </w:t>
      </w:r>
    </w:p>
    <w:p w14:paraId="23080C5C" w14:textId="4D098B89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6CEDBE6" w14:textId="25E4A813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Materiile grase adăugate: Grila de atribuire a punctelor pentru acizii grași se calculează pe baza componentei AGS/totalul de lipide cu un punct de pornire al grilei de atribuire a punctelor de 10 % și o creștere de maximum 6 %.</w:t>
      </w:r>
    </w:p>
    <w:p w14:paraId="48D6BC0E" w14:textId="501095BA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70F93315" w14:textId="4E29945D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Tabelul 3. - Grila de atribuire a punctelor pentru o componentă AGS/totalul de lipide în cazul special al materiilor grase adăugate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800"/>
        <w:gridCol w:w="30"/>
      </w:tblGrid>
      <w:tr w:rsidR="007F5706" w:rsidRPr="00BD6E17" w14:paraId="20A0C000" w14:textId="77777777" w:rsidTr="000F53C1">
        <w:trPr>
          <w:gridAfter w:val="1"/>
          <w:wAfter w:w="2" w:type="dxa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329B034" w14:textId="2C2D899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1159933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Puncte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4721E31" w14:textId="6A03CBC7" w:rsidR="007F5706" w:rsidRPr="0057211F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s-ES" w:eastAsia="en-US"/>
              </w:rPr>
            </w:pPr>
          </w:p>
          <w:p w14:paraId="18FD1CE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Raport</w:t>
            </w:r>
          </w:p>
          <w:p w14:paraId="4149F733" w14:textId="2EAD8968" w:rsidR="007F5706" w:rsidRPr="0057211F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s-ES" w:eastAsia="en-US"/>
              </w:rPr>
            </w:pPr>
          </w:p>
          <w:p w14:paraId="4D9D24F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AGS/totalul de lipide</w:t>
            </w:r>
          </w:p>
        </w:tc>
      </w:tr>
      <w:tr w:rsidR="007F5706" w:rsidRPr="00BD6E17" w14:paraId="38E22909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1F27B6B" w14:textId="527D14C6" w:rsidR="007F5706" w:rsidRPr="0057211F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s-ES" w:eastAsia="en-US"/>
              </w:rPr>
            </w:pPr>
          </w:p>
          <w:p w14:paraId="5E75934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FA02212" w14:textId="29F65A2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D48027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&lt;10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E93D86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9721D9E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74CFF88" w14:textId="2392E06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FF3E64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AD57AB9" w14:textId="6AEC7B2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AD1D1A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&lt;16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E64508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74833326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9E6F051" w14:textId="54B7752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B9E3CE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0942058" w14:textId="0D3C845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DA9BE6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&lt;22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3FAB87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43024649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84E2021" w14:textId="1D17548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8337E6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A85559E" w14:textId="65ADF86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8324F3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&lt;28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D15A90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708BB583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94F4924" w14:textId="2312B1A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1B5D62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7E4609E" w14:textId="22774A0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F5B62D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&lt;34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FEADF7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7241AD62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BF6856" w14:textId="1F375CF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C128DE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5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EDB790A" w14:textId="5560126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4BF5A7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&lt;40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4BFE34F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4DB1D62D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CA56C68" w14:textId="1E7FE30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13CA98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F40480F" w14:textId="61AF297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0191AC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&lt;46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5E25080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3EB70DB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725776" w14:textId="58DC824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F921EE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3B8B0B4" w14:textId="17D7E7C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F5FBDF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&lt;52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708492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466CEE3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A55358E" w14:textId="7EF35A4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1F48B0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D86BB41" w14:textId="50E43DD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4CA5E1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&lt;58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287878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3FE0A81C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71B9E92" w14:textId="7D213B7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99F4B8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F20BFD2" w14:textId="5F25854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66BD66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&lt;64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20CCB5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1F25079F" w14:textId="77777777" w:rsidTr="000F53C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89E112B" w14:textId="0BFCD26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30564A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0F43AAF" w14:textId="3D76A74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47C0C6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≥64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5F4106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6AA222F2" w14:textId="2B360EBD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12652564" w14:textId="6D8C2E76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Băuturi: calcularea punctajului pentru băuturi se efectuează ținând cont de următoarele grile:</w:t>
      </w:r>
    </w:p>
    <w:p w14:paraId="4D581C02" w14:textId="4576D2D5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483758C9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Tabelul 4. - Grila de atribuire a punctelor pentru băuturi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  <w:gridCol w:w="30"/>
      </w:tblGrid>
      <w:tr w:rsidR="007F5706" w:rsidRPr="00BD6E17" w14:paraId="2C6608F0" w14:textId="77777777" w:rsidTr="000F53C1">
        <w:trPr>
          <w:gridAfter w:val="1"/>
          <w:wAfter w:w="2" w:type="dxa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E55EB9E" w14:textId="229EC53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113CC2A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Puncte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3042143" w14:textId="60B5342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07CE1B4" w14:textId="3064713D" w:rsidR="007F5706" w:rsidRPr="00BD6E17" w:rsidRDefault="002F1085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Energie (kJ)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1EB927A" w14:textId="5278006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55F353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Total zaharuri (g)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089C2EB" w14:textId="35DF4C1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0078AD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Fructe și legume (%)</w:t>
            </w:r>
          </w:p>
        </w:tc>
      </w:tr>
      <w:tr w:rsidR="007F5706" w:rsidRPr="00BD6E17" w14:paraId="09BDCD84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171A6D1" w14:textId="7A831D6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01992A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01B7AF0" w14:textId="0FEE7EF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9482F7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151BFBE" w14:textId="4B88C14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835E23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6346478" w14:textId="5BB42C65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2FF3F8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53552F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5A0B9434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182025D" w14:textId="130AF09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3A1999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98D9CE7" w14:textId="4EB4FA2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8C9377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≤30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A619922" w14:textId="586BF04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D3CA38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≤1,5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A59C39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0B13A0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3D0CF0C6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9416656" w14:textId="25BC054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CFFA3B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6399A32" w14:textId="66A478A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ADD58C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≤60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8A3208F" w14:textId="3FED96B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524E11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2DD2D91" w14:textId="39F0889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A29DC3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2F1B07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B32AEF1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47DA07D" w14:textId="39225DE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282BCF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C983C99" w14:textId="23A75CE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759B6D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≤90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7C90ABC" w14:textId="18BB591A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6ADAF0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≤4,5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0208C7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BBA754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35FD98BC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26E0E39" w14:textId="7678AE0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3245CC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508F1DF" w14:textId="6778E2F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333EA3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≤120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9AC9FD7" w14:textId="6655E88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E7CB18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0B276C1" w14:textId="3BC2C44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982C29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&gt;60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870446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6CED8C87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CD9324C" w14:textId="0EB9E15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36B6AD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AEDD2A2" w14:textId="431A6A9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0B64A3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≤150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C4B31F8" w14:textId="08C651B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BC8E43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≤7,5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4E6F14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5AC2596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B78DCDD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0350064" w14:textId="0C07B94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C5CE52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2CFE780" w14:textId="1702022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CF10DA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≤180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6A514E3" w14:textId="3B39CF0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61F06C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F54EB7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7DA443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4F370468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6BDB1C6" w14:textId="1F5BA26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659C83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D625379" w14:textId="5B4C3E6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02927F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≤210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5EF14DB" w14:textId="33C8B29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000058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≤10,5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BDFE79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7C3D7B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1E9BC9E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CB0F8D4" w14:textId="1970FE9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C4697D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B3BB6C6" w14:textId="4E7E388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CDF8F1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≤240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8131EF" w14:textId="3578EDC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26569E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≤12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9B9E3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811E77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26B5A634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EF59A97" w14:textId="1EE3A5C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F387E9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55DD282" w14:textId="69DC964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B6182A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≤270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6DEB1DE" w14:textId="7B47B73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85A39A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≤13,5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862E21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48829B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508EE417" w14:textId="77777777" w:rsidTr="000F53C1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1B5E672" w14:textId="1E5C4CC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A5656D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D4D5AA1" w14:textId="55F9C3E2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B9AAFF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&gt;270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85EBDD9" w14:textId="094CF92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5A6237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&gt;13,5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1AB932E" w14:textId="68FFE36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E3A045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&gt;80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2C5FD3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38FA6B3D" w14:textId="73D194A5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79F0CD30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(2) Clasarea produsului alimentar pe scara nutrițională cu 5 niveluri pe baza punctajului calculat conform punctului 1</w:t>
      </w:r>
    </w:p>
    <w:p w14:paraId="25FC95F6" w14:textId="4A407BBF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611CB04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2a Caz general</w:t>
      </w:r>
    </w:p>
    <w:p w14:paraId="470603D9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2E98A2BB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Pentru reprezentarea grafică în culori, pragurile luate în considerare sunt următoarele: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7F5706" w:rsidRPr="00BD6E17" w14:paraId="351ECAE2" w14:textId="77777777" w:rsidTr="000F53C1">
        <w:trPr>
          <w:gridAfter w:val="1"/>
          <w:wAfter w:w="2" w:type="dxa"/>
        </w:trPr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0A7B8F3" w14:textId="4D698C4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2D6F140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Clasă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9600A8A" w14:textId="6537FDB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4811A3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Valorile-limită ale punctajului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7D8624A" w14:textId="300D924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33F795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Culoare</w:t>
            </w:r>
          </w:p>
        </w:tc>
      </w:tr>
      <w:tr w:rsidR="007F5706" w:rsidRPr="00BD6E17" w14:paraId="019696CE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95A167E" w14:textId="697D678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01DE12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554497F" w14:textId="149CD296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D94784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Între Min. și -1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3D7589D" w14:textId="13B263A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76F85F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Verde închis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C73CD4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5EE802B5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923FBEF" w14:textId="6E5FBA5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484C1E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40FF4EE" w14:textId="5F477C5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3341232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Între 0 și 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FAAE9CB" w14:textId="3DA4A7D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AD80496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Verde deschis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C34C14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1888897E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5BCB6E5" w14:textId="61D2C86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3C11A3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16FA69" w14:textId="5478EF4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691467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Între 3 și 10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E4A1A07" w14:textId="70C7140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BD5589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Portocaliu deschis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2B518E3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E77534B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90F761F" w14:textId="785B4E2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1336AC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C958873" w14:textId="3E7FD44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FA08A5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Între 11 și 18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CE89215" w14:textId="5F2281ED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139255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Portocaliu, nuanță intermediară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85A623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47F4D345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C32BC5" w14:textId="6662D39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472D34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42067E2" w14:textId="48FE7F34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A3E087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Între 19 și Max.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8D896E1" w14:textId="49DF3FB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820E5B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Portocaliu închis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1189ABC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1226B527" w14:textId="300821DB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72004885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2b Cazul special al băuturilor</w:t>
      </w:r>
    </w:p>
    <w:p w14:paraId="0FEB0EBB" w14:textId="4307A9BF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47A0CB83" w14:textId="5190DE08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În cazul băuturilor, pragurile luate în considerare sunt următoarele: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7F5706" w:rsidRPr="00BD6E17" w14:paraId="27172F42" w14:textId="77777777" w:rsidTr="000F53C1">
        <w:trPr>
          <w:gridAfter w:val="1"/>
          <w:wAfter w:w="2" w:type="dxa"/>
        </w:trPr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EAC478A" w14:textId="794F21F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3241690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Clasă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66062F" w14:textId="292B32F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F08031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Valorile-limită ale punctajului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16BE7F8" w14:textId="3DA2C9F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3AEE1B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Culoare</w:t>
            </w:r>
          </w:p>
        </w:tc>
      </w:tr>
      <w:tr w:rsidR="007F5706" w:rsidRPr="00BD6E17" w14:paraId="2667F41C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F7CCCC5" w14:textId="6BD6103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1C87A9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31377DF" w14:textId="4EA19AD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CEAACBB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Ape minerale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1F1728D" w14:textId="7540CFBF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6C4654A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Verde închis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376E881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0D9E1FA4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D0CA584" w14:textId="0E37E22C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936C6DD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5780DAF" w14:textId="28BCFC8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19B1E704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Între Min. și -1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8F8426B" w14:textId="526ED2E3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718E507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Verde deschis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117157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44AA2B3E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63081AA" w14:textId="10EC78A5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DEB1B3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F80F41D" w14:textId="752F734B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121C729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Între 2 și 5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7E26CCC" w14:textId="009D3C1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7474C67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Portocaliu deschis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3EEDD25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342F3DCE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49BDBE" w14:textId="5ADD106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B010228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0BC9418" w14:textId="3866F850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D8A3535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Între 6 și 9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A281FF2" w14:textId="2B16E7DE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205E841F" w14:textId="2017BBE4" w:rsidR="007F5706" w:rsidRPr="00BD6E17" w:rsidRDefault="002F1085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Portocaliu, nuanță intermediară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4FF60B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BD6E17" w14:paraId="6CE6C031" w14:textId="77777777" w:rsidTr="000F53C1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362C714" w14:textId="6DCC3888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4F7C096E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4829F85" w14:textId="6150D679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22E9400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Între 10 și Max.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F07FF1" w14:textId="28C9FB41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8692661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Portocaliu închis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54F2424F" w14:textId="77777777" w:rsidR="007F5706" w:rsidRPr="00BD6E17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0F4BDFB5" w14:textId="3430EDF1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6CD1CAD7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3) Amplasarea simbolului grafic pe ambalaj</w:t>
      </w:r>
    </w:p>
    <w:p w14:paraId="475F7AC3" w14:textId="4A4FC8B8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4F570F8" w14:textId="19095344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Simbolul grafic este amplasat pe treimea inferioară a câmpului vizual principal al ambalajului.</w:t>
      </w:r>
    </w:p>
    <w:p w14:paraId="46FBA3AC" w14:textId="54250AC5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EC2E58F" w14:textId="7177B79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Nu sunt vizate produsele alimentare ambalate în recipiente sau ambalaje a căror suprafață principală este mai mică de 25 cm².</w:t>
      </w:r>
    </w:p>
    <w:p w14:paraId="4CCE8388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3F77B45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4) Simbolul grafic utilizat și caracteristici</w:t>
      </w:r>
    </w:p>
    <w:p w14:paraId="1840CEC0" w14:textId="2403399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2998E13C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90572B1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10DDD79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BF63762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FB78EEF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FF3229F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7A68DCE7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23EF7AFD" w14:textId="77777777" w:rsidR="00C67C2A" w:rsidRPr="00BD6E17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9485693" w14:textId="4180F6BE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Simbolul grafic ales, denumit Nutriscore, este reprezentat în continuare: </w:t>
      </w:r>
    </w:p>
    <w:p w14:paraId="033B3A4D" w14:textId="2AC52E59" w:rsidR="00957BAB" w:rsidRPr="00BD6E17" w:rsidRDefault="00957BAB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C8EE2F3" w14:textId="77777777" w:rsidR="00961E40" w:rsidRPr="00BD6E17" w:rsidRDefault="00961E40" w:rsidP="007F5706">
      <w:pPr>
        <w:widowControl w:val="0"/>
        <w:autoSpaceDE w:val="0"/>
        <w:autoSpaceDN w:val="0"/>
        <w:adjustRightInd w:val="0"/>
        <w:rPr>
          <w:noProof/>
          <w:lang w:val="fr-BE" w:eastAsia="en-US"/>
        </w:rPr>
      </w:pPr>
    </w:p>
    <w:p w14:paraId="70A57B56" w14:textId="77777777" w:rsidR="00961E40" w:rsidRPr="00BD6E17" w:rsidRDefault="00961E40" w:rsidP="007F5706">
      <w:pPr>
        <w:widowControl w:val="0"/>
        <w:autoSpaceDE w:val="0"/>
        <w:autoSpaceDN w:val="0"/>
        <w:adjustRightInd w:val="0"/>
        <w:rPr>
          <w:noProof/>
          <w:lang w:val="fr-BE" w:eastAsia="en-US"/>
        </w:rPr>
      </w:pPr>
    </w:p>
    <w:p w14:paraId="17798423" w14:textId="77777777" w:rsidR="00961E40" w:rsidRPr="00BD6E17" w:rsidRDefault="00961E40" w:rsidP="007F5706">
      <w:pPr>
        <w:widowControl w:val="0"/>
        <w:autoSpaceDE w:val="0"/>
        <w:autoSpaceDN w:val="0"/>
        <w:adjustRightInd w:val="0"/>
        <w:rPr>
          <w:noProof/>
          <w:lang w:val="fr-BE" w:eastAsia="en-US"/>
        </w:rPr>
      </w:pPr>
    </w:p>
    <w:p w14:paraId="12385200" w14:textId="79FE69BA" w:rsidR="00957BAB" w:rsidRPr="00BD6E17" w:rsidRDefault="00957BAB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 w:rsidRPr="00BD6E17">
        <w:rPr>
          <w:noProof/>
          <w:lang w:eastAsia="ro-RO"/>
        </w:rPr>
        <w:lastRenderedPageBreak/>
        <w:drawing>
          <wp:inline distT="0" distB="0" distL="0" distR="0" wp14:anchorId="3FDE7A6B" wp14:editId="1649309E">
            <wp:extent cx="5942965" cy="3162300"/>
            <wp:effectExtent l="0" t="0" r="635" b="0"/>
            <wp:docPr id="5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FC55C" w14:textId="4DB7F799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520EFAD" w14:textId="450A565B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Caracteristicile logo-ului, în special dimensiunea și culoarea, sunt definite în regulamentul de utilizare al mărcii colective Nutri-Score, furnizat de Serviciul Public Federal pentru Sănătate Publică, Siguranța Lanțului Alimentar și Mediu.</w:t>
      </w:r>
    </w:p>
    <w:p w14:paraId="00796687" w14:textId="77777777" w:rsidR="00961E40" w:rsidRPr="00BD6E17" w:rsidRDefault="00961E40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C5E06C1" w14:textId="77777777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5) Monitorizarea utilizării dispozitivului</w:t>
      </w:r>
    </w:p>
    <w:p w14:paraId="1E35FE4B" w14:textId="6971B860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344C045" w14:textId="343CFBE4" w:rsidR="002B5AC1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Producătorii și distribuitorii din sectorul alimentar, care se angajează să utilizeze logo-ul prevăzut în prezentul caiet de sarcini, informează Serviciul Public Federal pentru Sănătate Publică, Siguranța Lanțului Alimentar și Mediu cu privire la aceasta și furnizează către acesta din urmă, într-un format stabilit, toate informațiile necesare monitorizării. </w:t>
      </w:r>
    </w:p>
    <w:p w14:paraId="06341710" w14:textId="4021F809" w:rsidR="001D64DE" w:rsidRPr="00BD6E17" w:rsidRDefault="001D64DE" w:rsidP="001D64DE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Aceste informații sunt disponibile la rubrica dedicată pe site-ul www.health.belgium.be al Serviciului Public Federal pentru Sănătate Publică, Siguranța Lanțului Alimentar și Mediu. </w:t>
      </w:r>
    </w:p>
    <w:p w14:paraId="6ABBBDD2" w14:textId="4ABB207A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F6E0EFC" w14:textId="5A942071" w:rsidR="007F5706" w:rsidRPr="00BD6E17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Monitorizarea utilizării logo-ului este asigurată de Serviciul Public Federal pentru Sănătate Publică, Siguranța Lanțului Alimentar și Mediu. </w:t>
      </w:r>
    </w:p>
    <w:p w14:paraId="7C41B063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24D4C3E" w14:textId="7410CB41" w:rsidR="00EC5011" w:rsidRPr="00CB192D" w:rsidRDefault="00EC5011" w:rsidP="00A74D44">
      <w:pPr>
        <w:widowControl w:val="0"/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Spre anexare la decretul regal din x ..... privind utilizarea logo-ului „Nutri-Score” </w:t>
      </w:r>
    </w:p>
    <w:p w14:paraId="3A72A47D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5B1D3191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0A035F92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3E7619FD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53CFD05B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66791DE8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4F7D27DE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0F6F60A5" w14:textId="77777777" w:rsidR="001154FA" w:rsidRPr="00BD6E17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3EDB4A1F" w14:textId="77777777" w:rsidR="001154FA" w:rsidRPr="00BD6E17" w:rsidRDefault="00417C1E" w:rsidP="00417C1E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În numele Regelui:</w:t>
      </w:r>
    </w:p>
    <w:p w14:paraId="7DB7593B" w14:textId="77777777" w:rsidR="00417C1E" w:rsidRPr="00BD6E17" w:rsidRDefault="00417C1E" w:rsidP="00417C1E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7DE721B1" w14:textId="22C62882" w:rsidR="00417C1E" w:rsidRPr="00BD6E17" w:rsidRDefault="001E1081" w:rsidP="00865BE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Ministrul sănătății publice,</w:t>
      </w:r>
    </w:p>
    <w:p w14:paraId="27048DD8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74C26BC3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61ACFEF0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44BD3AFE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2A8CFB24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7D8B57E3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65B78810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4CEBBD88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0AD2DD95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568B4211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37727512" w14:textId="77777777" w:rsidR="00417C1E" w:rsidRPr="00BD6E17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3D0206C9" w14:textId="77777777" w:rsidR="001154FA" w:rsidRPr="00BD6E17" w:rsidRDefault="001154FA" w:rsidP="00417C1E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Maggie DE BLOCK</w:t>
      </w:r>
    </w:p>
    <w:sectPr w:rsidR="001154FA" w:rsidRPr="00BD6E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24AAE" w14:textId="77777777" w:rsidR="000C4EB1" w:rsidRDefault="000C4EB1" w:rsidP="000F5F6F">
      <w:r>
        <w:separator/>
      </w:r>
    </w:p>
  </w:endnote>
  <w:endnote w:type="continuationSeparator" w:id="0">
    <w:p w14:paraId="4DBC00E5" w14:textId="77777777" w:rsidR="000C4EB1" w:rsidRDefault="000C4EB1" w:rsidP="000F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C14CD" w14:textId="77777777" w:rsidR="000C4EB1" w:rsidRDefault="000C4EB1" w:rsidP="000F5F6F">
      <w:r>
        <w:separator/>
      </w:r>
    </w:p>
  </w:footnote>
  <w:footnote w:type="continuationSeparator" w:id="0">
    <w:p w14:paraId="061675DD" w14:textId="77777777" w:rsidR="000C4EB1" w:rsidRDefault="000C4EB1" w:rsidP="000F5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C304A"/>
    <w:multiLevelType w:val="hybridMultilevel"/>
    <w:tmpl w:val="FCBC5278"/>
    <w:lvl w:ilvl="0" w:tplc="D5AE0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75"/>
    <w:rsid w:val="00035585"/>
    <w:rsid w:val="000629A5"/>
    <w:rsid w:val="000829FF"/>
    <w:rsid w:val="00084E42"/>
    <w:rsid w:val="000B1ACE"/>
    <w:rsid w:val="000B6773"/>
    <w:rsid w:val="000C4EB1"/>
    <w:rsid w:val="000C7C2D"/>
    <w:rsid w:val="000D6E2C"/>
    <w:rsid w:val="000E3A79"/>
    <w:rsid w:val="000F44A3"/>
    <w:rsid w:val="000F53C1"/>
    <w:rsid w:val="000F5F6F"/>
    <w:rsid w:val="00102F44"/>
    <w:rsid w:val="00105C16"/>
    <w:rsid w:val="001154FA"/>
    <w:rsid w:val="00126903"/>
    <w:rsid w:val="00127835"/>
    <w:rsid w:val="00130D42"/>
    <w:rsid w:val="00133F8A"/>
    <w:rsid w:val="00137E75"/>
    <w:rsid w:val="00152B44"/>
    <w:rsid w:val="001A3FCC"/>
    <w:rsid w:val="001B7034"/>
    <w:rsid w:val="001C3841"/>
    <w:rsid w:val="001D64DE"/>
    <w:rsid w:val="001E1081"/>
    <w:rsid w:val="002043A6"/>
    <w:rsid w:val="0020574B"/>
    <w:rsid w:val="00212B9F"/>
    <w:rsid w:val="00226B0C"/>
    <w:rsid w:val="00264554"/>
    <w:rsid w:val="00282220"/>
    <w:rsid w:val="002B0F1B"/>
    <w:rsid w:val="002B5AC1"/>
    <w:rsid w:val="002E0FD6"/>
    <w:rsid w:val="002F1085"/>
    <w:rsid w:val="00310ADC"/>
    <w:rsid w:val="00313027"/>
    <w:rsid w:val="00340CF3"/>
    <w:rsid w:val="0034293E"/>
    <w:rsid w:val="00345AE9"/>
    <w:rsid w:val="00374B5A"/>
    <w:rsid w:val="003F5CFD"/>
    <w:rsid w:val="00417C1E"/>
    <w:rsid w:val="0046163C"/>
    <w:rsid w:val="00483D64"/>
    <w:rsid w:val="00497043"/>
    <w:rsid w:val="004A7B4B"/>
    <w:rsid w:val="004C3CAD"/>
    <w:rsid w:val="004E4E7A"/>
    <w:rsid w:val="004F7C15"/>
    <w:rsid w:val="00527EBB"/>
    <w:rsid w:val="0053356B"/>
    <w:rsid w:val="00534775"/>
    <w:rsid w:val="0053567F"/>
    <w:rsid w:val="00544DB7"/>
    <w:rsid w:val="005561DF"/>
    <w:rsid w:val="005564D7"/>
    <w:rsid w:val="005718D3"/>
    <w:rsid w:val="0057211F"/>
    <w:rsid w:val="005D0299"/>
    <w:rsid w:val="005E6FEA"/>
    <w:rsid w:val="005F0566"/>
    <w:rsid w:val="006530EE"/>
    <w:rsid w:val="00653601"/>
    <w:rsid w:val="006665E3"/>
    <w:rsid w:val="0068738A"/>
    <w:rsid w:val="00695FD4"/>
    <w:rsid w:val="006A5052"/>
    <w:rsid w:val="006C1539"/>
    <w:rsid w:val="006E59CF"/>
    <w:rsid w:val="00715357"/>
    <w:rsid w:val="0074255A"/>
    <w:rsid w:val="007553F9"/>
    <w:rsid w:val="00770C05"/>
    <w:rsid w:val="00772008"/>
    <w:rsid w:val="0077647A"/>
    <w:rsid w:val="00781300"/>
    <w:rsid w:val="0078177E"/>
    <w:rsid w:val="007826C1"/>
    <w:rsid w:val="007917C7"/>
    <w:rsid w:val="00794050"/>
    <w:rsid w:val="007A39A9"/>
    <w:rsid w:val="007A701D"/>
    <w:rsid w:val="007A75A1"/>
    <w:rsid w:val="007D2035"/>
    <w:rsid w:val="007D3960"/>
    <w:rsid w:val="007F5706"/>
    <w:rsid w:val="00841564"/>
    <w:rsid w:val="00853005"/>
    <w:rsid w:val="00865BE8"/>
    <w:rsid w:val="00870F4E"/>
    <w:rsid w:val="00873BA9"/>
    <w:rsid w:val="008959D9"/>
    <w:rsid w:val="008972BE"/>
    <w:rsid w:val="008D1655"/>
    <w:rsid w:val="008F131D"/>
    <w:rsid w:val="008F15C6"/>
    <w:rsid w:val="0092747D"/>
    <w:rsid w:val="00954D47"/>
    <w:rsid w:val="00957502"/>
    <w:rsid w:val="00957BAB"/>
    <w:rsid w:val="00961E40"/>
    <w:rsid w:val="00982322"/>
    <w:rsid w:val="009C1A50"/>
    <w:rsid w:val="009E2132"/>
    <w:rsid w:val="00A065C9"/>
    <w:rsid w:val="00A27703"/>
    <w:rsid w:val="00A74D44"/>
    <w:rsid w:val="00A964EF"/>
    <w:rsid w:val="00B00E4E"/>
    <w:rsid w:val="00B412A5"/>
    <w:rsid w:val="00B438CA"/>
    <w:rsid w:val="00B65D5D"/>
    <w:rsid w:val="00BA5428"/>
    <w:rsid w:val="00BC5DCB"/>
    <w:rsid w:val="00BD03FE"/>
    <w:rsid w:val="00BD3A6A"/>
    <w:rsid w:val="00BD6E17"/>
    <w:rsid w:val="00BE45F7"/>
    <w:rsid w:val="00C15541"/>
    <w:rsid w:val="00C21C51"/>
    <w:rsid w:val="00C258A1"/>
    <w:rsid w:val="00C63BAF"/>
    <w:rsid w:val="00C67C2A"/>
    <w:rsid w:val="00C751A3"/>
    <w:rsid w:val="00C9110E"/>
    <w:rsid w:val="00CA435F"/>
    <w:rsid w:val="00CA4D38"/>
    <w:rsid w:val="00CA7410"/>
    <w:rsid w:val="00CB192D"/>
    <w:rsid w:val="00CD41C2"/>
    <w:rsid w:val="00CF02C9"/>
    <w:rsid w:val="00D54F7D"/>
    <w:rsid w:val="00D73D7B"/>
    <w:rsid w:val="00D779E3"/>
    <w:rsid w:val="00D845C7"/>
    <w:rsid w:val="00DC00DF"/>
    <w:rsid w:val="00DF74E8"/>
    <w:rsid w:val="00E256FB"/>
    <w:rsid w:val="00E3008C"/>
    <w:rsid w:val="00E541FB"/>
    <w:rsid w:val="00E55856"/>
    <w:rsid w:val="00EA2105"/>
    <w:rsid w:val="00EA2D1A"/>
    <w:rsid w:val="00EC5011"/>
    <w:rsid w:val="00ED7D13"/>
    <w:rsid w:val="00EE1D27"/>
    <w:rsid w:val="00EF7B96"/>
    <w:rsid w:val="00F04220"/>
    <w:rsid w:val="00F07A11"/>
    <w:rsid w:val="00F36666"/>
    <w:rsid w:val="00F740C2"/>
    <w:rsid w:val="00F85DC5"/>
    <w:rsid w:val="00FA0181"/>
    <w:rsid w:val="00FC0228"/>
    <w:rsid w:val="00FE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0378F1"/>
  <w15:chartTrackingRefBased/>
  <w15:docId w15:val="{C249AB6E-78D8-4B20-9975-40985259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37E75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137E75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7E75"/>
    <w:rPr>
      <w:rFonts w:ascii="Times New Roman" w:eastAsia="Times New Roman" w:hAnsi="Times New Roman" w:cs="Times New Roman"/>
      <w:b/>
      <w:sz w:val="20"/>
      <w:szCs w:val="20"/>
      <w:lang w:val="ro-RO" w:eastAsia="nl-NL"/>
    </w:rPr>
  </w:style>
  <w:style w:type="character" w:customStyle="1" w:styleId="Heading3Char">
    <w:name w:val="Heading 3 Char"/>
    <w:basedOn w:val="DefaultParagraphFont"/>
    <w:link w:val="Heading3"/>
    <w:rsid w:val="00137E75"/>
    <w:rPr>
      <w:rFonts w:ascii="Times New Roman" w:eastAsia="Times New Roman" w:hAnsi="Times New Roman" w:cs="Times New Roman"/>
      <w:b/>
      <w:sz w:val="20"/>
      <w:szCs w:val="20"/>
      <w:lang w:val="ro-RO" w:eastAsia="nl-NL"/>
    </w:rPr>
  </w:style>
  <w:style w:type="paragraph" w:styleId="Footer">
    <w:name w:val="footer"/>
    <w:basedOn w:val="Normal"/>
    <w:link w:val="FooterChar"/>
    <w:rsid w:val="00137E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37E75"/>
    <w:rPr>
      <w:rFonts w:ascii="Times New Roman" w:eastAsia="Times New Roman" w:hAnsi="Times New Roman" w:cs="Times New Roman"/>
      <w:sz w:val="20"/>
      <w:szCs w:val="20"/>
      <w:lang w:val="ro-RO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082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9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9FF"/>
    <w:rPr>
      <w:rFonts w:ascii="Times New Roman" w:eastAsia="Times New Roman" w:hAnsi="Times New Roman" w:cs="Times New Roman"/>
      <w:sz w:val="20"/>
      <w:szCs w:val="20"/>
      <w:lang w:val="ro-RO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9FF"/>
    <w:rPr>
      <w:rFonts w:ascii="Times New Roman" w:eastAsia="Times New Roman" w:hAnsi="Times New Roman" w:cs="Times New Roman"/>
      <w:b/>
      <w:bCs/>
      <w:sz w:val="20"/>
      <w:szCs w:val="20"/>
      <w:lang w:val="ro-RO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9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FF"/>
    <w:rPr>
      <w:rFonts w:ascii="Segoe UI" w:eastAsia="Times New Roman" w:hAnsi="Segoe UI" w:cs="Segoe UI"/>
      <w:sz w:val="18"/>
      <w:szCs w:val="18"/>
      <w:lang w:val="ro-RO" w:eastAsia="nl-NL"/>
    </w:rPr>
  </w:style>
  <w:style w:type="character" w:styleId="Hyperlink">
    <w:name w:val="Hyperlink"/>
    <w:basedOn w:val="DefaultParagraphFont"/>
    <w:uiPriority w:val="99"/>
    <w:unhideWhenUsed/>
    <w:rsid w:val="000829F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67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 w:eastAsia="nl-NL"/>
    </w:rPr>
  </w:style>
  <w:style w:type="paragraph" w:styleId="ListParagraph">
    <w:name w:val="List Paragraph"/>
    <w:basedOn w:val="Normal"/>
    <w:uiPriority w:val="34"/>
    <w:qFormat/>
    <w:rsid w:val="00961E40"/>
    <w:pPr>
      <w:ind w:left="720"/>
      <w:contextualSpacing/>
    </w:pPr>
  </w:style>
  <w:style w:type="paragraph" w:styleId="Revision">
    <w:name w:val="Revision"/>
    <w:hidden/>
    <w:uiPriority w:val="99"/>
    <w:semiHidden/>
    <w:rsid w:val="00B65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0F5F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F6F"/>
    <w:rPr>
      <w:rFonts w:ascii="Times New Roman" w:eastAsia="Times New Roman" w:hAnsi="Times New Roman" w:cs="Times New Roman"/>
      <w:sz w:val="20"/>
      <w:szCs w:val="20"/>
      <w:lang w:val="ro-RO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3B78A.29B3B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t_x0020__x002f__x0020_Status xmlns="227367fe-840d-4561-8ca1-44d3b46dce72">Gefinaliseerd document finalisé</Statut_x0020__x002f__x0020_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A059AE8C925498AE79CDD92EC08F1" ma:contentTypeVersion="1" ma:contentTypeDescription="Create a new document." ma:contentTypeScope="" ma:versionID="afcf63fe2435902efc81e18d496d0944">
  <xsd:schema xmlns:xsd="http://www.w3.org/2001/XMLSchema" xmlns:xs="http://www.w3.org/2001/XMLSchema" xmlns:p="http://schemas.microsoft.com/office/2006/metadata/properties" xmlns:ns2="227367fe-840d-4561-8ca1-44d3b46dce72" targetNamespace="http://schemas.microsoft.com/office/2006/metadata/properties" ma:root="true" ma:fieldsID="6ba2b74466046352d394ae9e828c72da" ns2:_="">
    <xsd:import namespace="227367fe-840d-4561-8ca1-44d3b46dce72"/>
    <xsd:element name="properties">
      <xsd:complexType>
        <xsd:sequence>
          <xsd:element name="documentManagement">
            <xsd:complexType>
              <xsd:all>
                <xsd:element ref="ns2:Statut_x0020__x002f__x0020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367fe-840d-4561-8ca1-44d3b46dce72" elementFormDefault="qualified">
    <xsd:import namespace="http://schemas.microsoft.com/office/2006/documentManagement/types"/>
    <xsd:import namespace="http://schemas.microsoft.com/office/infopath/2007/PartnerControls"/>
    <xsd:element name="Statut_x0020__x002f__x0020_Status" ma:index="8" ma:displayName="Statut / Status" ma:format="Dropdown" ma:internalName="Statut_x0020__x002f__x0020_Status">
      <xsd:simpleType>
        <xsd:restriction base="dms:Choice">
          <xsd:enumeration value="Demande d'informations - Vraag om informatie"/>
          <xsd:enumeration value="Projet - Ontwerp"/>
          <xsd:enumeration value="Gefinaliseerd document finalisé"/>
          <xsd:enumeration value="Gearchiveerd document archiv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BBA30-810A-4521-B554-D332EBAFD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BC7DE-AA00-4A35-889F-9AA4D42FBDAC}">
  <ds:schemaRefs>
    <ds:schemaRef ds:uri="http://schemas.microsoft.com/office/2006/metadata/properties"/>
    <ds:schemaRef ds:uri="http://schemas.microsoft.com/office/infopath/2007/PartnerControls"/>
    <ds:schemaRef ds:uri="227367fe-840d-4561-8ca1-44d3b46dce72"/>
  </ds:schemaRefs>
</ds:datastoreItem>
</file>

<file path=customXml/itemProps3.xml><?xml version="1.0" encoding="utf-8"?>
<ds:datastoreItem xmlns:ds="http://schemas.openxmlformats.org/officeDocument/2006/customXml" ds:itemID="{91138569-0335-45A4-BCA4-BC97B8331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367fe-840d-4561-8ca1-44d3b46dc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4ACFDB-90F2-436F-96CC-5C9A8006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1771</Words>
  <Characters>10276</Characters>
  <Application>Microsoft Office Word</Application>
  <DocSecurity>0</DocSecurity>
  <Lines>85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AR"Nutri-Score"</vt:lpstr>
      <vt:lpstr>AR"Nutri-Score"</vt:lpstr>
      <vt:lpstr>AR"Nutri-Score"</vt:lpstr>
    </vt:vector>
  </TitlesOfParts>
  <Company>health fgov be</Company>
  <LinksUpToDate>false</LinksUpToDate>
  <CharactersWithSpaces>12023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AR"Nutri-Score"</dc:title>
  <dc:subject/>
  <dc:creator>Kondyli Panagiota</dc:creator>
  <cp:keywords/>
  <dc:description/>
  <cp:lastModifiedBy>CIUDIN, Elena</cp:lastModifiedBy>
  <cp:revision>7</cp:revision>
  <cp:lastPrinted>2018-09-21T07:27:00Z</cp:lastPrinted>
  <dcterms:created xsi:type="dcterms:W3CDTF">2018-09-28T09:06:00Z</dcterms:created>
  <dcterms:modified xsi:type="dcterms:W3CDTF">2018-10-05T08:26:00Z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0x010100780A059AE8C925498AE79CDD92EC08F1</vt:lpwstr>
  </property>
</Properties>
</file>