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2A8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196E7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Legea CI din 2021</w:t>
      </w:r>
    </w:p>
    <w:p w14:paraId="49F6E56C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privind anumite aspecte legate de gestionarea activelor și modificarea anumitor acte pentru a consolida coerența sistemului juridic</w:t>
      </w:r>
      <w:r w:rsidRPr="000314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14:paraId="1FCC4158" w14:textId="77777777" w:rsidR="0003140A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</w:t>
      </w:r>
    </w:p>
    <w:p w14:paraId="79F39007" w14:textId="77777777" w:rsidR="006C6919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4C30" w14:textId="77777777" w:rsidR="006C6919" w:rsidRPr="006C6919" w:rsidRDefault="006C6919" w:rsidP="006C691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</w:rPr>
        <w:t>25. Modificarea Legii XLII din 1999 privind protecția nefumătorilor și anumite reglementări privind consumul și distribuția produselor din tutun</w:t>
      </w:r>
    </w:p>
    <w:p w14:paraId="041C99CB" w14:textId="77777777" w:rsidR="006C6919" w:rsidRPr="006C6919" w:rsidRDefault="006C6919" w:rsidP="006C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4B7BE" w14:textId="32FAA52C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Articolul 68</w:t>
      </w:r>
      <w:r w:rsidR="006D1FAC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Legea XLII din anul 1999 privind protecția nefumătorilor, dar și consumul și vânzarea produselor din tutun (denumită în continuare: Nvt.), articolul 1 </w:t>
      </w:r>
      <w:r>
        <w:rPr>
          <w:rFonts w:ascii="Times New Roman" w:hAnsi="Times New Roman"/>
          <w:i/>
          <w:iCs/>
          <w:sz w:val="24"/>
        </w:rPr>
        <w:t xml:space="preserve">(x) </w:t>
      </w:r>
      <w:r>
        <w:rPr>
          <w:rFonts w:ascii="Times New Roman" w:hAnsi="Times New Roman"/>
          <w:sz w:val="24"/>
        </w:rPr>
        <w:t>se înlocuiește cu următorul text:</w:t>
      </w:r>
    </w:p>
    <w:p w14:paraId="5F49DA4D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(În sensul prezentei Legi)</w:t>
      </w:r>
    </w:p>
    <w:p w14:paraId="2F48937E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iCs/>
          <w:sz w:val="24"/>
        </w:rPr>
        <w:t>(x) numărul de identificare al țigărilor electronice</w:t>
      </w:r>
      <w:r>
        <w:rPr>
          <w:rFonts w:ascii="Times New Roman" w:hAnsi="Times New Roman"/>
          <w:sz w:val="24"/>
        </w:rPr>
        <w:t>: pentru notificările privind țigările electronice și recipientele de reumplere, care stabilesc un format comun, astfel cum este definit în Decizia de punere în aplicare (UE) 2015/2183 a Comisiei din 24 noiembrie 2015, declarat pentru produsele din setul comun de intrare de date, adică numărul de identificare a produsului;”</w:t>
      </w:r>
    </w:p>
    <w:p w14:paraId="0E4F023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Articolul 69</w:t>
      </w:r>
      <w:r>
        <w:rPr>
          <w:rFonts w:ascii="Times New Roman" w:hAnsi="Times New Roman"/>
          <w:sz w:val="24"/>
        </w:rPr>
        <w:t xml:space="preserve"> În Legea Nvt, se adaugă următorul articol 2/B:</w:t>
      </w:r>
    </w:p>
    <w:p w14:paraId="0815EA94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„Articolul 2/B Consumul produselor cu nicotină care înlocuiesc fumatul este interzis într-o instituție de învățământ public, precum și în instituțiile de îngrijire a copilului și de protecție a copilului.”</w:t>
      </w:r>
    </w:p>
    <w:p w14:paraId="4BD4F260" w14:textId="7D99F89F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70</w:t>
      </w:r>
      <w:r w:rsidR="006D1FA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În actul menționat anterior, articolul 5 alineatele (1)-(4) se înlocuiește cu următorul text:</w:t>
      </w:r>
    </w:p>
    <w:p w14:paraId="43633912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„(1) În ceea ce privește Legea CXXXIV din 2012 privind reducerea prevalenței fumatului în rândul tinerilor și al comerțului cu amănuntul cu produse din tutun (denumită în continuare: Fdvtv) nicio activitate legată de comerțul cu amănuntul cu produsele enumerate la articolul 1 alineatul (1) punctele </w:t>
      </w:r>
      <w:r>
        <w:rPr>
          <w:rFonts w:ascii="Times New Roman" w:hAnsi="Times New Roman"/>
          <w:i/>
          <w:sz w:val="24"/>
        </w:rPr>
        <w:t xml:space="preserve">(b)-(h) </w:t>
      </w:r>
      <w:r>
        <w:rPr>
          <w:rFonts w:ascii="Times New Roman" w:hAnsi="Times New Roman"/>
          <w:sz w:val="24"/>
        </w:rPr>
        <w:t>nu se desfășoară în cadrul unei instituții publice de învățământ, al unei instituții sociale care furnizează servicii de îngrijire personală, al unei instituții de îngrijire a copilului, al unei instituții de protecție a copilului sau al unei instituții sanitare.</w:t>
      </w:r>
    </w:p>
    <w:p w14:paraId="50914C77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Produsele din tutun și produsele enumerate în articolul 1 alineatul (1) punctele </w:t>
      </w:r>
      <w:r>
        <w:rPr>
          <w:rFonts w:ascii="Times New Roman" w:hAnsi="Times New Roman"/>
          <w:i/>
          <w:sz w:val="24"/>
        </w:rPr>
        <w:t xml:space="preserve">(b)-(h) </w:t>
      </w:r>
      <w:r>
        <w:rPr>
          <w:rFonts w:ascii="Times New Roman" w:hAnsi="Times New Roman"/>
          <w:sz w:val="24"/>
        </w:rPr>
        <w:t>din Fdvtv nu pot fi comercializate ca mostre de mărfuri.</w:t>
      </w:r>
    </w:p>
    <w:p w14:paraId="712F64C4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(3) Produsele din tutun și produsele enumerate în articolul 1 alineatul (1) punctele </w:t>
      </w:r>
      <w:r>
        <w:rPr>
          <w:rFonts w:ascii="Times New Roman" w:hAnsi="Times New Roman"/>
          <w:i/>
          <w:sz w:val="24"/>
        </w:rPr>
        <w:t xml:space="preserve">(b)-(h) </w:t>
      </w:r>
      <w:r>
        <w:rPr>
          <w:rFonts w:ascii="Times New Roman" w:hAnsi="Times New Roman"/>
          <w:sz w:val="24"/>
        </w:rPr>
        <w:t>din Fdvtv nu pot fi vândute de la distribuitoare automate.</w:t>
      </w:r>
    </w:p>
    <w:p w14:paraId="4239B6DA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În sensul prezentei articole, termenul "comerț cu amănuntul de produse din tutun" înseamnă termenul definit ca atare în Fdvtv.”</w:t>
      </w:r>
    </w:p>
    <w:p w14:paraId="3B28A894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71</w:t>
      </w:r>
      <w:r>
        <w:rPr>
          <w:rFonts w:ascii="Times New Roman" w:hAnsi="Times New Roman"/>
          <w:sz w:val="24"/>
        </w:rPr>
        <w:t xml:space="preserve"> Se adaugă următorul articol 8/A la Nvt:</w:t>
      </w:r>
    </w:p>
    <w:p w14:paraId="21D81860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„Articolul 8/A (1) articolul 5 alineatele (1)-(4) din prezenta lege, astfel cum a fost stabilită prin Legea CI din 2021 privind anumite aspecte legate de gestionarea activelor și modificarea anumitor legi pentru a consolida coerența sistemului juridic (denumită în continuare: Módtv), servesc la </w:t>
      </w:r>
      <w:r>
        <w:rPr>
          <w:rFonts w:ascii="Times New Roman" w:hAnsi="Times New Roman"/>
          <w:sz w:val="24"/>
        </w:rPr>
        <w:lastRenderedPageBreak/>
        <w:t>respectarea Directivei 2006/123/CE a Parlamentului European și a Consiliului din 12 decembrie 2006 privind serviciile în cadrul pieței interne.</w:t>
      </w:r>
    </w:p>
    <w:p w14:paraId="7A2BCFD9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Articolul 5 alineatele (1)-(4) din prezenta lege, astfel cum a fost stabilită de Módtv, au făcut obiectul unei notificări prealabile în temeiul articolului 15 alineatul (7) din Directiva 2006/123/CE a Parlamentului European și a Consiliului din 12 decembrie 2006 privind serviciile în cadrul pieței interne.”</w:t>
      </w:r>
    </w:p>
    <w:p w14:paraId="7DD1A1C7" w14:textId="2F2C3FBB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72</w:t>
      </w:r>
      <w:r w:rsidR="006D1FA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În</w:t>
      </w:r>
    </w:p>
    <w:p w14:paraId="6E384980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(a)</w:t>
      </w:r>
      <w:r>
        <w:rPr>
          <w:rFonts w:ascii="Times New Roman" w:hAnsi="Times New Roman"/>
          <w:sz w:val="24"/>
        </w:rPr>
        <w:t xml:space="preserve"> Articolul 1 punctul </w:t>
      </w:r>
      <w:r>
        <w:rPr>
          <w:rFonts w:ascii="Times New Roman" w:hAnsi="Times New Roman"/>
          <w:i/>
          <w:sz w:val="24"/>
        </w:rPr>
        <w:t>(r)</w:t>
      </w:r>
      <w:r>
        <w:rPr>
          <w:rFonts w:ascii="Times New Roman" w:hAnsi="Times New Roman"/>
          <w:sz w:val="24"/>
        </w:rPr>
        <w:t xml:space="preserve"> din Nvt, cuvintele „ce conțin nicotină” se înlocuiesc cu cuvintele „ce conțin nicotină sub orice formă”,</w:t>
      </w:r>
    </w:p>
    <w:p w14:paraId="0068973C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(b)</w:t>
      </w:r>
      <w:r>
        <w:rPr>
          <w:rFonts w:ascii="Times New Roman" w:hAnsi="Times New Roman"/>
          <w:sz w:val="24"/>
        </w:rPr>
        <w:t xml:space="preserve"> Articolul 8 alineatul (3) din Nvt, expersia „Legea CIII din anul 1997 privind normele speciale de comercializare a produselor accizabile” se înlocuiește cu cuvintele „Legea LXVIII din 2016 privind accizele”,</w:t>
      </w:r>
    </w:p>
    <w:p w14:paraId="477E8348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(c)</w:t>
      </w:r>
      <w:r>
        <w:rPr>
          <w:rFonts w:ascii="Times New Roman" w:hAnsi="Times New Roman"/>
          <w:sz w:val="24"/>
        </w:rPr>
        <w:t xml:space="preserve"> Articolul 8 alineatul (4c) punctul </w:t>
      </w:r>
      <w:r>
        <w:rPr>
          <w:rFonts w:ascii="Times New Roman" w:hAnsi="Times New Roman"/>
          <w:i/>
          <w:sz w:val="24"/>
        </w:rPr>
        <w:t>(a)</w:t>
      </w:r>
      <w:r>
        <w:rPr>
          <w:rFonts w:ascii="Times New Roman" w:hAnsi="Times New Roman"/>
          <w:sz w:val="24"/>
        </w:rPr>
        <w:t xml:space="preserve"> din Nvt, cuvintele „recipiente de reumplere și fumat” se înlocuiesc cu cuvintele „recipiente de reumplere, recipiente de reumplere fără nicotină, produse ce conțin nicotină pentru fumat și înlocuirea fumatului”</w:t>
      </w:r>
    </w:p>
    <w:p w14:paraId="5B7F3A9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.</w:t>
      </w:r>
    </w:p>
    <w:p w14:paraId="3AF8C958" w14:textId="3DAFD935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Articolul 73</w:t>
      </w:r>
      <w:r w:rsidR="006D1FA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privind Nvt (actul privind protecția nefumătorului) se abrogă următoarele articole:</w:t>
      </w:r>
    </w:p>
    <w:p w14:paraId="7550F7CD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(a)</w:t>
      </w:r>
      <w:r>
        <w:rPr>
          <w:rFonts w:ascii="Times New Roman" w:hAnsi="Times New Roman"/>
          <w:sz w:val="24"/>
        </w:rPr>
        <w:t xml:space="preserve"> Articolul 7/K </w:t>
      </w:r>
    </w:p>
    <w:p w14:paraId="3E3F7493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(b) </w:t>
      </w:r>
      <w:r>
        <w:rPr>
          <w:rFonts w:ascii="Times New Roman" w:hAnsi="Times New Roman"/>
          <w:sz w:val="24"/>
        </w:rPr>
        <w:t xml:space="preserve">Articolul 7/L </w:t>
      </w:r>
    </w:p>
    <w:p w14:paraId="2368040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(c)</w:t>
      </w:r>
      <w:r>
        <w:rPr>
          <w:rFonts w:ascii="Times New Roman" w:hAnsi="Times New Roman"/>
          <w:sz w:val="24"/>
        </w:rPr>
        <w:t xml:space="preserve"> Articolul 8 alineatul (2), </w:t>
      </w:r>
    </w:p>
    <w:p w14:paraId="686FEF43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(d)</w:t>
      </w:r>
      <w:r>
        <w:rPr>
          <w:rFonts w:ascii="Times New Roman" w:hAnsi="Times New Roman"/>
          <w:sz w:val="24"/>
        </w:rPr>
        <w:t xml:space="preserve"> Articolul 8 alineatul (4d) și</w:t>
      </w:r>
    </w:p>
    <w:p w14:paraId="293AD24E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(e)</w:t>
      </w:r>
      <w:r>
        <w:rPr>
          <w:rFonts w:ascii="Times New Roman" w:hAnsi="Times New Roman"/>
          <w:sz w:val="24"/>
        </w:rPr>
        <w:t xml:space="preserve"> Articolul 8 alineatul (5) punctul </w:t>
      </w:r>
      <w:r>
        <w:rPr>
          <w:rFonts w:ascii="Times New Roman" w:hAnsi="Times New Roman"/>
          <w:i/>
          <w:sz w:val="24"/>
        </w:rPr>
        <w:t>(k)</w:t>
      </w:r>
      <w:r>
        <w:rPr>
          <w:rFonts w:ascii="Times New Roman" w:hAnsi="Times New Roman"/>
          <w:sz w:val="24"/>
        </w:rPr>
        <w:t>.</w:t>
      </w:r>
    </w:p>
    <w:p w14:paraId="50A2C291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F126A" w14:textId="77777777" w:rsidR="0003140A" w:rsidRDefault="0003140A"/>
    <w:sectPr w:rsidR="0003140A" w:rsidSect="00BC32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6E09" w14:textId="77777777" w:rsidR="00591BE6" w:rsidRDefault="00591BE6" w:rsidP="0003140A">
      <w:pPr>
        <w:spacing w:after="0" w:line="240" w:lineRule="auto"/>
      </w:pPr>
      <w:r>
        <w:separator/>
      </w:r>
    </w:p>
  </w:endnote>
  <w:endnote w:type="continuationSeparator" w:id="0">
    <w:p w14:paraId="2A3A8663" w14:textId="77777777" w:rsidR="00591BE6" w:rsidRDefault="00591BE6" w:rsidP="0003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96E0" w14:textId="77777777" w:rsidR="00591BE6" w:rsidRDefault="00591BE6" w:rsidP="0003140A">
      <w:pPr>
        <w:spacing w:after="0" w:line="240" w:lineRule="auto"/>
      </w:pPr>
      <w:r>
        <w:separator/>
      </w:r>
    </w:p>
  </w:footnote>
  <w:footnote w:type="continuationSeparator" w:id="0">
    <w:p w14:paraId="0B0F5EBF" w14:textId="77777777" w:rsidR="00591BE6" w:rsidRDefault="00591BE6" w:rsidP="0003140A">
      <w:pPr>
        <w:spacing w:after="0" w:line="240" w:lineRule="auto"/>
      </w:pPr>
      <w:r>
        <w:continuationSeparator/>
      </w:r>
    </w:p>
  </w:footnote>
  <w:footnote w:id="1">
    <w:p w14:paraId="48B1EF80" w14:textId="77777777" w:rsidR="0003140A" w:rsidRDefault="0003140A" w:rsidP="0003140A">
      <w:r>
        <w:rPr>
          <w:vertAlign w:val="superscript"/>
        </w:rPr>
        <w:footnoteRef/>
      </w:r>
      <w:r>
        <w:t xml:space="preserve"> Actul a fost adoptat de Parlament în sesiunea sa din 15 iunie 2021.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0A"/>
    <w:rsid w:val="0003140A"/>
    <w:rsid w:val="00512DD2"/>
    <w:rsid w:val="00591BE6"/>
    <w:rsid w:val="006C6919"/>
    <w:rsid w:val="006D1FAC"/>
    <w:rsid w:val="009352F0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1D76"/>
  <w15:chartTrackingRefBased/>
  <w15:docId w15:val="{B3A35F52-4F52-4D92-8E7E-3072EC86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/>
  <dc:description/>
  <cp:lastModifiedBy>Dimitris Dimitriadis</cp:lastModifiedBy>
  <cp:revision>3</cp:revision>
  <dcterms:created xsi:type="dcterms:W3CDTF">2021-07-26T07:11:00Z</dcterms:created>
  <dcterms:modified xsi:type="dcterms:W3CDTF">2021-08-30T11:22:00Z</dcterms:modified>
</cp:coreProperties>
</file>